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4B208C" w:rsidTr="00B909F2">
        <w:trPr>
          <w:trHeight w:val="4063"/>
        </w:trPr>
        <w:tc>
          <w:tcPr>
            <w:tcW w:w="5951" w:type="dxa"/>
            <w:tcBorders>
              <w:bottom w:val="single" w:sz="18" w:space="0" w:color="808080"/>
              <w:right w:val="single" w:sz="18" w:space="0" w:color="808080"/>
            </w:tcBorders>
            <w:vAlign w:val="center"/>
          </w:tcPr>
          <w:p w:rsidR="00023FE7" w:rsidRPr="004B208C" w:rsidRDefault="00023FE7" w:rsidP="004B208C">
            <w:pPr>
              <w:ind w:left="1260"/>
              <w:rPr>
                <w:rFonts w:ascii="Cambria" w:eastAsia="Times New Roman" w:hAnsi="Cambria"/>
                <w:bCs/>
                <w:kern w:val="28"/>
                <w:sz w:val="76"/>
                <w:szCs w:val="76"/>
              </w:rPr>
            </w:pPr>
            <w:bookmarkStart w:id="0" w:name="_Toc336337837"/>
            <w:r w:rsidRPr="004B208C">
              <w:rPr>
                <w:rFonts w:ascii="Cambria" w:eastAsia="Times New Roman" w:hAnsi="Cambria"/>
                <w:bCs/>
                <w:kern w:val="28"/>
                <w:sz w:val="76"/>
                <w:szCs w:val="76"/>
              </w:rPr>
              <w:t>Lista de Produtos da</w:t>
            </w:r>
            <w:bookmarkEnd w:id="0"/>
          </w:p>
          <w:p w:rsidR="00023FE7" w:rsidRPr="004B208C" w:rsidRDefault="00023FE7" w:rsidP="004B208C">
            <w:pPr>
              <w:pStyle w:val="Title"/>
              <w:spacing w:before="0" w:after="0"/>
              <w:ind w:left="1170" w:firstLine="97"/>
              <w:jc w:val="left"/>
              <w:rPr>
                <w:rFonts w:ascii="Tahoma" w:hAnsi="Tahoma" w:cs="Tahoma"/>
                <w:sz w:val="76"/>
                <w:szCs w:val="72"/>
              </w:rPr>
            </w:pPr>
            <w:bookmarkStart w:id="1" w:name="_Toc370980969"/>
            <w:r w:rsidRPr="004B208C">
              <w:rPr>
                <w:b w:val="0"/>
                <w:sz w:val="76"/>
                <w:szCs w:val="76"/>
              </w:rPr>
              <w:t>Microsoft</w:t>
            </w:r>
            <w:r w:rsidR="00172F11" w:rsidRPr="00172F11">
              <w:rPr>
                <w:b w:val="0"/>
                <w:sz w:val="76"/>
                <w:szCs w:val="76"/>
                <w:vertAlign w:val="superscript"/>
              </w:rPr>
              <w:t>®</w:t>
            </w:r>
            <w:bookmarkEnd w:id="1"/>
          </w:p>
        </w:tc>
        <w:tc>
          <w:tcPr>
            <w:tcW w:w="4615" w:type="dxa"/>
            <w:tcBorders>
              <w:left w:val="single" w:sz="18" w:space="0" w:color="808080"/>
              <w:bottom w:val="single" w:sz="18" w:space="0" w:color="808080"/>
            </w:tcBorders>
            <w:vAlign w:val="center"/>
          </w:tcPr>
          <w:p w:rsidR="00023FE7" w:rsidRPr="004B208C" w:rsidRDefault="00023FE7">
            <w:pPr>
              <w:pStyle w:val="NoSpacing1"/>
              <w:ind w:right="-1797"/>
              <w:rPr>
                <w:rFonts w:ascii="Tahoma" w:hAnsi="Tahoma" w:cs="Tahoma"/>
                <w:sz w:val="72"/>
                <w:szCs w:val="72"/>
              </w:rPr>
            </w:pPr>
          </w:p>
          <w:p w:rsidR="00023FE7" w:rsidRPr="004B208C" w:rsidRDefault="009252D9">
            <w:pPr>
              <w:pStyle w:val="NoSpacing1"/>
              <w:ind w:right="-1797"/>
              <w:rPr>
                <w:rFonts w:ascii="Tahoma" w:hAnsi="Tahoma" w:cs="Tahoma"/>
              </w:rPr>
            </w:pPr>
            <w:r w:rsidRPr="004B208C">
              <w:rPr>
                <w:rFonts w:ascii="Tahoma" w:hAnsi="Tahoma" w:cs="Tahoma"/>
                <w:sz w:val="72"/>
                <w:szCs w:val="72"/>
              </w:rPr>
              <w:t xml:space="preserve">1º de </w:t>
            </w:r>
            <w:r w:rsidR="00E6314E">
              <w:rPr>
                <w:rFonts w:ascii="Tahoma" w:hAnsi="Tahoma" w:cs="Tahoma"/>
                <w:sz w:val="72"/>
                <w:szCs w:val="72"/>
              </w:rPr>
              <w:br/>
            </w:r>
            <w:r w:rsidR="00E6314E" w:rsidRPr="004B208C">
              <w:rPr>
                <w:rFonts w:ascii="Tahoma" w:hAnsi="Tahoma" w:cs="Tahoma"/>
                <w:sz w:val="72"/>
                <w:szCs w:val="72"/>
              </w:rPr>
              <w:t>N</w:t>
            </w:r>
            <w:r w:rsidRPr="004B208C">
              <w:rPr>
                <w:rFonts w:ascii="Tahoma" w:hAnsi="Tahoma" w:cs="Tahoma"/>
                <w:sz w:val="72"/>
                <w:szCs w:val="72"/>
              </w:rPr>
              <w:t xml:space="preserve">ovembro de </w:t>
            </w:r>
          </w:p>
          <w:p w:rsidR="00023FE7" w:rsidRPr="004B208C" w:rsidRDefault="0077167D" w:rsidP="00A04495">
            <w:pPr>
              <w:pStyle w:val="NoSpacing1"/>
              <w:ind w:rightChars="-103" w:right="-185"/>
              <w:rPr>
                <w:rFonts w:ascii="Tahoma" w:hAnsi="Tahoma" w:cs="Tahoma"/>
                <w:color w:val="4F81BD"/>
                <w:sz w:val="200"/>
                <w:szCs w:val="200"/>
              </w:rPr>
            </w:pPr>
            <w:r w:rsidRPr="004B208C">
              <w:rPr>
                <w:rFonts w:ascii="Tahoma" w:hAnsi="Tahoma" w:cs="Tahoma"/>
                <w:color w:val="4F81BD"/>
                <w:sz w:val="180"/>
                <w:szCs w:val="200"/>
              </w:rPr>
              <w:t>2013</w:t>
            </w:r>
          </w:p>
        </w:tc>
      </w:tr>
      <w:tr w:rsidR="00023FE7" w:rsidRPr="004B208C" w:rsidTr="00B909F2">
        <w:trPr>
          <w:trHeight w:val="412"/>
        </w:trPr>
        <w:tc>
          <w:tcPr>
            <w:tcW w:w="5951" w:type="dxa"/>
            <w:tcBorders>
              <w:top w:val="single" w:sz="18" w:space="0" w:color="808080"/>
            </w:tcBorders>
            <w:vAlign w:val="center"/>
          </w:tcPr>
          <w:p w:rsidR="00023FE7" w:rsidRPr="004B208C" w:rsidRDefault="00023FE7" w:rsidP="00E6314E">
            <w:pPr>
              <w:pStyle w:val="NoSpacing1"/>
              <w:ind w:leftChars="122" w:left="220" w:firstLine="2"/>
              <w:rPr>
                <w:rFonts w:ascii="Tahoma" w:hAnsi="Tahoma" w:cs="Tahoma"/>
                <w:sz w:val="22"/>
                <w:szCs w:val="22"/>
              </w:rPr>
            </w:pPr>
            <w:r w:rsidRPr="004B208C">
              <w:rPr>
                <w:rFonts w:ascii="Tahoma" w:hAnsi="Tahoma" w:cs="Tahoma"/>
                <w:szCs w:val="22"/>
              </w:rPr>
              <w:t>A Lista de Produtos da Microsoft fornece informações mensais sobre o software e os Serviços Online da Microsoft licenciados nos Programas de Licenciamento por Volume da</w:t>
            </w:r>
            <w:r w:rsidR="00E6314E">
              <w:rPr>
                <w:rFonts w:ascii="Tahoma" w:hAnsi="Tahoma" w:cs="Tahoma"/>
                <w:szCs w:val="22"/>
              </w:rPr>
              <w:t> </w:t>
            </w:r>
            <w:r w:rsidRPr="004B208C">
              <w:rPr>
                <w:rFonts w:ascii="Tahoma" w:hAnsi="Tahoma" w:cs="Tahoma"/>
                <w:szCs w:val="22"/>
              </w:rPr>
              <w:t>Microsoft.</w:t>
            </w:r>
          </w:p>
        </w:tc>
        <w:tc>
          <w:tcPr>
            <w:tcW w:w="4615" w:type="dxa"/>
            <w:tcBorders>
              <w:top w:val="single" w:sz="18" w:space="0" w:color="808080"/>
            </w:tcBorders>
            <w:vAlign w:val="center"/>
          </w:tcPr>
          <w:p w:rsidR="00023FE7" w:rsidRPr="004B208C" w:rsidRDefault="00023FE7" w:rsidP="00A04495">
            <w:pPr>
              <w:pStyle w:val="NoSpacing1"/>
              <w:ind w:rightChars="-15" w:right="-27"/>
              <w:rPr>
                <w:rFonts w:ascii="Tahoma" w:hAnsi="Tahoma" w:cs="Tahoma"/>
                <w:sz w:val="32"/>
                <w:szCs w:val="32"/>
              </w:rPr>
            </w:pPr>
          </w:p>
        </w:tc>
      </w:tr>
    </w:tbl>
    <w:p w:rsidR="00023FE7" w:rsidRPr="004B208C" w:rsidRDefault="00023FE7" w:rsidP="00B0065F">
      <w:pPr>
        <w:pStyle w:val="Heading1"/>
        <w:rPr>
          <w:rFonts w:cs="Tahoma"/>
        </w:rPr>
        <w:sectPr w:rsidR="00023FE7" w:rsidRPr="004B208C"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4B208C" w:rsidRDefault="00023FE7" w:rsidP="00B0065F">
      <w:pPr>
        <w:pStyle w:val="Heading1"/>
        <w:rPr>
          <w:rFonts w:cs="Tahoma"/>
        </w:rPr>
      </w:pPr>
      <w:bookmarkStart w:id="2" w:name="_Toc336337838"/>
      <w:bookmarkStart w:id="3" w:name="_Toc370980970"/>
      <w:r w:rsidRPr="004B208C">
        <w:rPr>
          <w:rFonts w:cs="Tahoma"/>
        </w:rPr>
        <w:lastRenderedPageBreak/>
        <w:t>SOBRE ESTE DOCUMENTO</w:t>
      </w:r>
      <w:bookmarkEnd w:id="2"/>
      <w:bookmarkEnd w:id="3"/>
    </w:p>
    <w:p w:rsidR="00023FE7" w:rsidRPr="004B208C" w:rsidRDefault="00023FE7">
      <w:pPr>
        <w:pStyle w:val="Body"/>
        <w:ind w:right="720"/>
        <w:rPr>
          <w:rFonts w:ascii="Tahoma" w:hAnsi="Tahoma" w:cs="Tahoma"/>
        </w:rPr>
      </w:pPr>
    </w:p>
    <w:p w:rsidR="00023FE7" w:rsidRPr="00E6314E" w:rsidRDefault="00023FE7">
      <w:pPr>
        <w:pStyle w:val="Body"/>
        <w:ind w:right="720"/>
        <w:rPr>
          <w:rFonts w:ascii="Tahoma" w:hAnsi="Tahoma" w:cs="Tahoma"/>
          <w:sz w:val="18"/>
          <w:szCs w:val="18"/>
        </w:rPr>
      </w:pPr>
      <w:r w:rsidRPr="00E6314E">
        <w:rPr>
          <w:rFonts w:ascii="Tahoma" w:hAnsi="Tahoma" w:cs="Tahoma"/>
          <w:sz w:val="18"/>
          <w:szCs w:val="18"/>
        </w:rPr>
        <w:t>A Lista de Produtos da Microsoft fornece informações mensais sobre o software e os Serviços Online da Microsoft licenciados nos Programas de Licenciamento por Volume da Microsoft. As informações descritas na Lista de Produtos da Microsoft incluem:</w:t>
      </w:r>
    </w:p>
    <w:p w:rsidR="00023FE7" w:rsidRPr="00E6314E" w:rsidRDefault="00023FE7">
      <w:pPr>
        <w:pStyle w:val="Body"/>
        <w:ind w:right="720"/>
        <w:rPr>
          <w:rFonts w:ascii="Tahoma" w:hAnsi="Tahoma" w:cs="Tahoma"/>
          <w:sz w:val="18"/>
          <w:szCs w:val="18"/>
        </w:rPr>
      </w:pPr>
    </w:p>
    <w:p w:rsidR="00023FE7" w:rsidRPr="00E6314E" w:rsidRDefault="00023FE7">
      <w:pPr>
        <w:pStyle w:val="BulletedList"/>
        <w:ind w:right="720"/>
        <w:rPr>
          <w:rFonts w:ascii="Tahoma" w:hAnsi="Tahoma" w:cs="Tahoma"/>
          <w:sz w:val="18"/>
          <w:szCs w:val="18"/>
        </w:rPr>
      </w:pPr>
      <w:r w:rsidRPr="00E6314E">
        <w:rPr>
          <w:rFonts w:ascii="Tahoma" w:hAnsi="Tahoma" w:cs="Tahoma"/>
          <w:sz w:val="18"/>
          <w:szCs w:val="18"/>
        </w:rPr>
        <w:t>Disponibilidade de novos aplicativos de software e produtos oferecidos por meio do Licenciamento por Volume da Microsoft</w:t>
      </w:r>
    </w:p>
    <w:p w:rsidR="00023FE7" w:rsidRPr="00E6314E" w:rsidRDefault="00023FE7" w:rsidP="00024C3C">
      <w:pPr>
        <w:pStyle w:val="BulletedList"/>
        <w:numPr>
          <w:ilvl w:val="0"/>
          <w:numId w:val="16"/>
        </w:numPr>
        <w:ind w:right="720"/>
        <w:rPr>
          <w:rFonts w:ascii="Tahoma" w:hAnsi="Tahoma" w:cs="Tahoma"/>
          <w:sz w:val="18"/>
          <w:szCs w:val="18"/>
        </w:rPr>
      </w:pPr>
      <w:r w:rsidRPr="00E6314E">
        <w:rPr>
          <w:rFonts w:ascii="Tahoma" w:hAnsi="Tahoma" w:cs="Tahoma"/>
          <w:sz w:val="18"/>
          <w:szCs w:val="18"/>
        </w:rPr>
        <w:t>Descontinuação da disponibilidade de novos aplicativos de software e produtos oferecidos por meio do Licenciamento por Volume da Microsoft</w:t>
      </w:r>
    </w:p>
    <w:p w:rsidR="00023FE7" w:rsidRPr="00E6314E" w:rsidRDefault="00023FE7" w:rsidP="00024C3C">
      <w:pPr>
        <w:pStyle w:val="BulletedList"/>
        <w:numPr>
          <w:ilvl w:val="0"/>
          <w:numId w:val="16"/>
        </w:numPr>
        <w:ind w:right="720"/>
        <w:rPr>
          <w:rFonts w:ascii="Tahoma" w:hAnsi="Tahoma" w:cs="Tahoma"/>
          <w:sz w:val="18"/>
          <w:szCs w:val="18"/>
        </w:rPr>
      </w:pPr>
      <w:r w:rsidRPr="00E6314E">
        <w:rPr>
          <w:rFonts w:ascii="Tahoma" w:hAnsi="Tahoma" w:cs="Tahoma"/>
          <w:sz w:val="18"/>
          <w:szCs w:val="18"/>
        </w:rPr>
        <w:t xml:space="preserve">Designação de software e produtos referente ao pool de produtos do Licenciamento por Volume da Microsoft </w:t>
      </w:r>
    </w:p>
    <w:p w:rsidR="00023FE7" w:rsidRPr="00E6314E" w:rsidRDefault="00023FE7" w:rsidP="00024C3C">
      <w:pPr>
        <w:pStyle w:val="BulletedList"/>
        <w:numPr>
          <w:ilvl w:val="0"/>
          <w:numId w:val="16"/>
        </w:numPr>
        <w:ind w:right="720"/>
        <w:rPr>
          <w:rFonts w:ascii="Tahoma" w:hAnsi="Tahoma" w:cs="Tahoma"/>
          <w:sz w:val="18"/>
          <w:szCs w:val="18"/>
        </w:rPr>
      </w:pPr>
      <w:r w:rsidRPr="00E6314E">
        <w:rPr>
          <w:rFonts w:ascii="Tahoma" w:hAnsi="Tahoma" w:cs="Tahoma"/>
          <w:sz w:val="18"/>
          <w:szCs w:val="18"/>
        </w:rPr>
        <w:t>O valor em pontos de cada tecnologia de software e produto</w:t>
      </w:r>
    </w:p>
    <w:p w:rsidR="00023FE7" w:rsidRPr="00E6314E" w:rsidRDefault="00023FE7" w:rsidP="00024C3C">
      <w:pPr>
        <w:pStyle w:val="BulletedList"/>
        <w:numPr>
          <w:ilvl w:val="0"/>
          <w:numId w:val="16"/>
        </w:numPr>
        <w:ind w:right="720"/>
        <w:rPr>
          <w:rFonts w:ascii="Tahoma" w:hAnsi="Tahoma" w:cs="Tahoma"/>
          <w:sz w:val="18"/>
          <w:szCs w:val="18"/>
        </w:rPr>
      </w:pPr>
      <w:r w:rsidRPr="00E6314E">
        <w:rPr>
          <w:rFonts w:ascii="Tahoma" w:hAnsi="Tahoma" w:cs="Tahoma"/>
          <w:sz w:val="18"/>
          <w:szCs w:val="18"/>
        </w:rPr>
        <w:t>Promoções disponíveis</w:t>
      </w:r>
    </w:p>
    <w:p w:rsidR="00023FE7" w:rsidRPr="00E6314E" w:rsidRDefault="00023FE7" w:rsidP="00024C3C">
      <w:pPr>
        <w:pStyle w:val="BulletedList"/>
        <w:numPr>
          <w:ilvl w:val="0"/>
          <w:numId w:val="16"/>
        </w:numPr>
        <w:ind w:right="720"/>
        <w:rPr>
          <w:rFonts w:ascii="Tahoma" w:hAnsi="Tahoma" w:cs="Tahoma"/>
          <w:sz w:val="18"/>
          <w:szCs w:val="18"/>
        </w:rPr>
      </w:pPr>
      <w:r w:rsidRPr="00E6314E">
        <w:rPr>
          <w:rFonts w:ascii="Tahoma" w:hAnsi="Tahoma" w:cs="Tahoma"/>
          <w:sz w:val="18"/>
          <w:szCs w:val="18"/>
        </w:rPr>
        <w:t>Caminhos de migração de uma versão de software para outra versão do mesmo software</w:t>
      </w:r>
    </w:p>
    <w:p w:rsidR="00023FE7" w:rsidRPr="00E6314E" w:rsidRDefault="00023FE7" w:rsidP="00024C3C">
      <w:pPr>
        <w:pStyle w:val="BulletedList"/>
        <w:numPr>
          <w:ilvl w:val="0"/>
          <w:numId w:val="16"/>
        </w:numPr>
        <w:ind w:right="720"/>
        <w:rPr>
          <w:rFonts w:ascii="Tahoma" w:hAnsi="Tahoma" w:cs="Tahoma"/>
          <w:sz w:val="18"/>
          <w:szCs w:val="18"/>
        </w:rPr>
      </w:pPr>
      <w:r w:rsidRPr="00E6314E">
        <w:rPr>
          <w:rFonts w:ascii="Tahoma" w:hAnsi="Tahoma" w:cs="Tahoma"/>
          <w:sz w:val="18"/>
          <w:szCs w:val="18"/>
        </w:rPr>
        <w:t>Caminhos de migração de software descontinuado para novas versões de software</w:t>
      </w:r>
    </w:p>
    <w:p w:rsidR="00023FE7" w:rsidRPr="00E6314E" w:rsidRDefault="00023FE7" w:rsidP="00024C3C">
      <w:pPr>
        <w:pStyle w:val="BulletedList"/>
        <w:numPr>
          <w:ilvl w:val="0"/>
          <w:numId w:val="16"/>
        </w:numPr>
        <w:ind w:right="720"/>
        <w:rPr>
          <w:rFonts w:ascii="Tahoma" w:hAnsi="Tahoma" w:cs="Tahoma"/>
          <w:sz w:val="18"/>
          <w:szCs w:val="18"/>
        </w:rPr>
      </w:pPr>
      <w:r w:rsidRPr="00E6314E">
        <w:rPr>
          <w:rFonts w:ascii="Tahoma" w:hAnsi="Tahoma" w:cs="Tahoma"/>
          <w:sz w:val="18"/>
          <w:szCs w:val="18"/>
        </w:rPr>
        <w:t>Benefícios do Software Assurance</w:t>
      </w:r>
    </w:p>
    <w:p w:rsidR="00023FE7" w:rsidRPr="00E6314E" w:rsidRDefault="00023FE7" w:rsidP="00024C3C">
      <w:pPr>
        <w:pStyle w:val="BulletedList"/>
        <w:numPr>
          <w:ilvl w:val="0"/>
          <w:numId w:val="16"/>
        </w:numPr>
        <w:ind w:right="720"/>
        <w:rPr>
          <w:rFonts w:ascii="Tahoma" w:hAnsi="Tahoma" w:cs="Tahoma"/>
          <w:sz w:val="18"/>
          <w:szCs w:val="18"/>
        </w:rPr>
      </w:pPr>
      <w:r w:rsidRPr="00E6314E">
        <w:rPr>
          <w:rFonts w:ascii="Tahoma" w:hAnsi="Tahoma" w:cs="Tahoma"/>
          <w:sz w:val="18"/>
          <w:szCs w:val="18"/>
        </w:rPr>
        <w:t>Outras Notas e informações específicas a software e produtos determinados</w:t>
      </w:r>
    </w:p>
    <w:p w:rsidR="00023FE7" w:rsidRPr="00E6314E" w:rsidRDefault="00023FE7">
      <w:pPr>
        <w:ind w:right="720"/>
        <w:rPr>
          <w:rFonts w:cs="Tahoma"/>
          <w:szCs w:val="18"/>
        </w:rPr>
      </w:pPr>
    </w:p>
    <w:p w:rsidR="00023FE7" w:rsidRPr="004B208C" w:rsidRDefault="00023FE7">
      <w:pPr>
        <w:ind w:right="720"/>
        <w:rPr>
          <w:rFonts w:cs="Tahoma"/>
        </w:rPr>
      </w:pPr>
    </w:p>
    <w:p w:rsidR="00023FE7" w:rsidRPr="004B208C" w:rsidRDefault="00023FE7" w:rsidP="00B0065F">
      <w:pPr>
        <w:pStyle w:val="Heading1"/>
        <w:rPr>
          <w:rFonts w:cs="Tahoma"/>
        </w:rPr>
      </w:pPr>
      <w:bookmarkStart w:id="4" w:name="_Toc336337839"/>
      <w:bookmarkStart w:id="5" w:name="_Toc370980971"/>
      <w:r w:rsidRPr="004B208C">
        <w:rPr>
          <w:rFonts w:cs="Tahoma"/>
        </w:rPr>
        <w:t>como usar a lista de Produtos da</w:t>
      </w:r>
      <w:r w:rsidR="00E6314E">
        <w:rPr>
          <w:rFonts w:cs="Tahoma"/>
        </w:rPr>
        <w:t> </w:t>
      </w:r>
      <w:r w:rsidRPr="004B208C">
        <w:rPr>
          <w:rFonts w:cs="Tahoma"/>
        </w:rPr>
        <w:t>Microsoft</w:t>
      </w:r>
      <w:bookmarkEnd w:id="4"/>
      <w:bookmarkEnd w:id="5"/>
    </w:p>
    <w:p w:rsidR="00023FE7" w:rsidRPr="004B208C" w:rsidRDefault="00023FE7">
      <w:pPr>
        <w:pStyle w:val="Body"/>
        <w:ind w:right="-1890"/>
        <w:rPr>
          <w:rFonts w:ascii="Tahoma" w:hAnsi="Tahoma" w:cs="Tahoma"/>
        </w:rPr>
      </w:pPr>
    </w:p>
    <w:p w:rsidR="00023FE7" w:rsidRPr="004B208C" w:rsidRDefault="00023FE7">
      <w:pPr>
        <w:pStyle w:val="Body"/>
        <w:ind w:right="-1890"/>
        <w:rPr>
          <w:rFonts w:ascii="Tahoma" w:hAnsi="Tahoma" w:cs="Tahoma"/>
        </w:rPr>
      </w:pPr>
      <w:r w:rsidRPr="004B208C">
        <w:rPr>
          <w:rFonts w:ascii="Tahoma" w:hAnsi="Tahoma" w:cs="Tahoma"/>
          <w:b/>
        </w:rPr>
        <w:t>Procure se familiarizar com a Legenda da Tabela que se segue às etapas indicadas abaixo.</w:t>
      </w:r>
    </w:p>
    <w:p w:rsidR="00023FE7" w:rsidRPr="004B208C" w:rsidRDefault="00023FE7">
      <w:pPr>
        <w:pStyle w:val="Body"/>
        <w:ind w:right="-1890"/>
        <w:rPr>
          <w:rFonts w:ascii="Tahoma" w:hAnsi="Tahoma" w:cs="Tahoma"/>
        </w:rPr>
      </w:pPr>
    </w:p>
    <w:p w:rsidR="00023FE7" w:rsidRPr="004B208C" w:rsidRDefault="00023FE7">
      <w:pPr>
        <w:pStyle w:val="Body"/>
        <w:ind w:right="-1890"/>
        <w:rPr>
          <w:rFonts w:ascii="Tahoma" w:hAnsi="Tahoma" w:cs="Tahoma"/>
        </w:rPr>
      </w:pPr>
      <w:r w:rsidRPr="004B208C">
        <w:rPr>
          <w:rStyle w:val="BodyChar"/>
          <w:rFonts w:ascii="Tahoma" w:hAnsi="Tahoma" w:cs="Tahoma"/>
          <w:b/>
          <w:sz w:val="18"/>
          <w:szCs w:val="18"/>
        </w:rPr>
        <w:t>Etapa 1:</w:t>
      </w:r>
      <w:r w:rsidR="00172F11">
        <w:rPr>
          <w:rStyle w:val="BodyChar"/>
          <w:rFonts w:ascii="Tahoma" w:hAnsi="Tahoma" w:cs="Tahoma"/>
          <w:b/>
          <w:sz w:val="18"/>
          <w:szCs w:val="18"/>
        </w:rPr>
        <w:t xml:space="preserve"> </w:t>
      </w:r>
      <w:r w:rsidRPr="004B208C">
        <w:rPr>
          <w:rFonts w:ascii="Tahoma" w:hAnsi="Tahoma" w:cs="Tahoma"/>
          <w:sz w:val="18"/>
          <w:szCs w:val="18"/>
        </w:rPr>
        <w:t xml:space="preserve">Encontre na tabela o software que você está cogitando adquirir. </w:t>
      </w:r>
    </w:p>
    <w:p w:rsidR="00023FE7" w:rsidRPr="004B208C" w:rsidRDefault="00023FE7">
      <w:pPr>
        <w:pStyle w:val="Body"/>
        <w:ind w:right="-1890"/>
        <w:rPr>
          <w:rFonts w:ascii="Tahoma" w:hAnsi="Tahoma" w:cs="Tahoma"/>
        </w:rPr>
      </w:pPr>
    </w:p>
    <w:p w:rsidR="00023FE7" w:rsidRPr="004B208C" w:rsidRDefault="00847333" w:rsidP="00FE352F">
      <w:pPr>
        <w:pStyle w:val="NumberedSteps"/>
        <w:ind w:left="0" w:right="720"/>
        <w:rPr>
          <w:rFonts w:ascii="Tahoma" w:hAnsi="Tahoma" w:cs="Tahoma"/>
        </w:rPr>
      </w:pPr>
      <w:r>
        <w:rPr>
          <w:noProof/>
        </w:rPr>
        <mc:AlternateContent>
          <mc:Choice Requires="wps">
            <w:drawing>
              <wp:anchor distT="0" distB="0" distL="114300" distR="114300" simplePos="0" relativeHeight="251673088" behindDoc="0" locked="0" layoutInCell="1" allowOverlap="1">
                <wp:simplePos x="0" y="0"/>
                <wp:positionH relativeFrom="column">
                  <wp:posOffset>0</wp:posOffset>
                </wp:positionH>
                <wp:positionV relativeFrom="paragraph">
                  <wp:posOffset>1933575</wp:posOffset>
                </wp:positionV>
                <wp:extent cx="1600200" cy="219075"/>
                <wp:effectExtent l="0" t="0" r="19050" b="28575"/>
                <wp:wrapNone/>
                <wp:docPr id="111"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21907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1D84358" id="Oval 7" o:spid="_x0000_s1026" style="position:absolute;margin-left:0;margin-top:152.25pt;width:126pt;height:17.2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" filled="f" strokecolor="red" strokeweight="2pt">
                <v:textbox inset="5.85pt,.7pt,5.85pt,.7pt"/>
              </v:oval>
            </w:pict>
          </mc:Fallback>
        </mc:AlternateContent>
      </w:r>
      <w:r w:rsidR="00FE352F">
        <w:rPr>
          <w:noProof/>
        </w:rPr>
        <w:drawing>
          <wp:inline distT="0" distB="0" distL="0" distR="0">
            <wp:extent cx="5934456" cy="266090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6110" t="31930" r="12627" b="16207"/>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9E4A0F" w:rsidRDefault="00023FE7">
      <w:pPr>
        <w:pStyle w:val="NumberedSteps"/>
        <w:ind w:right="720"/>
        <w:rPr>
          <w:rFonts w:ascii="Tahoma" w:hAnsi="Tahoma" w:cs="Tahoma"/>
          <w:sz w:val="16"/>
          <w:szCs w:val="16"/>
        </w:rPr>
      </w:pPr>
    </w:p>
    <w:p w:rsidR="00023FE7" w:rsidRPr="00E6314E" w:rsidRDefault="00023FE7">
      <w:pPr>
        <w:pStyle w:val="NumberedSteps"/>
        <w:ind w:right="720"/>
        <w:rPr>
          <w:rFonts w:ascii="Tahoma" w:hAnsi="Tahoma" w:cs="Tahoma"/>
          <w:sz w:val="18"/>
          <w:szCs w:val="18"/>
        </w:rPr>
      </w:pPr>
      <w:r w:rsidRPr="00E6314E">
        <w:rPr>
          <w:rStyle w:val="BodyChar"/>
          <w:rFonts w:ascii="Tahoma" w:hAnsi="Tahoma" w:cs="Tahoma"/>
          <w:b/>
          <w:sz w:val="18"/>
          <w:szCs w:val="18"/>
        </w:rPr>
        <w:t>Etapa 2:</w:t>
      </w:r>
      <w:r w:rsidR="00172F11" w:rsidRPr="00E6314E">
        <w:rPr>
          <w:rFonts w:ascii="Tahoma" w:hAnsi="Tahoma" w:cs="Tahoma"/>
          <w:sz w:val="18"/>
          <w:szCs w:val="18"/>
        </w:rPr>
        <w:t xml:space="preserve"> </w:t>
      </w:r>
      <w:r w:rsidRPr="00E6314E">
        <w:rPr>
          <w:rFonts w:ascii="Tahoma" w:hAnsi="Tahoma" w:cs="Tahoma"/>
          <w:sz w:val="18"/>
          <w:szCs w:val="18"/>
        </w:rPr>
        <w:t>analise se as informações nas colunas relacionadas a promoções disponíveis, benefícios do Software Assurance, contagem de pontos, disponibilidade de programas etc.</w:t>
      </w:r>
    </w:p>
    <w:p w:rsidR="00023FE7" w:rsidRPr="00E6314E" w:rsidRDefault="00023FE7" w:rsidP="000E5145">
      <w:pPr>
        <w:pStyle w:val="NumberedSteps"/>
        <w:ind w:right="720"/>
        <w:rPr>
          <w:rFonts w:ascii="Tahoma" w:hAnsi="Tahoma" w:cs="Tahoma"/>
          <w:sz w:val="18"/>
          <w:szCs w:val="18"/>
        </w:rPr>
      </w:pPr>
      <w:r w:rsidRPr="00E6314E">
        <w:rPr>
          <w:rStyle w:val="BodyChar"/>
          <w:rFonts w:ascii="Tahoma" w:hAnsi="Tahoma" w:cs="Tahoma"/>
          <w:b/>
          <w:sz w:val="18"/>
          <w:szCs w:val="18"/>
        </w:rPr>
        <w:lastRenderedPageBreak/>
        <w:t>Etapa 3:</w:t>
      </w:r>
      <w:r w:rsidR="00172F11" w:rsidRPr="00E6314E">
        <w:rPr>
          <w:rFonts w:ascii="Tahoma" w:hAnsi="Tahoma" w:cs="Tahoma"/>
          <w:sz w:val="18"/>
          <w:szCs w:val="18"/>
        </w:rPr>
        <w:t xml:space="preserve"> </w:t>
      </w:r>
      <w:r w:rsidRPr="00E6314E">
        <w:rPr>
          <w:rFonts w:ascii="Tahoma" w:hAnsi="Tahoma" w:cs="Tahoma"/>
          <w:sz w:val="18"/>
          <w:szCs w:val="18"/>
        </w:rPr>
        <w:t>em alguns itens de software, também haverá uma nota de rodapé referente a informações adicionais. Se aplicável, “clique” (Ctrl + clique) no número da nota de rodapé, que o</w:t>
      </w:r>
      <w:r w:rsidR="00E6314E" w:rsidRPr="00E6314E">
        <w:rPr>
          <w:rFonts w:ascii="Tahoma" w:hAnsi="Tahoma" w:cs="Tahoma"/>
          <w:sz w:val="18"/>
          <w:szCs w:val="18"/>
        </w:rPr>
        <w:t> </w:t>
      </w:r>
      <w:r w:rsidRPr="00E6314E">
        <w:rPr>
          <w:rFonts w:ascii="Tahoma" w:hAnsi="Tahoma" w:cs="Tahoma"/>
          <w:sz w:val="18"/>
          <w:szCs w:val="18"/>
        </w:rPr>
        <w:t>levará diretamente até o texto aplicável; ou consulte a nota de rodapé identificada nas páginas que se seguem à tabela para ver essas informações adicionais. Estas incluem detalhes a respeito de ofertas de migração ou critérios de qualificação, conforme ilustrado no exemplo abaixo.</w:t>
      </w:r>
    </w:p>
    <w:p w:rsidR="000E5145" w:rsidRPr="00E6314E" w:rsidRDefault="000E5145" w:rsidP="000E5145">
      <w:pPr>
        <w:pStyle w:val="NumberedSteps"/>
        <w:ind w:right="720"/>
        <w:rPr>
          <w:rFonts w:ascii="Tahoma" w:hAnsi="Tahoma" w:cs="Tahoma"/>
          <w:sz w:val="18"/>
          <w:szCs w:val="18"/>
        </w:rPr>
      </w:pPr>
    </w:p>
    <w:p w:rsidR="00023FE7" w:rsidRPr="004B208C" w:rsidRDefault="00847333">
      <w:pPr>
        <w:pStyle w:val="NumberedSteps"/>
        <w:tabs>
          <w:tab w:val="left" w:pos="9360"/>
        </w:tabs>
        <w:ind w:right="720"/>
        <w:rPr>
          <w:rFonts w:ascii="Tahoma" w:hAnsi="Tahoma" w:cs="Tahoma"/>
        </w:rPr>
      </w:pPr>
      <w:r>
        <w:rPr>
          <w:rFonts w:ascii="Tahoma" w:hAnsi="Tahoma" w:cs="Tahoma"/>
          <w:noProof/>
          <w:sz w:val="18"/>
          <w:szCs w:val="18"/>
        </w:rPr>
        <mc:AlternateContent>
          <mc:Choice Requires="wps">
            <w:drawing>
              <wp:anchor distT="0" distB="0" distL="114300" distR="114300" simplePos="0" relativeHeight="251675136" behindDoc="0" locked="0" layoutInCell="1" allowOverlap="1">
                <wp:simplePos x="0" y="0"/>
                <wp:positionH relativeFrom="column">
                  <wp:posOffset>1724025</wp:posOffset>
                </wp:positionH>
                <wp:positionV relativeFrom="paragraph">
                  <wp:posOffset>1644650</wp:posOffset>
                </wp:positionV>
                <wp:extent cx="238125" cy="200025"/>
                <wp:effectExtent l="0" t="0" r="28575" b="28575"/>
                <wp:wrapNone/>
                <wp:docPr id="110"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125" cy="20002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96D0FB8" id="Oval 9" o:spid="_x0000_s1026" style="position:absolute;margin-left:135.75pt;margin-top:129.5pt;width:18.75pt;height:15.75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" filled="f" strokecolor="red" strokeweight="2pt">
                <v:textbox inset="5.85pt,.7pt,5.85pt,.7pt"/>
              </v:oval>
            </w:pict>
          </mc:Fallback>
        </mc:AlternateContent>
      </w:r>
      <w:r>
        <w:rPr>
          <w:rFonts w:ascii="Tahoma" w:hAnsi="Tahoma" w:cs="Tahoma"/>
          <w:noProof/>
          <w:sz w:val="18"/>
          <w:szCs w:val="18"/>
        </w:rPr>
        <mc:AlternateContent>
          <mc:Choice Requires="wps">
            <w:drawing>
              <wp:anchor distT="0" distB="0" distL="114300" distR="114300" simplePos="0" relativeHeight="251674112" behindDoc="0" locked="0" layoutInCell="1" allowOverlap="1">
                <wp:simplePos x="0" y="0"/>
                <wp:positionH relativeFrom="column">
                  <wp:posOffset>438150</wp:posOffset>
                </wp:positionH>
                <wp:positionV relativeFrom="paragraph">
                  <wp:posOffset>1644650</wp:posOffset>
                </wp:positionV>
                <wp:extent cx="895350" cy="161925"/>
                <wp:effectExtent l="0" t="0" r="19050" b="28575"/>
                <wp:wrapNone/>
                <wp:docPr id="15"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5350" cy="161925"/>
                        </a:xfrm>
                        <a:prstGeom prst="ellipse">
                          <a:avLst/>
                        </a:prstGeom>
                        <a:noFill/>
                        <a:ln w="254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3725366" id="Oval 8" o:spid="_x0000_s1026" style="position:absolute;margin-left:34.5pt;margin-top:129.5pt;width:70.5pt;height:12.7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" filled="f" strokecolor="red" strokeweight="2pt">
                <v:textbox inset="5.85pt,.7pt,5.85pt,.7pt"/>
              </v:oval>
            </w:pict>
          </mc:Fallback>
        </mc:AlternateContent>
      </w:r>
      <w:r w:rsidR="00FE352F">
        <w:rPr>
          <w:noProof/>
        </w:rPr>
        <w:drawing>
          <wp:inline distT="0" distB="0" distL="0" distR="0">
            <wp:extent cx="1938528" cy="240487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6110" t="31930" r="58926" b="16207"/>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E6314E" w:rsidRDefault="0013361B">
      <w:pPr>
        <w:pStyle w:val="NumberedSteps"/>
        <w:tabs>
          <w:tab w:val="left" w:pos="9360"/>
        </w:tabs>
        <w:ind w:right="720"/>
        <w:rPr>
          <w:rFonts w:ascii="Tahoma" w:hAnsi="Tahoma" w:cs="Tahoma"/>
          <w:sz w:val="18"/>
          <w:szCs w:val="18"/>
        </w:rPr>
      </w:pPr>
    </w:p>
    <w:p w:rsidR="00023FE7" w:rsidRPr="004B208C" w:rsidRDefault="00330297">
      <w:pPr>
        <w:pStyle w:val="NumberedSteps"/>
        <w:ind w:right="720"/>
        <w:rPr>
          <w:rFonts w:ascii="Tahoma" w:hAnsi="Tahoma" w:cs="Tahoma"/>
        </w:rPr>
      </w:pPr>
      <w:r>
        <w:rPr>
          <w:noProof/>
        </w:rPr>
        <w:drawing>
          <wp:inline distT="0" distB="0" distL="0" distR="0">
            <wp:extent cx="4818888" cy="1005840"/>
            <wp:effectExtent l="19050" t="19050" r="127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8606" t="35835" r="19028" b="47932"/>
                    <a:stretch/>
                  </pic:blipFill>
                  <pic:spPr bwMode="auto">
                    <a:xfrm>
                      <a:off x="0" y="0"/>
                      <a:ext cx="4818888" cy="100584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13361B" w:rsidRPr="00E6314E" w:rsidRDefault="0013361B">
      <w:pPr>
        <w:pStyle w:val="NumberedSteps"/>
        <w:ind w:right="720"/>
        <w:rPr>
          <w:rFonts w:ascii="Tahoma" w:hAnsi="Tahoma" w:cs="Tahoma"/>
          <w:sz w:val="18"/>
          <w:szCs w:val="18"/>
        </w:rPr>
      </w:pPr>
    </w:p>
    <w:p w:rsidR="00023FE7" w:rsidRPr="00E6314E" w:rsidRDefault="00023FE7">
      <w:pPr>
        <w:pStyle w:val="NumberedSteps"/>
        <w:ind w:right="720"/>
        <w:rPr>
          <w:rFonts w:ascii="Tahoma" w:hAnsi="Tahoma" w:cs="Tahoma"/>
          <w:sz w:val="18"/>
          <w:szCs w:val="18"/>
        </w:rPr>
      </w:pPr>
      <w:r w:rsidRPr="00E6314E">
        <w:rPr>
          <w:rStyle w:val="BodyChar"/>
          <w:rFonts w:ascii="Tahoma" w:hAnsi="Tahoma" w:cs="Tahoma"/>
          <w:b/>
          <w:sz w:val="18"/>
          <w:szCs w:val="18"/>
        </w:rPr>
        <w:t>Etapa 4:</w:t>
      </w:r>
      <w:r w:rsidR="00172F11" w:rsidRPr="00E6314E">
        <w:rPr>
          <w:rStyle w:val="BodyChar"/>
          <w:rFonts w:ascii="Tahoma" w:hAnsi="Tahoma" w:cs="Tahoma"/>
          <w:b/>
          <w:sz w:val="18"/>
          <w:szCs w:val="18"/>
        </w:rPr>
        <w:t xml:space="preserve"> </w:t>
      </w:r>
      <w:r w:rsidRPr="00E6314E">
        <w:rPr>
          <w:rFonts w:ascii="Tahoma" w:hAnsi="Tahoma" w:cs="Tahoma"/>
          <w:sz w:val="18"/>
          <w:szCs w:val="18"/>
        </w:rPr>
        <w:t>Para obter mais informações sobre os benefícios do Software Assurance e a aquisição e</w:t>
      </w:r>
      <w:r w:rsidR="00E6314E">
        <w:rPr>
          <w:rFonts w:ascii="Tahoma" w:hAnsi="Tahoma" w:cs="Tahoma"/>
          <w:sz w:val="18"/>
          <w:szCs w:val="18"/>
        </w:rPr>
        <w:t> </w:t>
      </w:r>
      <w:r w:rsidRPr="00E6314E">
        <w:rPr>
          <w:rFonts w:ascii="Tahoma" w:hAnsi="Tahoma" w:cs="Tahoma"/>
          <w:sz w:val="18"/>
          <w:szCs w:val="18"/>
        </w:rPr>
        <w:t>renovação do Software Assurance, consulte os Apêndices 5 e 6.</w:t>
      </w:r>
    </w:p>
    <w:p w:rsidR="00023FE7" w:rsidRPr="00E6314E" w:rsidRDefault="00023FE7">
      <w:pPr>
        <w:pStyle w:val="Body"/>
        <w:ind w:right="720"/>
        <w:rPr>
          <w:rFonts w:ascii="Tahoma" w:hAnsi="Tahoma" w:cs="Tahoma"/>
          <w:sz w:val="18"/>
          <w:szCs w:val="18"/>
        </w:rPr>
      </w:pPr>
      <w:r w:rsidRPr="00E6314E">
        <w:rPr>
          <w:rFonts w:ascii="Tahoma" w:hAnsi="Tahoma" w:cs="Tahoma"/>
          <w:b/>
          <w:sz w:val="18"/>
          <w:szCs w:val="18"/>
        </w:rPr>
        <w:t>Observação:</w:t>
      </w:r>
      <w:r w:rsidR="00172F11" w:rsidRPr="00E6314E">
        <w:rPr>
          <w:rFonts w:ascii="Tahoma" w:hAnsi="Tahoma" w:cs="Tahoma"/>
          <w:sz w:val="18"/>
          <w:szCs w:val="18"/>
        </w:rPr>
        <w:t xml:space="preserve"> </w:t>
      </w:r>
      <w:r w:rsidRPr="00E6314E">
        <w:rPr>
          <w:rFonts w:ascii="Tahoma" w:hAnsi="Tahoma" w:cs="Tahoma"/>
          <w:sz w:val="18"/>
          <w:szCs w:val="18"/>
        </w:rPr>
        <w:t>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 Os clientes devem entrar em contato com o revendedor ou o Gerente de Conta Microsoft para obter informações sobre a disponibilidade regional de um item de software específico.</w:t>
      </w:r>
    </w:p>
    <w:p w:rsidR="00023FE7" w:rsidRPr="00E6314E" w:rsidRDefault="00023FE7">
      <w:pPr>
        <w:pStyle w:val="Body"/>
        <w:ind w:right="720"/>
        <w:rPr>
          <w:rFonts w:ascii="Tahoma" w:hAnsi="Tahoma" w:cs="Tahoma"/>
          <w:sz w:val="18"/>
          <w:szCs w:val="18"/>
        </w:rPr>
      </w:pPr>
    </w:p>
    <w:p w:rsidR="00023FE7" w:rsidRPr="00E6314E" w:rsidRDefault="00023FE7">
      <w:pPr>
        <w:pStyle w:val="Body"/>
        <w:ind w:right="720"/>
        <w:rPr>
          <w:rFonts w:ascii="Tahoma" w:hAnsi="Tahoma" w:cs="Tahoma"/>
          <w:sz w:val="18"/>
          <w:szCs w:val="18"/>
        </w:rPr>
      </w:pPr>
      <w:r w:rsidRPr="00E6314E">
        <w:rPr>
          <w:rFonts w:ascii="Tahoma" w:hAnsi="Tahoma" w:cs="Tahoma"/>
          <w:sz w:val="18"/>
          <w:szCs w:val="18"/>
        </w:rPr>
        <w:t>Convém também analisar o documento de Direitos de Uso de Produto (PUR). O PUR é criado trimestralmente e fornece informações sobre os direitos de uso mais recentes de software da Microsoft segundo os Programas de Licenc</w:t>
      </w:r>
      <w:bookmarkStart w:id="6" w:name="_GoBack"/>
      <w:bookmarkEnd w:id="6"/>
      <w:r w:rsidRPr="00E6314E">
        <w:rPr>
          <w:rFonts w:ascii="Tahoma" w:hAnsi="Tahoma" w:cs="Tahoma"/>
          <w:sz w:val="18"/>
          <w:szCs w:val="18"/>
        </w:rPr>
        <w:t>iamento por Volume da Microsoft. Este documento se</w:t>
      </w:r>
      <w:r w:rsidR="00E6314E">
        <w:rPr>
          <w:rFonts w:ascii="Tahoma" w:hAnsi="Tahoma" w:cs="Tahoma"/>
          <w:sz w:val="18"/>
          <w:szCs w:val="18"/>
        </w:rPr>
        <w:t> </w:t>
      </w:r>
      <w:r w:rsidRPr="00E6314E">
        <w:rPr>
          <w:rFonts w:ascii="Tahoma" w:hAnsi="Tahoma" w:cs="Tahoma"/>
          <w:sz w:val="18"/>
          <w:szCs w:val="18"/>
        </w:rPr>
        <w:t>encontra no site:</w:t>
      </w:r>
      <w:r w:rsidR="00172F11" w:rsidRPr="00E6314E">
        <w:rPr>
          <w:rFonts w:ascii="Tahoma" w:hAnsi="Tahoma" w:cs="Tahoma"/>
          <w:sz w:val="18"/>
          <w:szCs w:val="18"/>
        </w:rPr>
        <w:t xml:space="preserve"> </w:t>
      </w:r>
      <w:r w:rsidR="00E6314E">
        <w:rPr>
          <w:rFonts w:ascii="Tahoma" w:hAnsi="Tahoma" w:cs="Tahoma"/>
          <w:sz w:val="18"/>
          <w:szCs w:val="18"/>
        </w:rPr>
        <w:t>http://www.microsoftvolumelicensing.com/userights/Default.aspx</w:t>
      </w:r>
      <w:r w:rsidR="00E6314E" w:rsidRPr="00E6314E">
        <w:rPr>
          <w:rFonts w:ascii="Tahoma" w:hAnsi="Tahoma" w:cs="Tahoma"/>
          <w:sz w:val="18"/>
          <w:szCs w:val="18"/>
        </w:rPr>
        <w:t xml:space="preserve"> </w:t>
      </w:r>
      <w:hyperlink w:history="1"/>
    </w:p>
    <w:p w:rsidR="00465757" w:rsidRPr="004B208C" w:rsidRDefault="00465757" w:rsidP="00465757">
      <w:pPr>
        <w:rPr>
          <w:rFonts w:cs="Tahoma"/>
        </w:rPr>
      </w:pPr>
    </w:p>
    <w:p w:rsidR="00465757" w:rsidRPr="004B208C" w:rsidRDefault="00465757" w:rsidP="00465757">
      <w:pPr>
        <w:rPr>
          <w:rFonts w:cs="Tahoma"/>
        </w:rPr>
      </w:pPr>
    </w:p>
    <w:p w:rsidR="007F6051" w:rsidRDefault="00023FE7" w:rsidP="0051046C">
      <w:pPr>
        <w:pStyle w:val="TOC1"/>
      </w:pPr>
      <w:r w:rsidRPr="004B208C">
        <w:br w:type="page"/>
      </w:r>
      <w:r w:rsidR="00FD4148" w:rsidRPr="004B208C">
        <w:rPr>
          <w:color w:val="000000" w:themeColor="text1"/>
        </w:rPr>
        <w:fldChar w:fldCharType="begin"/>
      </w:r>
      <w:r w:rsidRPr="004B208C">
        <w:rPr>
          <w:color w:val="000000" w:themeColor="text1"/>
        </w:rPr>
        <w:instrText xml:space="preserve"> TOC \o "1-2" \t "Heading 3,3,Heading 4,4,Product Names,2" </w:instrText>
      </w:r>
      <w:r w:rsidR="00FD4148" w:rsidRPr="004B208C">
        <w:rPr>
          <w:color w:val="000000" w:themeColor="text1"/>
        </w:rPr>
        <w:fldChar w:fldCharType="separate"/>
      </w:r>
    </w:p>
    <w:p w:rsidR="007F6051" w:rsidRDefault="007F6051">
      <w:pPr>
        <w:pStyle w:val="TOC1"/>
        <w:rPr>
          <w:rFonts w:asciiTheme="minorHAnsi" w:eastAsiaTheme="minorEastAsia" w:hAnsiTheme="minorHAnsi" w:cstheme="minorBidi"/>
          <w:b w:val="0"/>
          <w:caps w:val="0"/>
          <w:color w:val="auto"/>
          <w:szCs w:val="22"/>
        </w:rPr>
      </w:pPr>
      <w:r w:rsidRPr="000A66FC">
        <w:rPr>
          <w:b w:val="0"/>
        </w:rPr>
        <w:lastRenderedPageBreak/>
        <w:t>Microsoft</w:t>
      </w:r>
      <w:r w:rsidRPr="000A66FC">
        <w:rPr>
          <w:b w:val="0"/>
          <w:vertAlign w:val="superscript"/>
        </w:rPr>
        <w:t>®</w:t>
      </w:r>
      <w:r>
        <w:tab/>
      </w:r>
      <w:r>
        <w:fldChar w:fldCharType="begin"/>
      </w:r>
      <w:r>
        <w:instrText xml:space="preserve"> PAGEREF _Toc370980969 \h </w:instrText>
      </w:r>
      <w:r>
        <w:fldChar w:fldCharType="separate"/>
      </w:r>
      <w:r>
        <w:t>1</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SOBRE ESTE DOCUMENTO</w:t>
      </w:r>
      <w:r>
        <w:tab/>
      </w:r>
      <w:r>
        <w:fldChar w:fldCharType="begin"/>
      </w:r>
      <w:r>
        <w:instrText xml:space="preserve"> PAGEREF _Toc370980970 \h </w:instrText>
      </w:r>
      <w:r>
        <w:fldChar w:fldCharType="separate"/>
      </w:r>
      <w:r>
        <w:t>2</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como usar a lista de Produtos da Microsoft</w:t>
      </w:r>
      <w:r>
        <w:tab/>
      </w:r>
      <w:r>
        <w:fldChar w:fldCharType="begin"/>
      </w:r>
      <w:r>
        <w:instrText xml:space="preserve"> PAGEREF _Toc370980971 \h </w:instrText>
      </w:r>
      <w:r>
        <w:fldChar w:fldCharType="separate"/>
      </w:r>
      <w:r>
        <w:t>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Legenda da Tabela</w:t>
      </w:r>
      <w:r>
        <w:tab/>
      </w:r>
      <w:r>
        <w:fldChar w:fldCharType="begin"/>
      </w:r>
      <w:r>
        <w:instrText xml:space="preserve"> PAGEREF _Toc370980972 \h </w:instrText>
      </w:r>
      <w:r>
        <w:fldChar w:fldCharType="separate"/>
      </w:r>
      <w:r>
        <w:t>14</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LISTA DE Produtos</w:t>
      </w:r>
      <w:r>
        <w:tab/>
      </w:r>
      <w:r>
        <w:fldChar w:fldCharType="begin"/>
      </w:r>
      <w:r>
        <w:instrText xml:space="preserve"> PAGEREF _Toc370980973 \h </w:instrText>
      </w:r>
      <w:r>
        <w:fldChar w:fldCharType="separate"/>
      </w:r>
      <w:r>
        <w:t>16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POOL DE APLICATIVOS</w:t>
      </w:r>
      <w:r>
        <w:tab/>
      </w:r>
      <w:r>
        <w:fldChar w:fldCharType="begin"/>
      </w:r>
      <w:r>
        <w:instrText xml:space="preserve"> PAGEREF _Toc370980974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Access 2013</w:t>
      </w:r>
      <w:r>
        <w:tab/>
      </w:r>
      <w:r>
        <w:fldChar w:fldCharType="begin"/>
      </w:r>
      <w:r>
        <w:instrText xml:space="preserve"> PAGEREF _Toc370980975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AutoRoute 2013</w:t>
      </w:r>
      <w:r>
        <w:tab/>
      </w:r>
      <w:r>
        <w:fldChar w:fldCharType="begin"/>
      </w:r>
      <w:r>
        <w:instrText xml:space="preserve"> PAGEREF _Toc370980976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Excel 2013</w:t>
      </w:r>
      <w:r>
        <w:tab/>
      </w:r>
      <w:r>
        <w:fldChar w:fldCharType="begin"/>
      </w:r>
      <w:r>
        <w:instrText xml:space="preserve"> PAGEREF _Toc370980977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Excel para Mac 2011</w:t>
      </w:r>
      <w:r>
        <w:tab/>
      </w:r>
      <w:r>
        <w:fldChar w:fldCharType="begin"/>
      </w:r>
      <w:r>
        <w:instrText xml:space="preserve"> PAGEREF _Toc370980978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Expression Encoder Pro 4</w:t>
      </w:r>
      <w:r>
        <w:tab/>
      </w:r>
      <w:r>
        <w:fldChar w:fldCharType="begin"/>
      </w:r>
      <w:r>
        <w:instrText xml:space="preserve"> PAGEREF _Toc370980979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InfoPath</w:t>
      </w:r>
      <w:r w:rsidRPr="000A66FC">
        <w:rPr>
          <w:rFonts w:cs="Tahoma"/>
          <w:vertAlign w:val="superscript"/>
        </w:rPr>
        <w:t>®</w:t>
      </w:r>
      <w:r w:rsidRPr="000A66FC">
        <w:rPr>
          <w:rFonts w:cs="Tahoma"/>
        </w:rPr>
        <w:t xml:space="preserve"> 2013</w:t>
      </w:r>
      <w:r>
        <w:tab/>
      </w:r>
      <w:r>
        <w:fldChar w:fldCharType="begin"/>
      </w:r>
      <w:r>
        <w:instrText xml:space="preserve"> PAGEREF _Toc370980980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Lync 2013</w:t>
      </w:r>
      <w:r>
        <w:tab/>
      </w:r>
      <w:r>
        <w:fldChar w:fldCharType="begin"/>
      </w:r>
      <w:r>
        <w:instrText xml:space="preserve"> PAGEREF _Toc370980981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Lync para Mac 2011</w:t>
      </w:r>
      <w:r>
        <w:tab/>
      </w:r>
      <w:r>
        <w:fldChar w:fldCharType="begin"/>
      </w:r>
      <w:r>
        <w:instrText xml:space="preserve"> PAGEREF _Toc370980982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MapPoint</w:t>
      </w:r>
      <w:r w:rsidRPr="000A66FC">
        <w:rPr>
          <w:rFonts w:cs="Tahoma"/>
          <w:vertAlign w:val="superscript"/>
        </w:rPr>
        <w:t>®</w:t>
      </w:r>
      <w:r w:rsidRPr="000A66FC">
        <w:rPr>
          <w:rFonts w:cs="Tahoma"/>
        </w:rPr>
        <w:t xml:space="preserve"> Fleet Edition 2013</w:t>
      </w:r>
      <w:r>
        <w:tab/>
      </w:r>
      <w:r>
        <w:fldChar w:fldCharType="begin"/>
      </w:r>
      <w:r>
        <w:instrText xml:space="preserve"> PAGEREF _Toc370980983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MapPoint</w:t>
      </w:r>
      <w:r w:rsidRPr="000A66FC">
        <w:rPr>
          <w:rFonts w:cs="Tahoma"/>
          <w:vertAlign w:val="superscript"/>
        </w:rPr>
        <w:t>®</w:t>
      </w:r>
      <w:r w:rsidRPr="000A66FC">
        <w:rPr>
          <w:rFonts w:cs="Tahoma"/>
        </w:rPr>
        <w:t xml:space="preserve"> 2013 para Windows</w:t>
      </w:r>
      <w:r>
        <w:tab/>
      </w:r>
      <w:r>
        <w:fldChar w:fldCharType="begin"/>
      </w:r>
      <w:r>
        <w:instrText xml:space="preserve"> PAGEREF _Toc370980984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MSDN Operating Systems</w:t>
      </w:r>
      <w:r>
        <w:tab/>
      </w:r>
      <w:r>
        <w:fldChar w:fldCharType="begin"/>
      </w:r>
      <w:r>
        <w:instrText xml:space="preserve"> PAGEREF _Toc370980985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Plataformas MSDN</w:t>
      </w:r>
      <w:r>
        <w:tab/>
      </w:r>
      <w:r>
        <w:fldChar w:fldCharType="begin"/>
      </w:r>
      <w:r>
        <w:instrText xml:space="preserve"> PAGEREF _Toc370980986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Education A3  (SL de Usuário)</w:t>
      </w:r>
      <w:r>
        <w:tab/>
      </w:r>
      <w:r>
        <w:fldChar w:fldCharType="begin"/>
      </w:r>
      <w:r>
        <w:instrText xml:space="preserve"> PAGEREF _Toc370980987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Education A4  (SL de Usuário)</w:t>
      </w:r>
      <w:r>
        <w:tab/>
      </w:r>
      <w:r>
        <w:fldChar w:fldCharType="begin"/>
      </w:r>
      <w:r>
        <w:instrText xml:space="preserve"> PAGEREF _Toc370980988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Midsize Business  (SL de Usuário)</w:t>
      </w:r>
      <w:r>
        <w:tab/>
      </w:r>
      <w:r>
        <w:fldChar w:fldCharType="begin"/>
      </w:r>
      <w:r>
        <w:instrText xml:space="preserve"> PAGEREF _Toc370980989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Office 365 Enterprise E3, E4 (SL de Usuário)</w:t>
      </w:r>
      <w:r>
        <w:tab/>
      </w:r>
      <w:r>
        <w:fldChar w:fldCharType="begin"/>
      </w:r>
      <w:r>
        <w:instrText xml:space="preserve"> PAGEREF _Toc370980990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Enterprise E3  (SL de Usuário)</w:t>
      </w:r>
      <w:r>
        <w:tab/>
      </w:r>
      <w:r>
        <w:fldChar w:fldCharType="begin"/>
      </w:r>
      <w:r>
        <w:instrText xml:space="preserve"> PAGEREF _Toc370980991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Enterprise E4  (SL de Usuário)</w:t>
      </w:r>
      <w:r>
        <w:tab/>
      </w:r>
      <w:r>
        <w:fldChar w:fldCharType="begin"/>
      </w:r>
      <w:r>
        <w:instrText xml:space="preserve"> PAGEREF _Toc370980992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Office 365 Government G3, G4 (SL de Usuário)</w:t>
      </w:r>
      <w:r>
        <w:tab/>
      </w:r>
      <w:r>
        <w:fldChar w:fldCharType="begin"/>
      </w:r>
      <w:r>
        <w:instrText xml:space="preserve"> PAGEREF _Toc370980993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Government G3—G4 (SL de Usuário)</w:t>
      </w:r>
      <w:r>
        <w:tab/>
      </w:r>
      <w:r>
        <w:fldChar w:fldCharType="begin"/>
      </w:r>
      <w:r>
        <w:instrText xml:space="preserve"> PAGEREF _Toc370980994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Direitos de Uso Comercial do Office Home and Student RT 2013</w:t>
      </w:r>
      <w:r>
        <w:tab/>
      </w:r>
      <w:r>
        <w:fldChar w:fldCharType="begin"/>
      </w:r>
      <w:r>
        <w:instrText xml:space="preserve"> PAGEREF _Toc370980995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para Mac Standard 2011</w:t>
      </w:r>
      <w:r>
        <w:tab/>
      </w:r>
      <w:r>
        <w:fldChar w:fldCharType="begin"/>
      </w:r>
      <w:r>
        <w:instrText xml:space="preserve"> PAGEREF _Toc370980996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Pacote Multilíngue do Office 2013</w:t>
      </w:r>
      <w:r>
        <w:tab/>
      </w:r>
      <w:r>
        <w:fldChar w:fldCharType="begin"/>
      </w:r>
      <w:r>
        <w:instrText xml:space="preserve"> PAGEREF _Toc370980997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Professional Plus 2013</w:t>
      </w:r>
      <w:r>
        <w:tab/>
      </w:r>
      <w:r>
        <w:fldChar w:fldCharType="begin"/>
      </w:r>
      <w:r>
        <w:instrText xml:space="preserve"> PAGEREF _Toc370980998 \h </w:instrText>
      </w:r>
      <w:r>
        <w:fldChar w:fldCharType="separate"/>
      </w:r>
      <w:r>
        <w:t>16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Office Standard 2013</w:t>
      </w:r>
      <w:r>
        <w:tab/>
      </w:r>
      <w:r>
        <w:fldChar w:fldCharType="begin"/>
      </w:r>
      <w:r>
        <w:instrText xml:space="preserve"> PAGEREF _Toc370980999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ProPlus (SL de Usuário)</w:t>
      </w:r>
      <w:r>
        <w:tab/>
      </w:r>
      <w:r>
        <w:fldChar w:fldCharType="begin"/>
      </w:r>
      <w:r>
        <w:instrText xml:space="preserve"> PAGEREF _Toc370981000 \h </w:instrText>
      </w:r>
      <w:r>
        <w:fldChar w:fldCharType="separate"/>
      </w:r>
      <w:r>
        <w:t>16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ProPlus SA Transition (SL de Usuário)</w:t>
      </w:r>
      <w:r>
        <w:tab/>
      </w:r>
      <w:r>
        <w:fldChar w:fldCharType="begin"/>
      </w:r>
      <w:r>
        <w:instrText xml:space="preserve"> PAGEREF _Toc370981001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Assinatura A do Office Professional Plus (SL de Usuário)</w:t>
      </w:r>
      <w:r>
        <w:tab/>
      </w:r>
      <w:r>
        <w:fldChar w:fldCharType="begin"/>
      </w:r>
      <w:r>
        <w:instrText xml:space="preserve"> PAGEREF _Toc370981002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OneNote</w:t>
      </w:r>
      <w:r w:rsidRPr="000A66FC">
        <w:rPr>
          <w:rFonts w:cs="Tahoma"/>
          <w:vertAlign w:val="superscript"/>
        </w:rPr>
        <w:t>®</w:t>
      </w:r>
      <w:r w:rsidRPr="000A66FC">
        <w:rPr>
          <w:rFonts w:cs="Tahoma"/>
        </w:rPr>
        <w:t xml:space="preserve"> 2013</w:t>
      </w:r>
      <w:r>
        <w:tab/>
      </w:r>
      <w:r>
        <w:fldChar w:fldCharType="begin"/>
      </w:r>
      <w:r>
        <w:instrText xml:space="preserve"> PAGEREF _Toc370981003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Outlook</w:t>
      </w:r>
      <w:r w:rsidRPr="000A66FC">
        <w:rPr>
          <w:rFonts w:cs="Tahoma"/>
          <w:vertAlign w:val="superscript"/>
        </w:rPr>
        <w:t>®</w:t>
      </w:r>
      <w:r w:rsidRPr="000A66FC">
        <w:rPr>
          <w:rFonts w:cs="Tahoma"/>
        </w:rPr>
        <w:t xml:space="preserve"> 2013</w:t>
      </w:r>
      <w:r>
        <w:tab/>
      </w:r>
      <w:r>
        <w:fldChar w:fldCharType="begin"/>
      </w:r>
      <w:r>
        <w:instrText xml:space="preserve"> PAGEREF _Toc370981004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Outlook para Mac 2011</w:t>
      </w:r>
      <w:r>
        <w:tab/>
      </w:r>
      <w:r>
        <w:fldChar w:fldCharType="begin"/>
      </w:r>
      <w:r>
        <w:instrText xml:space="preserve"> PAGEREF _Toc370981005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PowerPoint 2013</w:t>
      </w:r>
      <w:r>
        <w:tab/>
      </w:r>
      <w:r>
        <w:fldChar w:fldCharType="begin"/>
      </w:r>
      <w:r>
        <w:instrText xml:space="preserve"> PAGEREF _Toc370981006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PowerPoint para Mac 2011</w:t>
      </w:r>
      <w:r>
        <w:tab/>
      </w:r>
      <w:r>
        <w:fldChar w:fldCharType="begin"/>
      </w:r>
      <w:r>
        <w:instrText xml:space="preserve"> PAGEREF _Toc370981007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Project Standard 2013</w:t>
      </w:r>
      <w:r>
        <w:tab/>
      </w:r>
      <w:r>
        <w:fldChar w:fldCharType="begin"/>
      </w:r>
      <w:r>
        <w:instrText xml:space="preserve"> PAGEREF _Toc370981008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Project Professional 2013</w:t>
      </w:r>
      <w:r>
        <w:tab/>
      </w:r>
      <w:r>
        <w:fldChar w:fldCharType="begin"/>
      </w:r>
      <w:r>
        <w:instrText xml:space="preserve"> PAGEREF _Toc370981009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Project Pro para Office 365</w:t>
      </w:r>
      <w:r>
        <w:tab/>
      </w:r>
      <w:r>
        <w:fldChar w:fldCharType="begin"/>
      </w:r>
      <w:r>
        <w:instrText xml:space="preserve"> PAGEREF _Toc370981010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Project Pro para Office 365 A</w:t>
      </w:r>
      <w:r>
        <w:tab/>
      </w:r>
      <w:r>
        <w:fldChar w:fldCharType="begin"/>
      </w:r>
      <w:r>
        <w:instrText xml:space="preserve"> PAGEREF _Toc370981011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Publisher 2013</w:t>
      </w:r>
      <w:r>
        <w:tab/>
      </w:r>
      <w:r>
        <w:fldChar w:fldCharType="begin"/>
      </w:r>
      <w:r>
        <w:instrText xml:space="preserve"> PAGEREF _Toc370981012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Direitos de Locação para Office Standard</w:t>
      </w:r>
      <w:r>
        <w:tab/>
      </w:r>
      <w:r>
        <w:fldChar w:fldCharType="begin"/>
      </w:r>
      <w:r>
        <w:instrText xml:space="preserve"> PAGEREF _Toc370981013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Direitos de Locação para Office Professional Plus</w:t>
      </w:r>
      <w:r>
        <w:tab/>
      </w:r>
      <w:r>
        <w:fldChar w:fldCharType="begin"/>
      </w:r>
      <w:r>
        <w:instrText xml:space="preserve"> PAGEREF _Toc370981014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Streets and Trips 2013</w:t>
      </w:r>
      <w:r>
        <w:tab/>
      </w:r>
      <w:r>
        <w:fldChar w:fldCharType="begin"/>
      </w:r>
      <w:r>
        <w:instrText xml:space="preserve"> PAGEREF _Toc370981015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Visio</w:t>
      </w:r>
      <w:r w:rsidRPr="000A66FC">
        <w:rPr>
          <w:vertAlign w:val="superscript"/>
        </w:rPr>
        <w:t>®</w:t>
      </w:r>
      <w:r w:rsidRPr="000A66FC">
        <w:t xml:space="preserve"> 2013 Professional</w:t>
      </w:r>
      <w:r>
        <w:tab/>
      </w:r>
      <w:r>
        <w:fldChar w:fldCharType="begin"/>
      </w:r>
      <w:r>
        <w:instrText xml:space="preserve"> PAGEREF _Toc370981016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Visio</w:t>
      </w:r>
      <w:r w:rsidRPr="000A66FC">
        <w:rPr>
          <w:vertAlign w:val="superscript"/>
        </w:rPr>
        <w:t>®</w:t>
      </w:r>
      <w:r w:rsidRPr="000A66FC">
        <w:t xml:space="preserve"> 2013 Standard</w:t>
      </w:r>
      <w:r>
        <w:tab/>
      </w:r>
      <w:r>
        <w:fldChar w:fldCharType="begin"/>
      </w:r>
      <w:r>
        <w:instrText xml:space="preserve"> PAGEREF _Toc370981017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Visio Pro para Office 365</w:t>
      </w:r>
      <w:r>
        <w:tab/>
      </w:r>
      <w:r>
        <w:fldChar w:fldCharType="begin"/>
      </w:r>
      <w:r>
        <w:instrText xml:space="preserve"> PAGEREF _Toc370981018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Visio Pro para Office 365 A</w:t>
      </w:r>
      <w:r>
        <w:tab/>
      </w:r>
      <w:r>
        <w:fldChar w:fldCharType="begin"/>
      </w:r>
      <w:r>
        <w:instrText xml:space="preserve"> PAGEREF _Toc370981019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Visual Studio</w:t>
      </w:r>
      <w:r w:rsidRPr="000A66FC">
        <w:rPr>
          <w:rFonts w:cs="Tahoma"/>
          <w:vertAlign w:val="superscript"/>
        </w:rPr>
        <w:t>®</w:t>
      </w:r>
      <w:r w:rsidRPr="000A66FC">
        <w:rPr>
          <w:rFonts w:cs="Tahoma"/>
        </w:rPr>
        <w:t xml:space="preserve"> Professional 2013</w:t>
      </w:r>
      <w:r>
        <w:tab/>
      </w:r>
      <w:r>
        <w:fldChar w:fldCharType="begin"/>
      </w:r>
      <w:r>
        <w:instrText xml:space="preserve"> PAGEREF _Toc370981020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Visual Studio</w:t>
      </w:r>
      <w:r w:rsidRPr="000A66FC">
        <w:rPr>
          <w:rFonts w:cs="Tahoma"/>
          <w:vertAlign w:val="superscript"/>
        </w:rPr>
        <w:t>®</w:t>
      </w:r>
      <w:r w:rsidRPr="000A66FC">
        <w:rPr>
          <w:rFonts w:cs="Tahoma"/>
        </w:rPr>
        <w:t xml:space="preserve"> Professional 2013 com MSDN</w:t>
      </w:r>
      <w:r>
        <w:tab/>
      </w:r>
      <w:r>
        <w:fldChar w:fldCharType="begin"/>
      </w:r>
      <w:r>
        <w:instrText xml:space="preserve"> PAGEREF _Toc370981021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Visual Studio</w:t>
      </w:r>
      <w:r w:rsidRPr="000A66FC">
        <w:rPr>
          <w:rFonts w:cs="Tahoma"/>
          <w:vertAlign w:val="superscript"/>
        </w:rPr>
        <w:t>®</w:t>
      </w:r>
      <w:r w:rsidRPr="000A66FC">
        <w:rPr>
          <w:rFonts w:cs="Tahoma"/>
        </w:rPr>
        <w:t xml:space="preserve"> Premium 2013 com MSDN</w:t>
      </w:r>
      <w:r>
        <w:tab/>
      </w:r>
      <w:r>
        <w:fldChar w:fldCharType="begin"/>
      </w:r>
      <w:r>
        <w:instrText xml:space="preserve"> PAGEREF _Toc370981022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Visual Studio</w:t>
      </w:r>
      <w:r w:rsidRPr="000A66FC">
        <w:rPr>
          <w:rFonts w:cs="Tahoma"/>
          <w:vertAlign w:val="superscript"/>
        </w:rPr>
        <w:t>®</w:t>
      </w:r>
      <w:r w:rsidRPr="000A66FC">
        <w:rPr>
          <w:rFonts w:cs="Tahoma"/>
        </w:rPr>
        <w:t xml:space="preserve"> Ultimate 2013 com MSDN</w:t>
      </w:r>
      <w:r>
        <w:tab/>
      </w:r>
      <w:r>
        <w:fldChar w:fldCharType="begin"/>
      </w:r>
      <w:r>
        <w:instrText xml:space="preserve"> PAGEREF _Toc370981023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Visual Studio</w:t>
      </w:r>
      <w:r w:rsidRPr="000A66FC">
        <w:rPr>
          <w:rFonts w:cs="Tahoma"/>
          <w:vertAlign w:val="superscript"/>
        </w:rPr>
        <w:t>®</w:t>
      </w:r>
      <w:r w:rsidRPr="000A66FC">
        <w:rPr>
          <w:rFonts w:cs="Tahoma"/>
        </w:rPr>
        <w:t xml:space="preserve"> Test Professional 2013 com MSDN</w:t>
      </w:r>
      <w:r>
        <w:tab/>
      </w:r>
      <w:r>
        <w:fldChar w:fldCharType="begin"/>
      </w:r>
      <w:r>
        <w:instrText xml:space="preserve"> PAGEREF _Toc370981024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lastRenderedPageBreak/>
        <w:t>Word 2013</w:t>
      </w:r>
      <w:r>
        <w:tab/>
      </w:r>
      <w:r>
        <w:fldChar w:fldCharType="begin"/>
      </w:r>
      <w:r>
        <w:instrText xml:space="preserve"> PAGEREF _Toc370981025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Word para Mac 2011</w:t>
      </w:r>
      <w:r>
        <w:tab/>
      </w:r>
      <w:r>
        <w:fldChar w:fldCharType="begin"/>
      </w:r>
      <w:r>
        <w:instrText xml:space="preserve"> PAGEREF _Toc370981026 \h </w:instrText>
      </w:r>
      <w:r>
        <w:fldChar w:fldCharType="separate"/>
      </w:r>
      <w:r>
        <w:t>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POOL DE SISTEMAS</w:t>
      </w:r>
      <w:r>
        <w:tab/>
      </w:r>
      <w:r>
        <w:fldChar w:fldCharType="begin"/>
      </w:r>
      <w:r>
        <w:instrText xml:space="preserve"> PAGEREF _Toc370981027 \h </w:instrText>
      </w:r>
      <w:r>
        <w:fldChar w:fldCharType="separate"/>
      </w:r>
      <w:r>
        <w:t>17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Desktop Optimization Pack para Software Assurance</w:t>
      </w:r>
      <w:r>
        <w:tab/>
      </w:r>
      <w:r>
        <w:fldChar w:fldCharType="begin"/>
      </w:r>
      <w:r>
        <w:instrText xml:space="preserve"> PAGEREF _Toc370981028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Assinatura do Windows Companion</w:t>
      </w:r>
      <w:r>
        <w:tab/>
      </w:r>
      <w:r>
        <w:fldChar w:fldCharType="begin"/>
      </w:r>
      <w:r>
        <w:instrText xml:space="preserve"> PAGEREF _Toc370981029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w:t>
      </w:r>
      <w:r w:rsidRPr="000A66FC">
        <w:rPr>
          <w:rFonts w:cs="Tahoma"/>
          <w:vertAlign w:val="superscript"/>
        </w:rPr>
        <w:t>®</w:t>
      </w:r>
      <w:r w:rsidRPr="000A66FC">
        <w:rPr>
          <w:rFonts w:cs="Tahoma"/>
        </w:rPr>
        <w:t xml:space="preserve"> Embedded 8.1 Industry Pro</w:t>
      </w:r>
      <w:r>
        <w:tab/>
      </w:r>
      <w:r>
        <w:fldChar w:fldCharType="begin"/>
      </w:r>
      <w:r>
        <w:instrText xml:space="preserve"> PAGEREF _Toc370981030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w:t>
      </w:r>
      <w:r w:rsidRPr="000A66FC">
        <w:rPr>
          <w:rFonts w:cs="Tahoma"/>
          <w:vertAlign w:val="superscript"/>
        </w:rPr>
        <w:t>®</w:t>
      </w:r>
      <w:r w:rsidRPr="000A66FC">
        <w:rPr>
          <w:rFonts w:cs="Tahoma"/>
        </w:rPr>
        <w:t xml:space="preserve"> Embedded 8.1 Industry Pro Sideloading</w:t>
      </w:r>
      <w:r>
        <w:tab/>
      </w:r>
      <w:r>
        <w:fldChar w:fldCharType="begin"/>
      </w:r>
      <w:r>
        <w:instrText xml:space="preserve"> PAGEREF _Toc370981031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w:t>
      </w:r>
      <w:r w:rsidRPr="000A66FC">
        <w:rPr>
          <w:rFonts w:cs="Tahoma"/>
          <w:vertAlign w:val="superscript"/>
        </w:rPr>
        <w:t>®</w:t>
      </w:r>
      <w:r w:rsidRPr="000A66FC">
        <w:rPr>
          <w:rFonts w:cs="Tahoma"/>
        </w:rPr>
        <w:t xml:space="preserve"> Embedded 8 Standard Enterprise Kit</w:t>
      </w:r>
      <w:r>
        <w:tab/>
      </w:r>
      <w:r>
        <w:fldChar w:fldCharType="begin"/>
      </w:r>
      <w:r>
        <w:instrText xml:space="preserve"> PAGEREF _Toc370981032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Direitos de Locação para Windows</w:t>
      </w:r>
      <w:r>
        <w:tab/>
      </w:r>
      <w:r>
        <w:fldChar w:fldCharType="begin"/>
      </w:r>
      <w:r>
        <w:instrText xml:space="preserve"> PAGEREF _Toc370981033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Parceiros na Aprendizagem do Windows</w:t>
      </w:r>
      <w:r w:rsidRPr="000A66FC">
        <w:rPr>
          <w:rFonts w:cs="Tahoma"/>
          <w:vertAlign w:val="superscript"/>
        </w:rPr>
        <w:t>®</w:t>
      </w:r>
      <w:r w:rsidRPr="000A66FC">
        <w:rPr>
          <w:rFonts w:cs="Tahoma"/>
        </w:rPr>
        <w:t xml:space="preserve"> 7</w:t>
      </w:r>
      <w:r>
        <w:tab/>
      </w:r>
      <w:r>
        <w:fldChar w:fldCharType="begin"/>
      </w:r>
      <w:r>
        <w:instrText xml:space="preserve"> PAGEREF _Toc370981034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8.1 Enterprise Sideloading (Pacote com 100)</w:t>
      </w:r>
      <w:r>
        <w:tab/>
      </w:r>
      <w:r>
        <w:fldChar w:fldCharType="begin"/>
      </w:r>
      <w:r>
        <w:instrText xml:space="preserve"> PAGEREF _Toc370981035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w:t>
      </w:r>
      <w:r w:rsidRPr="000A66FC">
        <w:rPr>
          <w:rFonts w:cs="Tahoma"/>
          <w:vertAlign w:val="superscript"/>
        </w:rPr>
        <w:t>®</w:t>
      </w:r>
      <w:r w:rsidRPr="000A66FC">
        <w:rPr>
          <w:rFonts w:cs="Tahoma"/>
        </w:rPr>
        <w:t xml:space="preserve"> 8.1 Pro</w:t>
      </w:r>
      <w:r>
        <w:tab/>
      </w:r>
      <w:r>
        <w:fldChar w:fldCharType="begin"/>
      </w:r>
      <w:r>
        <w:instrText xml:space="preserve"> PAGEREF _Toc370981036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w:t>
      </w:r>
      <w:r w:rsidRPr="000A66FC">
        <w:rPr>
          <w:rFonts w:cs="Tahoma"/>
          <w:vertAlign w:val="superscript"/>
        </w:rPr>
        <w:t>®</w:t>
      </w:r>
      <w:r w:rsidRPr="000A66FC">
        <w:rPr>
          <w:rFonts w:cs="Tahoma"/>
        </w:rPr>
        <w:t xml:space="preserve"> 8.1 Pro com MDOP</w:t>
      </w:r>
      <w:r>
        <w:tab/>
      </w:r>
      <w:r>
        <w:fldChar w:fldCharType="begin"/>
      </w:r>
      <w:r>
        <w:instrText xml:space="preserve"> PAGEREF _Toc370981037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Virtual Desktop Access (VDA)</w:t>
      </w:r>
      <w:r>
        <w:tab/>
      </w:r>
      <w:r>
        <w:fldChar w:fldCharType="begin"/>
      </w:r>
      <w:r>
        <w:instrText xml:space="preserve"> PAGEREF _Toc370981038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Intune (Por Dispositivo)</w:t>
      </w:r>
      <w:r>
        <w:tab/>
      </w:r>
      <w:r>
        <w:fldChar w:fldCharType="begin"/>
      </w:r>
      <w:r>
        <w:instrText xml:space="preserve"> PAGEREF _Toc370981039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Windows Intune (Por Dispositivo)</w:t>
      </w:r>
      <w:r>
        <w:tab/>
      </w:r>
      <w:r>
        <w:fldChar w:fldCharType="begin"/>
      </w:r>
      <w:r>
        <w:instrText xml:space="preserve"> PAGEREF _Toc370981040 \h </w:instrText>
      </w:r>
      <w:r>
        <w:fldChar w:fldCharType="separate"/>
      </w:r>
      <w:r>
        <w:t>18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POOL DE SERVIDORES</w:t>
      </w:r>
      <w:r>
        <w:tab/>
      </w:r>
      <w:r>
        <w:fldChar w:fldCharType="begin"/>
      </w:r>
      <w:r>
        <w:instrText xml:space="preserve"> PAGEREF _Toc370981041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Bing Maps Consumer Controlado por Assinatura Mensal de Ativos</w:t>
      </w:r>
      <w:r>
        <w:tab/>
      </w:r>
      <w:r>
        <w:fldChar w:fldCharType="begin"/>
      </w:r>
      <w:r>
        <w:instrText xml:space="preserve"> PAGEREF _Toc370981042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Valor da Assinatura Mensal do Bing Maps Enterprise</w:t>
      </w:r>
      <w:r>
        <w:tab/>
      </w:r>
      <w:r>
        <w:fldChar w:fldCharType="begin"/>
      </w:r>
      <w:r>
        <w:instrText xml:space="preserve"> PAGEREF _Toc370981043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Assinatura Mensal de 100 Mil Transações de Uso de Site Público do Bing Maps</w:t>
      </w:r>
      <w:r>
        <w:tab/>
      </w:r>
      <w:r>
        <w:fldChar w:fldCharType="begin"/>
      </w:r>
      <w:r>
        <w:instrText xml:space="preserve"> PAGEREF _Toc370981044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Assinatura Mensal de 420 Mil (e valores superiores) Transações de Uso de Site Público do Bing Maps</w:t>
      </w:r>
      <w:r>
        <w:tab/>
      </w:r>
      <w:r>
        <w:fldChar w:fldCharType="begin"/>
      </w:r>
      <w:r>
        <w:instrText xml:space="preserve"> PAGEREF _Toc370981045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Assinatura Mensal de 100 Mil Transações de Uso de Site Interno do Bing Maps</w:t>
      </w:r>
      <w:r>
        <w:tab/>
      </w:r>
      <w:r>
        <w:fldChar w:fldCharType="begin"/>
      </w:r>
      <w:r>
        <w:instrText xml:space="preserve"> PAGEREF _Toc370981046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Assinatura Mensal de 250 Mil (e valores superiores) Transações de Uso de Site Interno do Bing Maps</w:t>
      </w:r>
      <w:r>
        <w:tab/>
      </w:r>
      <w:r>
        <w:fldChar w:fldCharType="begin"/>
      </w:r>
      <w:r>
        <w:instrText xml:space="preserve"> PAGEREF _Toc370981047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Bing Maps por Assinatura Mensal de Usuários Conhecidos</w:t>
      </w:r>
      <w:r>
        <w:tab/>
      </w:r>
      <w:r>
        <w:fldChar w:fldCharType="begin"/>
      </w:r>
      <w:r>
        <w:instrText xml:space="preserve"> PAGEREF _Toc370981048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Bing Maps por Assinatura Mensal de Pacote de 5 Mil Usuários Conhecidos</w:t>
      </w:r>
      <w:r>
        <w:tab/>
      </w:r>
      <w:r>
        <w:fldChar w:fldCharType="begin"/>
      </w:r>
      <w:r>
        <w:instrText xml:space="preserve"> PAGEREF _Toc370981049 \h </w:instrText>
      </w:r>
      <w:r>
        <w:fldChar w:fldCharType="separate"/>
      </w:r>
      <w:r>
        <w:t>18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Bing Maps Light Conhecido por Assinatura Mensal de Usuários</w:t>
      </w:r>
      <w:r>
        <w:tab/>
      </w:r>
      <w:r>
        <w:fldChar w:fldCharType="begin"/>
      </w:r>
      <w:r>
        <w:instrText xml:space="preserve"> PAGEREF _Toc370981050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Bing Maps Light Conhecido por Assinatura Mensal de Pacote de 5 Mil Usuários</w:t>
      </w:r>
      <w:r>
        <w:tab/>
      </w:r>
      <w:r>
        <w:fldChar w:fldCharType="begin"/>
      </w:r>
      <w:r>
        <w:instrText xml:space="preserve"> PAGEREF _Toc370981051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Assinatura Mensal de Tarifa por Plataforma de Gerenciamento de Ativos Móveis do Bing Maps</w:t>
      </w:r>
      <w:r>
        <w:tab/>
      </w:r>
      <w:r>
        <w:fldChar w:fldCharType="begin"/>
      </w:r>
      <w:r>
        <w:instrText xml:space="preserve"> PAGEREF _Toc370981052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Gerenciamento de Ativos Móveis do Bing Maps (América do Norte) com roteamento por Assinatura Mensal de Ativos</w:t>
      </w:r>
      <w:r>
        <w:tab/>
      </w:r>
      <w:r>
        <w:fldChar w:fldCharType="begin"/>
      </w:r>
      <w:r>
        <w:instrText xml:space="preserve"> PAGEREF _Toc370981053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Gerenciamento de Ativos Móveis do Bing Maps (América do Norte) sem roteamento por Assinatura Mensal de Ativos</w:t>
      </w:r>
      <w:r>
        <w:tab/>
      </w:r>
      <w:r>
        <w:fldChar w:fldCharType="begin"/>
      </w:r>
      <w:r>
        <w:instrText xml:space="preserve"> PAGEREF _Toc370981054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Gerenciamento de Ativos Móveis do Bing Maps (Europa) com roteamento por Assinatura Mensal de Ativos</w:t>
      </w:r>
      <w:r>
        <w:tab/>
      </w:r>
      <w:r>
        <w:fldChar w:fldCharType="begin"/>
      </w:r>
      <w:r>
        <w:instrText xml:space="preserve"> PAGEREF _Toc370981055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Gerenciamento de Ativos Móveis do Bing Maps (Europa) sem roteamento por Assinatura Mensal de Ativos</w:t>
      </w:r>
      <w:r>
        <w:tab/>
      </w:r>
      <w:r>
        <w:fldChar w:fldCharType="begin"/>
      </w:r>
      <w:r>
        <w:instrText xml:space="preserve"> PAGEREF _Toc370981056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BizTalk</w:t>
      </w:r>
      <w:r w:rsidRPr="000A66FC">
        <w:rPr>
          <w:rFonts w:cs="Tahoma"/>
          <w:vertAlign w:val="superscript"/>
        </w:rPr>
        <w:t>®</w:t>
      </w:r>
      <w:r w:rsidRPr="000A66FC">
        <w:rPr>
          <w:rFonts w:cs="Tahoma"/>
        </w:rPr>
        <w:t xml:space="preserve"> Server 2013 Branch Edition</w:t>
      </w:r>
      <w:r>
        <w:tab/>
      </w:r>
      <w:r>
        <w:fldChar w:fldCharType="begin"/>
      </w:r>
      <w:r>
        <w:instrText xml:space="preserve"> PAGEREF _Toc370981057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BizTalk</w:t>
      </w:r>
      <w:r w:rsidRPr="000A66FC">
        <w:rPr>
          <w:rFonts w:cs="Tahoma"/>
          <w:vertAlign w:val="superscript"/>
        </w:rPr>
        <w:t>®</w:t>
      </w:r>
      <w:r w:rsidRPr="000A66FC">
        <w:rPr>
          <w:rFonts w:cs="Tahoma"/>
        </w:rPr>
        <w:t xml:space="preserve"> Server 2013 Enterprise Edition</w:t>
      </w:r>
      <w:r>
        <w:tab/>
      </w:r>
      <w:r>
        <w:fldChar w:fldCharType="begin"/>
      </w:r>
      <w:r>
        <w:instrText xml:space="preserve"> PAGEREF _Toc370981058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BizTalk</w:t>
      </w:r>
      <w:r w:rsidRPr="000A66FC">
        <w:rPr>
          <w:rFonts w:cs="Tahoma"/>
          <w:vertAlign w:val="superscript"/>
        </w:rPr>
        <w:t>®</w:t>
      </w:r>
      <w:r w:rsidRPr="000A66FC">
        <w:rPr>
          <w:rFonts w:cs="Tahoma"/>
        </w:rPr>
        <w:t xml:space="preserve"> Server 2013 Branch IDC</w:t>
      </w:r>
      <w:r>
        <w:tab/>
      </w:r>
      <w:r>
        <w:fldChar w:fldCharType="begin"/>
      </w:r>
      <w:r>
        <w:instrText xml:space="preserve"> PAGEREF _Toc370981059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BizTalk</w:t>
      </w:r>
      <w:r w:rsidRPr="000A66FC">
        <w:rPr>
          <w:rFonts w:cs="Tahoma"/>
          <w:vertAlign w:val="superscript"/>
        </w:rPr>
        <w:t>®</w:t>
      </w:r>
      <w:r w:rsidRPr="000A66FC">
        <w:rPr>
          <w:rFonts w:cs="Tahoma"/>
        </w:rPr>
        <w:t xml:space="preserve"> Server 2013 Standard Edition</w:t>
      </w:r>
      <w:r>
        <w:tab/>
      </w:r>
      <w:r>
        <w:fldChar w:fldCharType="begin"/>
      </w:r>
      <w:r>
        <w:instrText xml:space="preserve"> PAGEREF _Toc370981060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BizTalk</w:t>
      </w:r>
      <w:r w:rsidRPr="000A66FC">
        <w:rPr>
          <w:rFonts w:cs="Tahoma"/>
          <w:vertAlign w:val="superscript"/>
        </w:rPr>
        <w:t>®</w:t>
      </w:r>
      <w:r w:rsidRPr="000A66FC">
        <w:rPr>
          <w:rFonts w:cs="Tahoma"/>
        </w:rPr>
        <w:t xml:space="preserve"> Server 2013 Standard Edition IDC</w:t>
      </w:r>
      <w:r>
        <w:tab/>
      </w:r>
      <w:r>
        <w:fldChar w:fldCharType="begin"/>
      </w:r>
      <w:r>
        <w:instrText xml:space="preserve"> PAGEREF _Toc370981061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Business Intelligence Appliance 2012</w:t>
      </w:r>
      <w:r>
        <w:tab/>
      </w:r>
      <w:r>
        <w:fldChar w:fldCharType="begin"/>
      </w:r>
      <w:r>
        <w:instrText xml:space="preserve"> PAGEREF _Toc370981062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Bridge do Pacote de CALs Principais para Office 365 (Usuário e Dispositivo)</w:t>
      </w:r>
      <w:r>
        <w:tab/>
      </w:r>
      <w:r>
        <w:fldChar w:fldCharType="begin"/>
      </w:r>
      <w:r>
        <w:instrText xml:space="preserve"> PAGEREF _Toc370981063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Bridge do Pacote de CALs Principais para Office 365 e Windows</w:t>
      </w:r>
      <w:r w:rsidRPr="000A66FC">
        <w:rPr>
          <w:rFonts w:cs="Tahoma"/>
          <w:vertAlign w:val="superscript"/>
        </w:rPr>
        <w:t>®</w:t>
      </w:r>
      <w:r w:rsidRPr="000A66FC">
        <w:rPr>
          <w:rFonts w:cs="Tahoma"/>
        </w:rPr>
        <w:t xml:space="preserve"> Intune (Usuário e Dispositivo)</w:t>
      </w:r>
      <w:r>
        <w:tab/>
      </w:r>
      <w:r>
        <w:fldChar w:fldCharType="begin"/>
      </w:r>
      <w:r>
        <w:instrText xml:space="preserve"> PAGEREF _Toc370981064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Bridge do Pacote de CALs Principais para Windows</w:t>
      </w:r>
      <w:r w:rsidRPr="000A66FC">
        <w:rPr>
          <w:rFonts w:cs="Tahoma"/>
          <w:vertAlign w:val="superscript"/>
        </w:rPr>
        <w:t>®</w:t>
      </w:r>
      <w:r w:rsidRPr="000A66FC">
        <w:rPr>
          <w:rFonts w:cs="Tahoma"/>
        </w:rPr>
        <w:t xml:space="preserve"> Intune (Usuário e Dispositivo)</w:t>
      </w:r>
      <w:r>
        <w:tab/>
      </w:r>
      <w:r>
        <w:fldChar w:fldCharType="begin"/>
      </w:r>
      <w:r>
        <w:instrText xml:space="preserve"> PAGEREF _Toc370981065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Core CAL Suite (Usuário e Dispositivo)</w:t>
      </w:r>
      <w:r>
        <w:tab/>
      </w:r>
      <w:r>
        <w:fldChar w:fldCharType="begin"/>
      </w:r>
      <w:r>
        <w:instrText xml:space="preserve"> PAGEREF _Toc370981066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Core Infrastructure Server Suite Standard</w:t>
      </w:r>
      <w:r>
        <w:tab/>
      </w:r>
      <w:r>
        <w:fldChar w:fldCharType="begin"/>
      </w:r>
      <w:r>
        <w:instrText xml:space="preserve"> PAGEREF _Toc370981067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Core Infrastructure Server Suite Enterprise</w:t>
      </w:r>
      <w:r>
        <w:tab/>
      </w:r>
      <w:r>
        <w:fldChar w:fldCharType="begin"/>
      </w:r>
      <w:r>
        <w:instrText xml:space="preserve"> PAGEREF _Toc370981068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Core Infrastructure Server Suite Datacenter</w:t>
      </w:r>
      <w:r>
        <w:tab/>
      </w:r>
      <w:r>
        <w:fldChar w:fldCharType="begin"/>
      </w:r>
      <w:r>
        <w:instrText xml:space="preserve"> PAGEREF _Toc370981069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000000"/>
        </w:rPr>
        <w:t>Duet Enterprise 2.0</w:t>
      </w:r>
      <w:r>
        <w:tab/>
      </w:r>
      <w:r>
        <w:fldChar w:fldCharType="begin"/>
      </w:r>
      <w:r>
        <w:instrText xml:space="preserve"> PAGEREF _Toc370981070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Bridge do Pacote de CALs Empresariais para Office 365 (Usuário e Dispositivo)</w:t>
      </w:r>
      <w:r>
        <w:tab/>
      </w:r>
      <w:r>
        <w:fldChar w:fldCharType="begin"/>
      </w:r>
      <w:r>
        <w:instrText xml:space="preserve"> PAGEREF _Toc370981071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Bridge do Pacote de CALs Empresariais para Office 365 e Windows</w:t>
      </w:r>
      <w:r w:rsidRPr="000A66FC">
        <w:rPr>
          <w:rFonts w:cs="Tahoma"/>
          <w:vertAlign w:val="superscript"/>
        </w:rPr>
        <w:t>®</w:t>
      </w:r>
      <w:r w:rsidRPr="000A66FC">
        <w:rPr>
          <w:rFonts w:cs="Tahoma"/>
        </w:rPr>
        <w:t xml:space="preserve"> Intune (Usuário e Dispositivo)</w:t>
      </w:r>
      <w:r>
        <w:tab/>
      </w:r>
      <w:r>
        <w:fldChar w:fldCharType="begin"/>
      </w:r>
      <w:r>
        <w:instrText xml:space="preserve"> PAGEREF _Toc370981072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Bridge do Pacote de CALs Empresariais para Windows</w:t>
      </w:r>
      <w:r w:rsidRPr="000A66FC">
        <w:rPr>
          <w:rFonts w:cs="Tahoma"/>
          <w:vertAlign w:val="superscript"/>
        </w:rPr>
        <w:t>®</w:t>
      </w:r>
      <w:r w:rsidRPr="000A66FC">
        <w:rPr>
          <w:rFonts w:cs="Tahoma"/>
        </w:rPr>
        <w:t xml:space="preserve"> Intune (Usuário e Dispositivo)</w:t>
      </w:r>
      <w:r>
        <w:tab/>
      </w:r>
      <w:r>
        <w:fldChar w:fldCharType="begin"/>
      </w:r>
      <w:r>
        <w:instrText xml:space="preserve"> PAGEREF _Toc370981073 \h </w:instrText>
      </w:r>
      <w:r>
        <w:fldChar w:fldCharType="separate"/>
      </w:r>
      <w:r>
        <w:t>19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Pacote de CALs Empresariais  (Usuário e Dispositivo)</w:t>
      </w:r>
      <w:r>
        <w:tab/>
      </w:r>
      <w:r>
        <w:fldChar w:fldCharType="begin"/>
      </w:r>
      <w:r>
        <w:instrText xml:space="preserve"> PAGEREF _Toc370981074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Empresarial do Exchange com Serviços 2013</w:t>
      </w:r>
      <w:r>
        <w:tab/>
      </w:r>
      <w:r>
        <w:fldChar w:fldCharType="begin"/>
      </w:r>
      <w:r>
        <w:instrText xml:space="preserve"> PAGEREF _Toc370981075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Empresarial do Exchange sem Serviços 2013</w:t>
      </w:r>
      <w:r>
        <w:tab/>
      </w:r>
      <w:r>
        <w:fldChar w:fldCharType="begin"/>
      </w:r>
      <w:r>
        <w:instrText xml:space="preserve"> PAGEREF _Toc370981076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Online Archiving para Exchange Server (SL de Usuário)</w:t>
      </w:r>
      <w:r>
        <w:tab/>
      </w:r>
      <w:r>
        <w:fldChar w:fldCharType="begin"/>
      </w:r>
      <w:r>
        <w:instrText xml:space="preserve"> PAGEREF _Toc370981077 \h </w:instrText>
      </w:r>
      <w:r>
        <w:fldChar w:fldCharType="separate"/>
      </w:r>
      <w:r>
        <w:t>20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Servidor A (SL de Usuário)</w:t>
      </w:r>
      <w:r>
        <w:tab/>
      </w:r>
      <w:r>
        <w:fldChar w:fldCharType="begin"/>
      </w:r>
      <w:r>
        <w:instrText xml:space="preserve"> PAGEREF _Toc370981078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Hosted Archive  (SL de Usuário)</w:t>
      </w:r>
      <w:r>
        <w:tab/>
      </w:r>
      <w:r>
        <w:fldChar w:fldCharType="begin"/>
      </w:r>
      <w:r>
        <w:instrText xml:space="preserve"> PAGEREF _Toc370981079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Hosted Archive Extra Storage (SL de Usuário)</w:t>
      </w:r>
      <w:r>
        <w:tab/>
      </w:r>
      <w:r>
        <w:fldChar w:fldCharType="begin"/>
      </w:r>
      <w:r>
        <w:instrText xml:space="preserve"> PAGEREF _Toc370981080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Hosted Encryption  (SL de Usuário)</w:t>
      </w:r>
      <w:r>
        <w:tab/>
      </w:r>
      <w:r>
        <w:fldChar w:fldCharType="begin"/>
      </w:r>
      <w:r>
        <w:instrText xml:space="preserve"> PAGEREF _Toc370981081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Online Archiving para Exchange Online A</w:t>
      </w:r>
      <w:r>
        <w:tab/>
      </w:r>
      <w:r>
        <w:fldChar w:fldCharType="begin"/>
      </w:r>
      <w:r>
        <w:instrText xml:space="preserve"> PAGEREF _Toc370981082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Online Archiving para Exchange Online</w:t>
      </w:r>
      <w:r>
        <w:tab/>
      </w:r>
      <w:r>
        <w:fldChar w:fldCharType="begin"/>
      </w:r>
      <w:r>
        <w:instrText xml:space="preserve"> PAGEREF _Toc370981083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lastRenderedPageBreak/>
        <w:t>Quiosque do Exchange Online  (SL de Usuário)</w:t>
      </w:r>
      <w:r>
        <w:tab/>
      </w:r>
      <w:r>
        <w:fldChar w:fldCharType="begin"/>
      </w:r>
      <w:r>
        <w:instrText xml:space="preserve"> PAGEREF _Toc370981084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Exchange Online Plano 1 (SL de Usuário)</w:t>
      </w:r>
      <w:r>
        <w:tab/>
      </w:r>
      <w:r>
        <w:fldChar w:fldCharType="begin"/>
      </w:r>
      <w:r>
        <w:instrText xml:space="preserve"> PAGEREF _Toc370981085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Online Plano 1  (SL de Usuário)</w:t>
      </w:r>
      <w:r>
        <w:tab/>
      </w:r>
      <w:r>
        <w:fldChar w:fldCharType="begin"/>
      </w:r>
      <w:r>
        <w:instrText xml:space="preserve"> PAGEREF _Toc370981086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Online Plano 2  (SL de Usuário)</w:t>
      </w:r>
      <w:r>
        <w:tab/>
      </w:r>
      <w:r>
        <w:fldChar w:fldCharType="begin"/>
      </w:r>
      <w:r>
        <w:instrText xml:space="preserve"> PAGEREF _Toc370981087 \h </w:instrText>
      </w:r>
      <w:r>
        <w:fldChar w:fldCharType="separate"/>
      </w:r>
      <w:r>
        <w:t>20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Exchange Online Plan 1A para Alunos (SL do Usuário)</w:t>
      </w:r>
      <w:r>
        <w:tab/>
      </w:r>
      <w:r>
        <w:fldChar w:fldCharType="begin"/>
      </w:r>
      <w:r>
        <w:instrText xml:space="preserve"> PAGEREF _Toc370981088 \h </w:instrText>
      </w:r>
      <w:r>
        <w:fldChar w:fldCharType="separate"/>
      </w:r>
      <w:r>
        <w:t>20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Exchange Online Plano 2A  (SL de Usuário)</w:t>
      </w:r>
      <w:r>
        <w:tab/>
      </w:r>
      <w:r>
        <w:fldChar w:fldCharType="begin"/>
      </w:r>
      <w:r>
        <w:instrText xml:space="preserve"> PAGEREF _Toc370981089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Online Protection  (SL de Usuário)</w:t>
      </w:r>
      <w:r>
        <w:tab/>
      </w:r>
      <w:r>
        <w:fldChar w:fldCharType="begin"/>
      </w:r>
      <w:r>
        <w:instrText xml:space="preserve"> PAGEREF _Toc370981090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Server Enterprise 2013</w:t>
      </w:r>
      <w:r>
        <w:tab/>
      </w:r>
      <w:r>
        <w:fldChar w:fldCharType="begin"/>
      </w:r>
      <w:r>
        <w:instrText xml:space="preserve"> PAGEREF _Toc370981091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Server Standard 2013</w:t>
      </w:r>
      <w:r>
        <w:tab/>
      </w:r>
      <w:r>
        <w:fldChar w:fldCharType="begin"/>
      </w:r>
      <w:r>
        <w:instrText xml:space="preserve"> PAGEREF _Toc370981092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Exchange Server 2007 Standard for Small Business</w:t>
      </w:r>
      <w:r>
        <w:tab/>
      </w:r>
      <w:r>
        <w:fldChar w:fldCharType="begin"/>
      </w:r>
      <w:r>
        <w:instrText xml:space="preserve"> PAGEREF _Toc370981093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Exchange Server 2007 Standard for Small Business</w:t>
      </w:r>
      <w:r>
        <w:tab/>
      </w:r>
      <w:r>
        <w:fldChar w:fldCharType="begin"/>
      </w:r>
      <w:r>
        <w:instrText xml:space="preserve"> PAGEREF _Toc370981094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Exchange Server 2010 Standard (Dispositivo e Usuário)</w:t>
      </w:r>
      <w:r>
        <w:tab/>
      </w:r>
      <w:r>
        <w:fldChar w:fldCharType="begin"/>
      </w:r>
      <w:r>
        <w:instrText xml:space="preserve"> PAGEREF _Toc370981095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Endpoint Protection</w:t>
      </w:r>
      <w:r>
        <w:tab/>
      </w:r>
      <w:r>
        <w:fldChar w:fldCharType="begin"/>
      </w:r>
      <w:r>
        <w:instrText xml:space="preserve"> PAGEREF _Toc370981096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Forefront Identity Manager 2010 R2 (Somente usuário)</w:t>
      </w:r>
      <w:r>
        <w:tab/>
      </w:r>
      <w:r>
        <w:fldChar w:fldCharType="begin"/>
      </w:r>
      <w:r>
        <w:instrText xml:space="preserve"> PAGEREF _Toc370981097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Identity Manager 2010 R2 External Connector</w:t>
      </w:r>
      <w:r>
        <w:tab/>
      </w:r>
      <w:r>
        <w:fldChar w:fldCharType="begin"/>
      </w:r>
      <w:r>
        <w:instrText xml:space="preserve"> PAGEREF _Toc370981098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Identity Manager 2010 R2 Server</w:t>
      </w:r>
      <w:r>
        <w:tab/>
      </w:r>
      <w:r>
        <w:fldChar w:fldCharType="begin"/>
      </w:r>
      <w:r>
        <w:instrText xml:space="preserve"> PAGEREF _Toc370981099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Identity Manager 2010 R2 – Windows Live Edition</w:t>
      </w:r>
      <w:r>
        <w:tab/>
      </w:r>
      <w:r>
        <w:fldChar w:fldCharType="begin"/>
      </w:r>
      <w:r>
        <w:instrText xml:space="preserve"> PAGEREF _Toc370981100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Online Protection for Exchange (SL de Dispositivo e Usuário)</w:t>
      </w:r>
      <w:r>
        <w:tab/>
      </w:r>
      <w:r>
        <w:fldChar w:fldCharType="begin"/>
      </w:r>
      <w:r>
        <w:instrText xml:space="preserve"> PAGEREF _Toc370981101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Protection 2010 for Exchange Server (SL de Dispositivo e Usuário)</w:t>
      </w:r>
      <w:r>
        <w:tab/>
      </w:r>
      <w:r>
        <w:fldChar w:fldCharType="begin"/>
      </w:r>
      <w:r>
        <w:instrText xml:space="preserve"> PAGEREF _Toc370981102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Protection 2010 for SharePoint (SL de Dispositivo e Usuário)</w:t>
      </w:r>
      <w:r>
        <w:tab/>
      </w:r>
      <w:r>
        <w:fldChar w:fldCharType="begin"/>
      </w:r>
      <w:r>
        <w:instrText xml:space="preserve"> PAGEREF _Toc370981103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Protection 2010 for SharePoint for Internet Sites (SL Complementar)</w:t>
      </w:r>
      <w:r>
        <w:tab/>
      </w:r>
      <w:r>
        <w:fldChar w:fldCharType="begin"/>
      </w:r>
      <w:r>
        <w:instrText xml:space="preserve"> PAGEREF _Toc370981104 \h </w:instrText>
      </w:r>
      <w:r>
        <w:fldChar w:fldCharType="separate"/>
      </w:r>
      <w:r>
        <w:t>20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Protection Suite (SL de Dispositivo e Usuário)</w:t>
      </w:r>
      <w:r>
        <w:tab/>
      </w:r>
      <w:r>
        <w:fldChar w:fldCharType="begin"/>
      </w:r>
      <w:r>
        <w:instrText xml:space="preserve"> PAGEREF _Toc370981105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Security for Office Communications Server (SL de Dispositivo e Usuário)</w:t>
      </w:r>
      <w:r>
        <w:tab/>
      </w:r>
      <w:r>
        <w:fldChar w:fldCharType="begin"/>
      </w:r>
      <w:r>
        <w:instrText xml:space="preserve"> PAGEREF _Toc370981106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Threat Management Gateway Web Protection Services</w:t>
      </w:r>
      <w:r>
        <w:tab/>
      </w:r>
      <w:r>
        <w:fldChar w:fldCharType="begin"/>
      </w:r>
      <w:r>
        <w:instrText xml:space="preserve"> PAGEREF _Toc370981107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Forefront Unified Access Gateway Server 2010</w:t>
      </w:r>
      <w:r>
        <w:tab/>
      </w:r>
      <w:r>
        <w:fldChar w:fldCharType="begin"/>
      </w:r>
      <w:r>
        <w:instrText xml:space="preserve"> PAGEREF _Toc370981108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External Connector do Forefront Unified Access Gateway 2010</w:t>
      </w:r>
      <w:r>
        <w:tab/>
      </w:r>
      <w:r>
        <w:fldChar w:fldCharType="begin"/>
      </w:r>
      <w:r>
        <w:instrText xml:space="preserve"> PAGEREF _Toc370981109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Forefront Unified Access Gateway 2010</w:t>
      </w:r>
      <w:r>
        <w:tab/>
      </w:r>
      <w:r>
        <w:fldChar w:fldCharType="begin"/>
      </w:r>
      <w:r>
        <w:instrText xml:space="preserve"> PAGEREF _Toc370981110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Pacote CAL do Forefront Unified Access Gateway 2010 10K</w:t>
      </w:r>
      <w:r>
        <w:tab/>
      </w:r>
      <w:r>
        <w:fldChar w:fldCharType="begin"/>
      </w:r>
      <w:r>
        <w:instrText xml:space="preserve"> PAGEREF _Toc370981111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HPC Pack 2008 R2 Enterprise</w:t>
      </w:r>
      <w:r>
        <w:tab/>
      </w:r>
      <w:r>
        <w:fldChar w:fldCharType="begin"/>
      </w:r>
      <w:r>
        <w:instrText xml:space="preserve"> PAGEREF _Toc370981112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HPC Pack 2008 R2 para Workstation</w:t>
      </w:r>
      <w:r>
        <w:tab/>
      </w:r>
      <w:r>
        <w:fldChar w:fldCharType="begin"/>
      </w:r>
      <w:r>
        <w:instrText xml:space="preserve"> PAGEREF _Toc370981113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Lync Online Plano 1 (SL de Usuário)</w:t>
      </w:r>
      <w:r>
        <w:tab/>
      </w:r>
      <w:r>
        <w:fldChar w:fldCharType="begin"/>
      </w:r>
      <w:r>
        <w:instrText xml:space="preserve"> PAGEREF _Toc370981114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Lync Online Plano 1 (SL de Usuário)</w:t>
      </w:r>
      <w:r>
        <w:tab/>
      </w:r>
      <w:r>
        <w:fldChar w:fldCharType="begin"/>
      </w:r>
      <w:r>
        <w:instrText xml:space="preserve"> PAGEREF _Toc370981115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Lync Online Plano 2 (SL de Usuário)</w:t>
      </w:r>
      <w:r>
        <w:tab/>
      </w:r>
      <w:r>
        <w:fldChar w:fldCharType="begin"/>
      </w:r>
      <w:r>
        <w:instrText xml:space="preserve"> PAGEREF _Toc370981116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Lync Online Plano 3 (SL de Usuário)</w:t>
      </w:r>
      <w:r>
        <w:tab/>
      </w:r>
      <w:r>
        <w:fldChar w:fldCharType="begin"/>
      </w:r>
      <w:r>
        <w:instrText xml:space="preserve"> PAGEREF _Toc370981117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Lync Online Plano 3A (SL de Usuário)</w:t>
      </w:r>
      <w:r>
        <w:tab/>
      </w:r>
      <w:r>
        <w:fldChar w:fldCharType="begin"/>
      </w:r>
      <w:r>
        <w:instrText xml:space="preserve"> PAGEREF _Toc370981118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Lync Server 2013</w:t>
      </w:r>
      <w:r>
        <w:tab/>
      </w:r>
      <w:r>
        <w:fldChar w:fldCharType="begin"/>
      </w:r>
      <w:r>
        <w:instrText xml:space="preserve"> PAGEREF _Toc370981119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Empresarial do Lync Server 2013</w:t>
      </w:r>
      <w:r>
        <w:tab/>
      </w:r>
      <w:r>
        <w:fldChar w:fldCharType="begin"/>
      </w:r>
      <w:r>
        <w:instrText xml:space="preserve"> PAGEREF _Toc370981120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Lync Server Plus 2013</w:t>
      </w:r>
      <w:r>
        <w:tab/>
      </w:r>
      <w:r>
        <w:fldChar w:fldCharType="begin"/>
      </w:r>
      <w:r>
        <w:instrText xml:space="preserve"> PAGEREF _Toc370981121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Padrão do Lync Server 2013</w:t>
      </w:r>
      <w:r>
        <w:tab/>
      </w:r>
      <w:r>
        <w:fldChar w:fldCharType="begin"/>
      </w:r>
      <w:r>
        <w:instrText xml:space="preserve"> PAGEREF _Toc370981122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Empresarial Aditiva do Microsoft Dynamics AX 2012 R2 (Usuário e Dispositivo)</w:t>
      </w:r>
      <w:r>
        <w:tab/>
      </w:r>
      <w:r>
        <w:fldChar w:fldCharType="begin"/>
      </w:r>
      <w:r>
        <w:instrText xml:space="preserve"> PAGEREF _Toc370981123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Empresarial do Microsoft Dynamics AX 2012 R2 (Usuário e Dispositivo)</w:t>
      </w:r>
      <w:r>
        <w:tab/>
      </w:r>
      <w:r>
        <w:fldChar w:fldCharType="begin"/>
      </w:r>
      <w:r>
        <w:instrText xml:space="preserve"> PAGEREF _Toc370981124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Aditiva do Microsoft Dynamics AX 2012 R2 Funcional (Usuário e Dispositivo)</w:t>
      </w:r>
      <w:r>
        <w:tab/>
      </w:r>
      <w:r>
        <w:fldChar w:fldCharType="begin"/>
      </w:r>
      <w:r>
        <w:instrText xml:space="preserve"> PAGEREF _Toc370981125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Funcional do Microsoft Dynamics AX 2012 R2 (Usuário e Dispositivo)</w:t>
      </w:r>
      <w:r>
        <w:tab/>
      </w:r>
      <w:r>
        <w:fldChar w:fldCharType="begin"/>
      </w:r>
      <w:r>
        <w:instrText xml:space="preserve"> PAGEREF _Toc370981126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de Autoatendimento do Microsoft Dynamics AX 2012 R2 (Usuário e Dispositivo)</w:t>
      </w:r>
      <w:r>
        <w:tab/>
      </w:r>
      <w:r>
        <w:fldChar w:fldCharType="begin"/>
      </w:r>
      <w:r>
        <w:instrText xml:space="preserve"> PAGEREF _Toc370981127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Dynamics AX 2012 R2 Server</w:t>
      </w:r>
      <w:r>
        <w:tab/>
      </w:r>
      <w:r>
        <w:fldChar w:fldCharType="begin"/>
      </w:r>
      <w:r>
        <w:instrText xml:space="preserve"> PAGEREF _Toc370981128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Aditiva de Tarefa do Microsoft Dynamics AX 2012 R2 (Usuário e Dispositivo)</w:t>
      </w:r>
      <w:r>
        <w:tab/>
      </w:r>
      <w:r>
        <w:fldChar w:fldCharType="begin"/>
      </w:r>
      <w:r>
        <w:instrText xml:space="preserve"> PAGEREF _Toc370981129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de Tarefa do Microsoft Dynamics AX 2012 R2 (Usuário e Dispositivo)</w:t>
      </w:r>
      <w:r>
        <w:tab/>
      </w:r>
      <w:r>
        <w:fldChar w:fldCharType="begin"/>
      </w:r>
      <w:r>
        <w:instrText xml:space="preserve"> PAGEREF _Toc370981130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Básica do Microsoft Dynamics CRM 2013 (Usuário e Dispositivo)</w:t>
      </w:r>
      <w:r>
        <w:tab/>
      </w:r>
      <w:r>
        <w:fldChar w:fldCharType="begin"/>
      </w:r>
      <w:r>
        <w:instrText xml:space="preserve"> PAGEREF _Toc370981131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Adicional de Uso Básico do Microsoft Dynamics 2013 CRM (Usuário e Dispositivo)</w:t>
      </w:r>
      <w:r>
        <w:tab/>
      </w:r>
      <w:r>
        <w:fldChar w:fldCharType="begin"/>
      </w:r>
      <w:r>
        <w:instrText xml:space="preserve"> PAGEREF _Toc370981132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Microsoft Dynamics 2013 CRM Essential</w:t>
      </w:r>
      <w:r>
        <w:tab/>
      </w:r>
      <w:r>
        <w:fldChar w:fldCharType="begin"/>
      </w:r>
      <w:r>
        <w:instrText xml:space="preserve"> PAGEREF _Toc370981133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Microsoft Dynamics 2013 CRM Professional (Usuário e Dispositivo)</w:t>
      </w:r>
      <w:r>
        <w:tab/>
      </w:r>
      <w:r>
        <w:fldChar w:fldCharType="begin"/>
      </w:r>
      <w:r>
        <w:instrText xml:space="preserve"> PAGEREF _Toc370981134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Aditiva de Uso Profissional do Microsoft Dynamics 2013 CRM (Usuários e Dispositivo)</w:t>
      </w:r>
      <w:r>
        <w:tab/>
      </w:r>
      <w:r>
        <w:fldChar w:fldCharType="begin"/>
      </w:r>
      <w:r>
        <w:instrText xml:space="preserve"> PAGEREF _Toc370981135 \h </w:instrText>
      </w:r>
      <w:r>
        <w:fldChar w:fldCharType="separate"/>
      </w:r>
      <w:r>
        <w:t>21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Dynamics CRM 2013 Server</w:t>
      </w:r>
      <w:r>
        <w:tab/>
      </w:r>
      <w:r>
        <w:fldChar w:fldCharType="begin"/>
      </w:r>
      <w:r>
        <w:instrText xml:space="preserve"> PAGEREF _Toc370981136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Conectores Externos para Microsoft Dynamics CRM 2011</w:t>
      </w:r>
      <w:r>
        <w:tab/>
      </w:r>
      <w:r>
        <w:fldChar w:fldCharType="begin"/>
      </w:r>
      <w:r>
        <w:instrText xml:space="preserve"> PAGEREF _Toc370981137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Dynamics CRM Workgroup Server 2013</w:t>
      </w:r>
      <w:r>
        <w:tab/>
      </w:r>
      <w:r>
        <w:fldChar w:fldCharType="begin"/>
      </w:r>
      <w:r>
        <w:instrText xml:space="preserve"> PAGEREF _Toc370981138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Dynamics CRM Online Basic</w:t>
      </w:r>
      <w:r>
        <w:tab/>
      </w:r>
      <w:r>
        <w:fldChar w:fldCharType="begin"/>
      </w:r>
      <w:r>
        <w:instrText xml:space="preserve"> PAGEREF _Toc370981139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Suporte Aprimorado do Microsoft Dynamics CRM Online</w:t>
      </w:r>
      <w:r>
        <w:tab/>
      </w:r>
      <w:r>
        <w:fldChar w:fldCharType="begin"/>
      </w:r>
      <w:r>
        <w:instrText xml:space="preserve"> PAGEREF _Toc370981140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Dynamics CRM Online Essential</w:t>
      </w:r>
      <w:r>
        <w:tab/>
      </w:r>
      <w:r>
        <w:fldChar w:fldCharType="begin"/>
      </w:r>
      <w:r>
        <w:instrText xml:space="preserve"> PAGEREF _Toc370981141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Instância de Não Produção do Microsoft Dynamics CRM Online</w:t>
      </w:r>
      <w:r>
        <w:tab/>
      </w:r>
      <w:r>
        <w:fldChar w:fldCharType="begin"/>
      </w:r>
      <w:r>
        <w:instrText xml:space="preserve"> PAGEREF _Toc370981142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lastRenderedPageBreak/>
        <w:t>Instância de Produção do Microsoft Dynamics CRM Online</w:t>
      </w:r>
      <w:r>
        <w:tab/>
      </w:r>
      <w:r>
        <w:fldChar w:fldCharType="begin"/>
      </w:r>
      <w:r>
        <w:instrText xml:space="preserve"> PAGEREF _Toc370981143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Dynamics CRM Online Professional</w:t>
      </w:r>
      <w:r>
        <w:tab/>
      </w:r>
      <w:r>
        <w:fldChar w:fldCharType="begin"/>
      </w:r>
      <w:r>
        <w:instrText xml:space="preserve"> PAGEREF _Toc370981144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Suporte Direto ao Microsoft Dynamics CRM Online Professional</w:t>
      </w:r>
      <w:r>
        <w:tab/>
      </w:r>
      <w:r>
        <w:fldChar w:fldCharType="begin"/>
      </w:r>
      <w:r>
        <w:instrText xml:space="preserve"> PAGEREF _Toc370981145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Armazenamento Online do Microsoft Dynamics CRM</w:t>
      </w:r>
      <w:r>
        <w:tab/>
      </w:r>
      <w:r>
        <w:fldChar w:fldCharType="begin"/>
      </w:r>
      <w:r>
        <w:instrText xml:space="preserve"> PAGEREF _Toc370981146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Learning E-Reference Library (SL de Usuário)</w:t>
      </w:r>
      <w:r>
        <w:tab/>
      </w:r>
      <w:r>
        <w:fldChar w:fldCharType="begin"/>
      </w:r>
      <w:r>
        <w:instrText xml:space="preserve"> PAGEREF _Toc370981147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Learning IT Academy (SL de Serviços)</w:t>
      </w:r>
      <w:r>
        <w:tab/>
      </w:r>
      <w:r>
        <w:fldChar w:fldCharType="begin"/>
      </w:r>
      <w:r>
        <w:instrText xml:space="preserve"> PAGEREF _Toc370981148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Cupons de Exame do Microsoft Learning MCP 1 (SL de Serviços)</w:t>
      </w:r>
      <w:r>
        <w:tab/>
      </w:r>
      <w:r>
        <w:fldChar w:fldCharType="begin"/>
      </w:r>
      <w:r>
        <w:instrText xml:space="preserve"> PAGEREF _Toc370981149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Cupons de Exame do Microsoft Learning MCP 30 (SL de Usuário)</w:t>
      </w:r>
      <w:r>
        <w:tab/>
      </w:r>
      <w:r>
        <w:fldChar w:fldCharType="begin"/>
      </w:r>
      <w:r>
        <w:instrText xml:space="preserve"> PAGEREF _Toc370981150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do Site de Exame do Microsoft Learning Solutions MOS 500 (SL de Serviços)</w:t>
      </w:r>
      <w:r>
        <w:tab/>
      </w:r>
      <w:r>
        <w:fldChar w:fldCharType="begin"/>
      </w:r>
      <w:r>
        <w:instrText xml:space="preserve"> PAGEREF _Toc370981151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do Site de Exame do Microsoft Learning Solutions MTA 250  (SL de Serviços)</w:t>
      </w:r>
      <w:r>
        <w:tab/>
      </w:r>
      <w:r>
        <w:fldChar w:fldCharType="begin"/>
      </w:r>
      <w:r>
        <w:instrText xml:space="preserve"> PAGEREF _Toc370981152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Microsoft Office Audit and Control Management Server</w:t>
      </w:r>
      <w:r>
        <w:tab/>
      </w:r>
      <w:r>
        <w:fldChar w:fldCharType="begin"/>
      </w:r>
      <w:r>
        <w:instrText xml:space="preserve"> PAGEREF _Toc370981153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API do Tradutor da Microsoft</w:t>
      </w:r>
      <w:r>
        <w:tab/>
      </w:r>
      <w:r>
        <w:fldChar w:fldCharType="begin"/>
      </w:r>
      <w:r>
        <w:instrText xml:space="preserve"> PAGEREF _Toc370981154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Midsize Business (SL de Usuário)</w:t>
      </w:r>
      <w:r>
        <w:tab/>
      </w:r>
      <w:r>
        <w:fldChar w:fldCharType="begin"/>
      </w:r>
      <w:r>
        <w:instrText xml:space="preserve"> PAGEREF _Toc370981155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Education A2 (SL de Usuário)</w:t>
      </w:r>
      <w:r>
        <w:tab/>
      </w:r>
      <w:r>
        <w:fldChar w:fldCharType="begin"/>
      </w:r>
      <w:r>
        <w:instrText xml:space="preserve"> PAGEREF _Toc370981156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Education A3 (SL de Usuário)</w:t>
      </w:r>
      <w:r>
        <w:tab/>
      </w:r>
      <w:r>
        <w:fldChar w:fldCharType="begin"/>
      </w:r>
      <w:r>
        <w:instrText xml:space="preserve"> PAGEREF _Toc370981157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Education A4  (SL de Usuário)</w:t>
      </w:r>
      <w:r>
        <w:tab/>
      </w:r>
      <w:r>
        <w:fldChar w:fldCharType="begin"/>
      </w:r>
      <w:r>
        <w:instrText xml:space="preserve"> PAGEREF _Toc370981158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Enterprise E3  (SL de Usuário)</w:t>
      </w:r>
      <w:r>
        <w:tab/>
      </w:r>
      <w:r>
        <w:fldChar w:fldCharType="begin"/>
      </w:r>
      <w:r>
        <w:instrText xml:space="preserve"> PAGEREF _Toc370981159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Enterprise E4  (SL de Usuário)</w:t>
      </w:r>
      <w:r>
        <w:tab/>
      </w:r>
      <w:r>
        <w:fldChar w:fldCharType="begin"/>
      </w:r>
      <w:r>
        <w:instrText xml:space="preserve"> PAGEREF _Toc370981160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Office 365 Enterprise E1, E3, E4 (SL de Usuário)</w:t>
      </w:r>
      <w:r>
        <w:tab/>
      </w:r>
      <w:r>
        <w:fldChar w:fldCharType="begin"/>
      </w:r>
      <w:r>
        <w:instrText xml:space="preserve"> PAGEREF _Toc370981161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Enterprise E3, E4 sem Complemento do Office Pro Plus (SL de Usuário)</w:t>
      </w:r>
      <w:r>
        <w:tab/>
      </w:r>
      <w:r>
        <w:fldChar w:fldCharType="begin"/>
      </w:r>
      <w:r>
        <w:instrText xml:space="preserve"> PAGEREF _Toc370981162 \h </w:instrText>
      </w:r>
      <w:r>
        <w:fldChar w:fldCharType="separate"/>
      </w:r>
      <w:r>
        <w:t>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Enterprise K1 (SL de Usuário)</w:t>
      </w:r>
      <w:r>
        <w:tab/>
      </w:r>
      <w:r>
        <w:fldChar w:fldCharType="begin"/>
      </w:r>
      <w:r>
        <w:instrText xml:space="preserve"> PAGEREF _Toc370981163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Government G1, G3, G4 (SL de Usuário)</w:t>
      </w:r>
      <w:r>
        <w:tab/>
      </w:r>
      <w:r>
        <w:fldChar w:fldCharType="begin"/>
      </w:r>
      <w:r>
        <w:instrText xml:space="preserve"> PAGEREF _Toc370981164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Office 365 Government G1, G3, G4 (SL de Usuário)</w:t>
      </w:r>
      <w:r>
        <w:tab/>
      </w:r>
      <w:r>
        <w:fldChar w:fldCharType="begin"/>
      </w:r>
      <w:r>
        <w:instrText xml:space="preserve"> PAGEREF _Toc370981165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Office 365 Government G3, G4 sem Complemento do Office Pro Plus (SL de Usuário)</w:t>
      </w:r>
      <w:r>
        <w:tab/>
      </w:r>
      <w:r>
        <w:fldChar w:fldCharType="begin"/>
      </w:r>
      <w:r>
        <w:instrText xml:space="preserve"> PAGEREF _Toc370981166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Aplicativos da Web do Office com SharePoint Plano 2A (SL do Usuário)</w:t>
      </w:r>
      <w:r>
        <w:tab/>
      </w:r>
      <w:r>
        <w:fldChar w:fldCharType="begin"/>
      </w:r>
      <w:r>
        <w:instrText xml:space="preserve"> PAGEREF _Toc370981167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Project Online</w:t>
      </w:r>
      <w:r>
        <w:tab/>
      </w:r>
      <w:r>
        <w:fldChar w:fldCharType="begin"/>
      </w:r>
      <w:r>
        <w:instrText xml:space="preserve"> PAGEREF _Toc370981168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Project Online A</w:t>
      </w:r>
      <w:r>
        <w:tab/>
      </w:r>
      <w:r>
        <w:fldChar w:fldCharType="begin"/>
      </w:r>
      <w:r>
        <w:instrText xml:space="preserve"> PAGEREF _Toc370981169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Project Server 2013</w:t>
      </w:r>
      <w:r>
        <w:tab/>
      </w:r>
      <w:r>
        <w:fldChar w:fldCharType="begin"/>
      </w:r>
      <w:r>
        <w:instrText xml:space="preserve"> PAGEREF _Toc370981170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Project Server 2013</w:t>
      </w:r>
      <w:r>
        <w:tab/>
      </w:r>
      <w:r>
        <w:fldChar w:fldCharType="begin"/>
      </w:r>
      <w:r>
        <w:instrText xml:space="preserve"> PAGEREF _Toc370981171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Armazenamento Extra do SharePoint™ Online de 1 GB (SL Complementar)</w:t>
      </w:r>
      <w:r>
        <w:tab/>
      </w:r>
      <w:r>
        <w:fldChar w:fldCharType="begin"/>
      </w:r>
      <w:r>
        <w:instrText xml:space="preserve"> PAGEREF _Toc370981172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Armazenamento Extra do SharePoint™ Online de A 1 GB (SL Complementar)</w:t>
      </w:r>
      <w:r>
        <w:tab/>
      </w:r>
      <w:r>
        <w:fldChar w:fldCharType="begin"/>
      </w:r>
      <w:r>
        <w:instrText xml:space="preserve"> PAGEREF _Toc370981173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SharePoint™ Online Plano 1 (SL de Usuário)</w:t>
      </w:r>
      <w:r>
        <w:tab/>
      </w:r>
      <w:r>
        <w:fldChar w:fldCharType="begin"/>
      </w:r>
      <w:r>
        <w:instrText xml:space="preserve"> PAGEREF _Toc370981174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SharePoint™ Online Plano 1  (SL de Usuário)</w:t>
      </w:r>
      <w:r>
        <w:tab/>
      </w:r>
      <w:r>
        <w:fldChar w:fldCharType="begin"/>
      </w:r>
      <w:r>
        <w:instrText xml:space="preserve"> PAGEREF _Toc370981175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SharePoint™ Online Plano 1 com Complemento Yammer (SL de Usuário)</w:t>
      </w:r>
      <w:r>
        <w:tab/>
      </w:r>
      <w:r>
        <w:fldChar w:fldCharType="begin"/>
      </w:r>
      <w:r>
        <w:instrText xml:space="preserve"> PAGEREF _Toc370981176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SharePoint™ Online Plano 2 (SL de Usuário)</w:t>
      </w:r>
      <w:r>
        <w:tab/>
      </w:r>
      <w:r>
        <w:fldChar w:fldCharType="begin"/>
      </w:r>
      <w:r>
        <w:instrText xml:space="preserve"> PAGEREF _Toc370981177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SharePoint™ Server 2013</w:t>
      </w:r>
      <w:r>
        <w:tab/>
      </w:r>
      <w:r>
        <w:fldChar w:fldCharType="begin"/>
      </w:r>
      <w:r>
        <w:instrText xml:space="preserve"> PAGEREF _Toc370981178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Empresarial do SharePoint™ Server 2013</w:t>
      </w:r>
      <w:r>
        <w:tab/>
      </w:r>
      <w:r>
        <w:fldChar w:fldCharType="begin"/>
      </w:r>
      <w:r>
        <w:instrText xml:space="preserve"> PAGEREF _Toc370981179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Padrão do SharePoint™ Server 2013</w:t>
      </w:r>
      <w:r>
        <w:tab/>
      </w:r>
      <w:r>
        <w:fldChar w:fldCharType="begin"/>
      </w:r>
      <w:r>
        <w:instrText xml:space="preserve"> PAGEREF _Toc370981180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para um processador do SQL Server</w:t>
      </w:r>
      <w:r w:rsidRPr="000A66FC">
        <w:rPr>
          <w:rFonts w:eastAsia="Times New Roman" w:cs="Tahoma"/>
          <w:color w:val="000000"/>
          <w:vertAlign w:val="superscript"/>
        </w:rPr>
        <w:t>®</w:t>
      </w:r>
      <w:r w:rsidRPr="000A66FC">
        <w:rPr>
          <w:rFonts w:cs="Tahoma"/>
        </w:rPr>
        <w:t xml:space="preserve"> 2008 R2 Datacenter 1</w:t>
      </w:r>
      <w:r>
        <w:tab/>
      </w:r>
      <w:r>
        <w:fldChar w:fldCharType="begin"/>
      </w:r>
      <w:r>
        <w:instrText xml:space="preserve"> PAGEREF _Toc370981181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2008 R2 Small Business</w:t>
      </w:r>
      <w:r>
        <w:tab/>
      </w:r>
      <w:r>
        <w:fldChar w:fldCharType="begin"/>
      </w:r>
      <w:r>
        <w:instrText xml:space="preserve"> PAGEREF _Toc370981182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SQL Server</w:t>
      </w:r>
      <w:r w:rsidRPr="000A66FC">
        <w:rPr>
          <w:rFonts w:eastAsia="Times New Roman" w:cs="Tahoma"/>
          <w:color w:val="000000"/>
          <w:vertAlign w:val="superscript"/>
        </w:rPr>
        <w:t>®</w:t>
      </w:r>
      <w:r w:rsidRPr="000A66FC">
        <w:rPr>
          <w:rFonts w:cs="Tahoma"/>
        </w:rPr>
        <w:t xml:space="preserve"> 2008 R2 Small Business</w:t>
      </w:r>
      <w:r>
        <w:tab/>
      </w:r>
      <w:r>
        <w:fldChar w:fldCharType="begin"/>
      </w:r>
      <w:r>
        <w:instrText xml:space="preserve"> PAGEREF _Toc370981183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2008 R2 Web por Processador</w:t>
      </w:r>
      <w:r>
        <w:tab/>
      </w:r>
      <w:r>
        <w:fldChar w:fldCharType="begin"/>
      </w:r>
      <w:r>
        <w:instrText xml:space="preserve"> PAGEREF _Toc370981184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SQL Server</w:t>
      </w:r>
      <w:r w:rsidRPr="000A66FC">
        <w:rPr>
          <w:rFonts w:eastAsia="Times New Roman" w:cs="Tahoma"/>
          <w:color w:val="000000"/>
          <w:vertAlign w:val="superscript"/>
        </w:rPr>
        <w:t>®</w:t>
      </w:r>
      <w:r w:rsidRPr="000A66FC">
        <w:rPr>
          <w:rFonts w:cs="Tahoma"/>
        </w:rPr>
        <w:t xml:space="preserve"> 2008 R2 Workgroup</w:t>
      </w:r>
      <w:r>
        <w:tab/>
      </w:r>
      <w:r>
        <w:fldChar w:fldCharType="begin"/>
      </w:r>
      <w:r>
        <w:instrText xml:space="preserve"> PAGEREF _Toc370981185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2008 R2 Workgroup (Complementar para 5 Clientes)</w:t>
      </w:r>
      <w:r>
        <w:tab/>
      </w:r>
      <w:r>
        <w:fldChar w:fldCharType="begin"/>
      </w:r>
      <w:r>
        <w:instrText xml:space="preserve"> PAGEREF _Toc370981186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para um Processador do SQL Server</w:t>
      </w:r>
      <w:r w:rsidRPr="000A66FC">
        <w:rPr>
          <w:rFonts w:eastAsia="Times New Roman" w:cs="Tahoma"/>
          <w:color w:val="000000"/>
          <w:vertAlign w:val="superscript"/>
        </w:rPr>
        <w:t>®</w:t>
      </w:r>
      <w:r w:rsidRPr="000A66FC">
        <w:rPr>
          <w:rFonts w:cs="Tahoma"/>
        </w:rPr>
        <w:t xml:space="preserve"> 2008 R2 Workgroup</w:t>
      </w:r>
      <w:r>
        <w:tab/>
      </w:r>
      <w:r>
        <w:fldChar w:fldCharType="begin"/>
      </w:r>
      <w:r>
        <w:instrText xml:space="preserve"> PAGEREF _Toc370981187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2012 Business Intelligence</w:t>
      </w:r>
      <w:r>
        <w:tab/>
      </w:r>
      <w:r>
        <w:fldChar w:fldCharType="begin"/>
      </w:r>
      <w:r>
        <w:instrText xml:space="preserve"> PAGEREF _Toc370981188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SQL Server</w:t>
      </w:r>
      <w:r w:rsidRPr="000A66FC">
        <w:rPr>
          <w:rFonts w:eastAsia="Times New Roman" w:cs="Tahoma"/>
          <w:color w:val="000000"/>
          <w:vertAlign w:val="superscript"/>
        </w:rPr>
        <w:t>®</w:t>
      </w:r>
      <w:r w:rsidRPr="000A66FC">
        <w:rPr>
          <w:rFonts w:cs="Tahoma"/>
        </w:rPr>
        <w:t xml:space="preserve"> 2012 (SL de Usuário e Dispositivo)</w:t>
      </w:r>
      <w:r>
        <w:tab/>
      </w:r>
      <w:r>
        <w:fldChar w:fldCharType="begin"/>
      </w:r>
      <w:r>
        <w:instrText xml:space="preserve"> PAGEREF _Toc370981189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2012 Developer</w:t>
      </w:r>
      <w:r>
        <w:tab/>
      </w:r>
      <w:r>
        <w:fldChar w:fldCharType="begin"/>
      </w:r>
      <w:r>
        <w:instrText xml:space="preserve"> PAGEREF _Toc370981190 \h </w:instrText>
      </w:r>
      <w:r>
        <w:fldChar w:fldCharType="separate"/>
      </w:r>
      <w:r>
        <w:t>23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2012 Enterprise</w:t>
      </w:r>
      <w:r>
        <w:tab/>
      </w:r>
      <w:r>
        <w:fldChar w:fldCharType="begin"/>
      </w:r>
      <w:r>
        <w:instrText xml:space="preserve"> PAGEREF _Toc370981191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2012 Enterprise Core (pacote com duas Licenças Principais)</w:t>
      </w:r>
      <w:r>
        <w:tab/>
      </w:r>
      <w:r>
        <w:fldChar w:fldCharType="begin"/>
      </w:r>
      <w:r>
        <w:instrText xml:space="preserve"> PAGEREF _Toc370981192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2012 Parallel Data Warehouse</w:t>
      </w:r>
      <w:r>
        <w:tab/>
      </w:r>
      <w:r>
        <w:fldChar w:fldCharType="begin"/>
      </w:r>
      <w:r>
        <w:instrText xml:space="preserve"> PAGEREF _Toc370981193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2012 Parallel Data Warehouse Developer</w:t>
      </w:r>
      <w:r>
        <w:tab/>
      </w:r>
      <w:r>
        <w:fldChar w:fldCharType="begin"/>
      </w:r>
      <w:r>
        <w:instrText xml:space="preserve"> PAGEREF _Toc370981194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2012 Standard</w:t>
      </w:r>
      <w:r>
        <w:tab/>
      </w:r>
      <w:r>
        <w:fldChar w:fldCharType="begin"/>
      </w:r>
      <w:r>
        <w:instrText xml:space="preserve"> PAGEREF _Toc370981195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SQL Server</w:t>
      </w:r>
      <w:r w:rsidRPr="000A66FC">
        <w:rPr>
          <w:rFonts w:eastAsia="Times New Roman" w:cs="Tahoma"/>
          <w:color w:val="000000"/>
          <w:vertAlign w:val="superscript"/>
        </w:rPr>
        <w:t>®</w:t>
      </w:r>
      <w:r w:rsidRPr="000A66FC">
        <w:rPr>
          <w:rFonts w:cs="Tahoma"/>
        </w:rPr>
        <w:t xml:space="preserve"> 2012 Standard Core (pacote com duas Licenças Principais)</w:t>
      </w:r>
      <w:r>
        <w:tab/>
      </w:r>
      <w:r>
        <w:fldChar w:fldCharType="begin"/>
      </w:r>
      <w:r>
        <w:instrText xml:space="preserve"> PAGEREF _Toc370981196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Servidor do System Center Configuration Manager 2007 R3 Enterprise</w:t>
      </w:r>
      <w:r>
        <w:tab/>
      </w:r>
      <w:r>
        <w:fldChar w:fldCharType="begin"/>
      </w:r>
      <w:r>
        <w:instrText xml:space="preserve"> PAGEREF _Toc370981197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Servidor Standard (ML de Servidor Standard) do System Center Configuration Manager 2007 R3)</w:t>
      </w:r>
      <w:r>
        <w:tab/>
      </w:r>
      <w:r>
        <w:fldChar w:fldCharType="begin"/>
      </w:r>
      <w:r>
        <w:instrText xml:space="preserve"> PAGEREF _Toc370981198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Servidor Enterprise do System Center Data Protection Manager 2010</w:t>
      </w:r>
      <w:r>
        <w:tab/>
      </w:r>
      <w:r>
        <w:fldChar w:fldCharType="begin"/>
      </w:r>
      <w:r>
        <w:instrText xml:space="preserve"> PAGEREF _Toc370981199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Servidor Standard do System Center Data Protection Manager 2010</w:t>
      </w:r>
      <w:r>
        <w:tab/>
      </w:r>
      <w:r>
        <w:fldChar w:fldCharType="begin"/>
      </w:r>
      <w:r>
        <w:instrText xml:space="preserve"> PAGEREF _Toc370981200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lastRenderedPageBreak/>
        <w:t>System Center Essentials 2010</w:t>
      </w:r>
      <w:r>
        <w:tab/>
      </w:r>
      <w:r>
        <w:fldChar w:fldCharType="begin"/>
      </w:r>
      <w:r>
        <w:instrText xml:space="preserve"> PAGEREF _Toc370981201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ML de Cliente do System Center Essentials 2010</w:t>
      </w:r>
      <w:r>
        <w:tab/>
      </w:r>
      <w:r>
        <w:fldChar w:fldCharType="begin"/>
      </w:r>
      <w:r>
        <w:instrText xml:space="preserve"> PAGEREF _Toc370981202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ML de Servidor do System Center Essentials 2010</w:t>
      </w:r>
      <w:r>
        <w:tab/>
      </w:r>
      <w:r>
        <w:fldChar w:fldCharType="begin"/>
      </w:r>
      <w:r>
        <w:instrText xml:space="preserve"> PAGEREF _Toc370981203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System Center Essentials 2010 com Tecnologia SQL Server 2008</w:t>
      </w:r>
      <w:r>
        <w:tab/>
      </w:r>
      <w:r>
        <w:fldChar w:fldCharType="begin"/>
      </w:r>
      <w:r>
        <w:instrText xml:space="preserve"> PAGEREF _Toc370981204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Management License Suite do System Center Essentials Plus 2010 Client</w:t>
      </w:r>
      <w:r>
        <w:tab/>
      </w:r>
      <w:r>
        <w:fldChar w:fldCharType="begin"/>
      </w:r>
      <w:r>
        <w:instrText xml:space="preserve"> PAGEREF _Toc370981205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Servidor Standard do System Center Operations Manager 2007 R2</w:t>
      </w:r>
      <w:r>
        <w:tab/>
      </w:r>
      <w:r>
        <w:fldChar w:fldCharType="begin"/>
      </w:r>
      <w:r>
        <w:instrText xml:space="preserve"> PAGEREF _Toc370981206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Servidor Enterprise do System Center Operations Manager 2007 R2</w:t>
      </w:r>
      <w:r>
        <w:tab/>
      </w:r>
      <w:r>
        <w:fldChar w:fldCharType="begin"/>
      </w:r>
      <w:r>
        <w:instrText xml:space="preserve"> PAGEREF _Toc370981207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do System Center Operations Manager 2007 R2 por OSE</w:t>
      </w:r>
      <w:r>
        <w:tab/>
      </w:r>
      <w:r>
        <w:fldChar w:fldCharType="begin"/>
      </w:r>
      <w:r>
        <w:instrText xml:space="preserve"> PAGEREF _Toc370981208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do System Center Operations Manager 2007 R2 por Usuário</w:t>
      </w:r>
      <w:r>
        <w:tab/>
      </w:r>
      <w:r>
        <w:fldChar w:fldCharType="begin"/>
      </w:r>
      <w:r>
        <w:instrText xml:space="preserve"> PAGEREF _Toc370981209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System Center Reporting Manager 2006</w:t>
      </w:r>
      <w:r>
        <w:tab/>
      </w:r>
      <w:r>
        <w:fldChar w:fldCharType="begin"/>
      </w:r>
      <w:r>
        <w:instrText xml:space="preserve"> PAGEREF _Toc370981210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System Center Server Management Suite Enterprise</w:t>
      </w:r>
      <w:r>
        <w:tab/>
      </w:r>
      <w:r>
        <w:fldChar w:fldCharType="begin"/>
      </w:r>
      <w:r>
        <w:instrText xml:space="preserve"> PAGEREF _Toc370981211 \h </w:instrText>
      </w:r>
      <w:r>
        <w:fldChar w:fldCharType="separate"/>
      </w:r>
      <w:r>
        <w:t>24</w:t>
      </w:r>
      <w: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System Center Server Management Suite Datacenter</w:t>
      </w:r>
      <w:r>
        <w:rPr>
          <w:noProof/>
        </w:rPr>
        <w:tab/>
      </w:r>
      <w:r>
        <w:rPr>
          <w:noProof/>
        </w:rPr>
        <w:fldChar w:fldCharType="begin"/>
      </w:r>
      <w:r>
        <w:rPr>
          <w:noProof/>
        </w:rPr>
        <w:instrText xml:space="preserve"> PAGEREF _Toc370981212 \h </w:instrText>
      </w:r>
      <w:r>
        <w:rPr>
          <w:noProof/>
        </w:rPr>
      </w:r>
      <w:r>
        <w:rPr>
          <w:noProof/>
        </w:rPr>
        <w:fldChar w:fldCharType="separate"/>
      </w:r>
      <w:r>
        <w:rPr>
          <w:noProof/>
        </w:rPr>
        <w:t>24</w:t>
      </w:r>
      <w:r>
        <w:rPr>
          <w:noProof/>
        </w:rP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(ML de Cliente) do System Center Service Manager 2010 por OSE</w:t>
      </w:r>
      <w:r>
        <w:tab/>
      </w:r>
      <w:r>
        <w:fldChar w:fldCharType="begin"/>
      </w:r>
      <w:r>
        <w:instrText xml:space="preserve"> PAGEREF _Toc370981213 \h </w:instrText>
      </w:r>
      <w:r>
        <w:fldChar w:fldCharType="separate"/>
      </w:r>
      <w:r>
        <w:t>24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(ML de Cliente) do System Center Service Manager 2010 por Usuário</w:t>
      </w:r>
      <w:r>
        <w:tab/>
      </w:r>
      <w:r>
        <w:fldChar w:fldCharType="begin"/>
      </w:r>
      <w:r>
        <w:instrText xml:space="preserve"> PAGEREF _Toc370981214 \h </w:instrText>
      </w:r>
      <w:r>
        <w:fldChar w:fldCharType="separate"/>
      </w:r>
      <w:r>
        <w:t>24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Licença de Gerenciamento de Servidor (ML de Servidor) do System Center Service Manager 2010 por OSE</w:t>
      </w:r>
      <w:r>
        <w:tab/>
      </w:r>
      <w:r>
        <w:fldChar w:fldCharType="begin"/>
      </w:r>
      <w:r>
        <w:instrText xml:space="preserve"> PAGEREF _Toc370981215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System Center 2012 R2 Client Management Suite (ML de Cliente) por OSE</w:t>
      </w:r>
      <w:r>
        <w:tab/>
      </w:r>
      <w:r>
        <w:fldChar w:fldCharType="begin"/>
      </w:r>
      <w:r>
        <w:instrText xml:space="preserve"> PAGEREF _Toc370981216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System Center 2012 R2 Client Management Suite (ML de Cliente) por Usuário</w:t>
      </w:r>
      <w:r>
        <w:tab/>
      </w:r>
      <w:r>
        <w:fldChar w:fldCharType="begin"/>
      </w:r>
      <w:r>
        <w:instrText xml:space="preserve"> PAGEREF _Toc370981217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do System Center 2012 R2 Configuration Manager (ML de Cliente) (Somente para Aluno)</w:t>
      </w:r>
      <w:r>
        <w:tab/>
      </w:r>
      <w:r>
        <w:fldChar w:fldCharType="begin"/>
      </w:r>
      <w:r>
        <w:instrText xml:space="preserve"> PAGEREF _Toc370981218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do System Center 2012 R2 Configuration Manager por OSE</w:t>
      </w:r>
      <w:r>
        <w:tab/>
      </w:r>
      <w:r>
        <w:fldChar w:fldCharType="begin"/>
      </w:r>
      <w:r>
        <w:instrText xml:space="preserve"> PAGEREF _Toc370981219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do System Center 2012 R2 Configuration Manager por Usuário</w:t>
      </w:r>
      <w:r>
        <w:tab/>
      </w:r>
      <w:r>
        <w:fldChar w:fldCharType="begin"/>
      </w:r>
      <w:r>
        <w:instrText xml:space="preserve"> PAGEREF _Toc370981220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do System Center 2012 R2 Datacenter Server (2 processadores)</w:t>
      </w:r>
      <w:r>
        <w:tab/>
      </w:r>
      <w:r>
        <w:fldChar w:fldCharType="begin"/>
      </w:r>
      <w:r>
        <w:instrText xml:space="preserve"> PAGEREF _Toc370981221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System Center 2012 R2 Endpoint Protection</w:t>
      </w:r>
      <w:r>
        <w:tab/>
      </w:r>
      <w:r>
        <w:fldChar w:fldCharType="begin"/>
      </w:r>
      <w:r>
        <w:instrText xml:space="preserve"> PAGEREF _Toc370981222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do System Center 2012 R2 Standard Server (2 processadores)</w:t>
      </w:r>
      <w:r>
        <w:tab/>
      </w:r>
      <w:r>
        <w:fldChar w:fldCharType="begin"/>
      </w:r>
      <w:r>
        <w:instrText xml:space="preserve"> PAGEREF _Toc370981223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VDI Suite</w:t>
      </w:r>
      <w:r>
        <w:tab/>
      </w:r>
      <w:r>
        <w:fldChar w:fldCharType="begin"/>
      </w:r>
      <w:r>
        <w:instrText xml:space="preserve"> PAGEREF _Toc370981224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VDI Suite com MDOP</w:t>
      </w:r>
      <w:r>
        <w:tab/>
      </w:r>
      <w:r>
        <w:fldChar w:fldCharType="begin"/>
      </w:r>
      <w:r>
        <w:instrText xml:space="preserve"> PAGEREF _Toc370981225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Virtual Server 2005 R2 Enterprise Edition</w:t>
      </w:r>
      <w:r>
        <w:tab/>
      </w:r>
      <w:r>
        <w:fldChar w:fldCharType="begin"/>
      </w:r>
      <w:r>
        <w:instrText xml:space="preserve"> PAGEREF _Toc370981226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Visual Studio</w:t>
      </w:r>
      <w:r w:rsidRPr="000A66FC">
        <w:rPr>
          <w:rFonts w:eastAsia="Times New Roman" w:cs="Tahoma"/>
          <w:color w:val="000000"/>
          <w:vertAlign w:val="superscript"/>
        </w:rPr>
        <w:t>®</w:t>
      </w:r>
      <w:r w:rsidRPr="000A66FC">
        <w:rPr>
          <w:rFonts w:cs="Tahoma"/>
        </w:rPr>
        <w:t xml:space="preserve"> Team Foundation Server 2013 com Tecnologia SQL Server 2012</w:t>
      </w:r>
      <w:r>
        <w:tab/>
      </w:r>
      <w:r>
        <w:fldChar w:fldCharType="begin"/>
      </w:r>
      <w:r>
        <w:instrText xml:space="preserve"> PAGEREF _Toc370981227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Dispositivo do Visual Studio</w:t>
      </w:r>
      <w:r w:rsidRPr="000A66FC">
        <w:rPr>
          <w:rFonts w:cs="Tahoma"/>
          <w:vertAlign w:val="superscript"/>
        </w:rPr>
        <w:t>®</w:t>
      </w:r>
      <w:r w:rsidRPr="000A66FC">
        <w:rPr>
          <w:rFonts w:cs="Tahoma"/>
        </w:rPr>
        <w:t xml:space="preserve"> Team Foundation Server 2013</w:t>
      </w:r>
      <w:r>
        <w:tab/>
      </w:r>
      <w:r>
        <w:fldChar w:fldCharType="begin"/>
      </w:r>
      <w:r>
        <w:instrText xml:space="preserve"> PAGEREF _Toc370981228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Usuário do Visual Studio</w:t>
      </w:r>
      <w:r w:rsidRPr="000A66FC">
        <w:rPr>
          <w:rFonts w:cs="Tahoma"/>
          <w:vertAlign w:val="superscript"/>
        </w:rPr>
        <w:t>®</w:t>
      </w:r>
      <w:r w:rsidRPr="000A66FC">
        <w:rPr>
          <w:rFonts w:cs="Tahoma"/>
        </w:rPr>
        <w:t xml:space="preserve"> Team Foundation Server 2013</w:t>
      </w:r>
      <w:r>
        <w:tab/>
      </w:r>
      <w:r>
        <w:fldChar w:fldCharType="begin"/>
      </w:r>
      <w:r>
        <w:instrText xml:space="preserve"> PAGEREF _Toc370981229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Gerenciamento de Direitos do Active Directory do Windows Azure (SL de Usuário)</w:t>
      </w:r>
      <w:r>
        <w:tab/>
      </w:r>
      <w:r>
        <w:fldChar w:fldCharType="begin"/>
      </w:r>
      <w:r>
        <w:instrText xml:space="preserve"> PAGEREF _Toc370981230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Gerenciamento de Direitos do Active Directory do Windows Azure Academic (SL de Usuário)</w:t>
      </w:r>
      <w:r>
        <w:tab/>
      </w:r>
      <w:r>
        <w:fldChar w:fldCharType="begin"/>
      </w:r>
      <w:r>
        <w:instrText xml:space="preserve"> PAGEREF _Toc370981231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de Gerenciamento de Direitos do Active Directory do Windows Azure (SL de Usuário)</w:t>
      </w:r>
      <w:r>
        <w:tab/>
      </w:r>
      <w:r>
        <w:fldChar w:fldCharType="begin"/>
      </w:r>
      <w:r>
        <w:instrText xml:space="preserve"> PAGEREF _Toc370981232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Serviços do Windows Azure</w:t>
      </w:r>
      <w:r>
        <w:tab/>
      </w:r>
      <w:r>
        <w:fldChar w:fldCharType="begin"/>
      </w:r>
      <w:r>
        <w:instrText xml:space="preserve"> PAGEREF _Toc370981233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w:t>
      </w:r>
      <w:r w:rsidRPr="000A66FC">
        <w:rPr>
          <w:rFonts w:cs="Tahoma"/>
          <w:vertAlign w:val="superscript"/>
        </w:rPr>
        <w:t>®</w:t>
      </w:r>
      <w:r w:rsidRPr="000A66FC">
        <w:rPr>
          <w:rFonts w:cs="Tahoma"/>
        </w:rPr>
        <w:t xml:space="preserve"> Embedded Device Manager 2011</w:t>
      </w:r>
      <w:r>
        <w:tab/>
      </w:r>
      <w:r>
        <w:fldChar w:fldCharType="begin"/>
      </w:r>
      <w:r>
        <w:instrText xml:space="preserve"> PAGEREF _Toc370981234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do Windows</w:t>
      </w:r>
      <w:r w:rsidRPr="000A66FC">
        <w:rPr>
          <w:rFonts w:cs="Tahoma"/>
          <w:vertAlign w:val="superscript"/>
        </w:rPr>
        <w:t>®</w:t>
      </w:r>
      <w:r w:rsidRPr="000A66FC">
        <w:rPr>
          <w:rFonts w:cs="Tahoma"/>
        </w:rPr>
        <w:t xml:space="preserve"> Embedded Device Manager 2011 por OSE</w:t>
      </w:r>
      <w:r>
        <w:tab/>
      </w:r>
      <w:r>
        <w:fldChar w:fldCharType="begin"/>
      </w:r>
      <w:r>
        <w:instrText xml:space="preserve"> PAGEREF _Toc370981235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de Gerenciamento de Cliente do Windows</w:t>
      </w:r>
      <w:r w:rsidRPr="000A66FC">
        <w:rPr>
          <w:rFonts w:cs="Tahoma"/>
          <w:vertAlign w:val="superscript"/>
        </w:rPr>
        <w:t>®</w:t>
      </w:r>
      <w:r w:rsidRPr="000A66FC">
        <w:rPr>
          <w:rFonts w:cs="Tahoma"/>
        </w:rPr>
        <w:t xml:space="preserve"> Embedded Device Manager 2011 por Usuário</w:t>
      </w:r>
      <w:r>
        <w:tab/>
      </w:r>
      <w:r>
        <w:fldChar w:fldCharType="begin"/>
      </w:r>
      <w:r>
        <w:instrText xml:space="preserve"> PAGEREF _Toc370981236 \h </w:instrText>
      </w:r>
      <w:r>
        <w:fldChar w:fldCharType="separate"/>
      </w:r>
      <w:r>
        <w:t>25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w:t>
      </w:r>
      <w:r w:rsidRPr="000A66FC">
        <w:rPr>
          <w:rFonts w:cs="Tahoma"/>
          <w:vertAlign w:val="superscript"/>
        </w:rPr>
        <w:t>®</w:t>
      </w:r>
      <w:r w:rsidRPr="000A66FC">
        <w:rPr>
          <w:rFonts w:cs="Tahoma"/>
        </w:rPr>
        <w:t xml:space="preserve"> Embedded Device Manager 2011 com Tecnologia SQL Server</w:t>
      </w:r>
      <w:r w:rsidRPr="000A66FC">
        <w:rPr>
          <w:rFonts w:cs="Tahoma"/>
          <w:vertAlign w:val="superscript"/>
        </w:rPr>
        <w:t>®</w:t>
      </w:r>
      <w:r w:rsidRPr="000A66FC">
        <w:rPr>
          <w:rFonts w:cs="Tahoma"/>
        </w:rPr>
        <w:t xml:space="preserve"> 2008</w:t>
      </w:r>
      <w:r>
        <w:tab/>
      </w:r>
      <w:r>
        <w:fldChar w:fldCharType="begin"/>
      </w:r>
      <w:r>
        <w:instrText xml:space="preserve"> PAGEREF _Toc370981237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Essential Business Server 2008 Standard</w:t>
      </w:r>
      <w:r>
        <w:tab/>
      </w:r>
      <w:r>
        <w:fldChar w:fldCharType="begin"/>
      </w:r>
      <w:r>
        <w:instrText xml:space="preserve"> PAGEREF _Toc370981238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Essential Business Server 2008 CAL Suite</w:t>
      </w:r>
      <w:r>
        <w:tab/>
      </w:r>
      <w:r>
        <w:fldChar w:fldCharType="begin"/>
      </w:r>
      <w:r>
        <w:instrText xml:space="preserve"> PAGEREF _Toc370981239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Essential Business Server 2008 CAL Suite (5 clientes)</w:t>
      </w:r>
      <w:r>
        <w:tab/>
      </w:r>
      <w:r>
        <w:fldChar w:fldCharType="begin"/>
      </w:r>
      <w:r>
        <w:instrText xml:space="preserve"> PAGEREF _Toc370981240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000000"/>
        </w:rPr>
        <w:t>Windows Essential Business Server 2008 CAL Suite (20 clientes)</w:t>
      </w:r>
      <w:r>
        <w:tab/>
      </w:r>
      <w:r>
        <w:fldChar w:fldCharType="begin"/>
      </w:r>
      <w:r>
        <w:instrText xml:space="preserve"> PAGEREF _Toc370981241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Essential Business Server 2008 CAL Suite (50 clientes)</w:t>
      </w:r>
      <w:r>
        <w:tab/>
      </w:r>
      <w:r>
        <w:fldChar w:fldCharType="begin"/>
      </w:r>
      <w:r>
        <w:instrText xml:space="preserve"> PAGEREF _Toc370981242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Essential Business Server 2008 Premium</w:t>
      </w:r>
      <w:r>
        <w:tab/>
      </w:r>
      <w:r>
        <w:fldChar w:fldCharType="begin"/>
      </w:r>
      <w:r>
        <w:instrText xml:space="preserve"> PAGEREF _Toc370981243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Pacote de CALs do Windows Essential Business Server 2008 CAL para Usuários ou Dispositivos Premium</w:t>
      </w:r>
      <w:r>
        <w:tab/>
      </w:r>
      <w:r>
        <w:fldChar w:fldCharType="begin"/>
      </w:r>
      <w:r>
        <w:instrText xml:space="preserve"> PAGEREF _Toc370981244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Essential Business Server 2008 CAL Suite para Usuários ou Dispositivos Premium (5 clientes)</w:t>
      </w:r>
      <w:r>
        <w:tab/>
      </w:r>
      <w:r>
        <w:fldChar w:fldCharType="begin"/>
      </w:r>
      <w:r>
        <w:instrText xml:space="preserve"> PAGEREF _Toc370981245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Essential Business Server 2008 CAL Suite para Usuários ou Dispositivos Premium (20 clientes)</w:t>
      </w:r>
      <w:r>
        <w:tab/>
      </w:r>
      <w:r>
        <w:fldChar w:fldCharType="begin"/>
      </w:r>
      <w:r>
        <w:instrText xml:space="preserve"> PAGEREF _Toc370981246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Essential Business Server 2008 CAL Suite para Usuários ou Dispositivos Premium (50 clientes)</w:t>
      </w:r>
      <w:r>
        <w:tab/>
      </w:r>
      <w:r>
        <w:fldChar w:fldCharType="begin"/>
      </w:r>
      <w:r>
        <w:instrText xml:space="preserve"> PAGEREF _Toc370981247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HPC Server 2008 R2 Suite</w:t>
      </w:r>
      <w:r>
        <w:tab/>
      </w:r>
      <w:r>
        <w:fldChar w:fldCharType="begin"/>
      </w:r>
      <w:r>
        <w:instrText xml:space="preserve"> PAGEREF _Toc370981248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Windows Intune para System Center Configuration Manager e System Center Endppoint Protection (por usuário)</w:t>
      </w:r>
      <w:r>
        <w:tab/>
      </w:r>
      <w:r>
        <w:fldChar w:fldCharType="begin"/>
      </w:r>
      <w:r>
        <w:instrText xml:space="preserve"> PAGEREF _Toc370981249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Intune (por usuário)</w:t>
      </w:r>
      <w:r>
        <w:tab/>
      </w:r>
      <w:r>
        <w:fldChar w:fldCharType="begin"/>
      </w:r>
      <w:r>
        <w:instrText xml:space="preserve"> PAGEREF _Toc370981250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Armazenamento Extra Complementar de 1 GB de SL de Usuário do Windows Intune</w:t>
      </w:r>
      <w:r>
        <w:tab/>
      </w:r>
      <w:r>
        <w:fldChar w:fldCharType="begin"/>
      </w:r>
      <w:r>
        <w:instrText xml:space="preserve"> PAGEREF _Toc370981251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MultiPoint Server 2012 Standard</w:t>
      </w:r>
      <w:r>
        <w:tab/>
      </w:r>
      <w:r>
        <w:fldChar w:fldCharType="begin"/>
      </w:r>
      <w:r>
        <w:instrText xml:space="preserve"> PAGEREF _Toc370981252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MultiPoint Server 2012 Premium</w:t>
      </w:r>
      <w:r>
        <w:tab/>
      </w:r>
      <w:r>
        <w:fldChar w:fldCharType="begin"/>
      </w:r>
      <w:r>
        <w:instrText xml:space="preserve"> PAGEREF _Toc370981253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Windows MultiPoint Server 2012</w:t>
      </w:r>
      <w:r>
        <w:tab/>
      </w:r>
      <w:r>
        <w:fldChar w:fldCharType="begin"/>
      </w:r>
      <w:r>
        <w:instrText xml:space="preserve"> PAGEREF _Toc370981254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Windows MultiPoint Server 2012 com CAL do Windows Server 2012</w:t>
      </w:r>
      <w:r>
        <w:tab/>
      </w:r>
      <w:r>
        <w:fldChar w:fldCharType="begin"/>
      </w:r>
      <w:r>
        <w:instrText xml:space="preserve"> PAGEREF _Toc370981255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MultiPoint Server 2012 Premium com Windows MultiPoint Server 2012 (CAL) (5 Clientes)</w:t>
      </w:r>
      <w:r>
        <w:tab/>
      </w:r>
      <w:r>
        <w:fldChar w:fldCharType="begin"/>
      </w:r>
      <w:r>
        <w:instrText xml:space="preserve"> PAGEREF _Toc370981256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lastRenderedPageBreak/>
        <w:t>Windows MultiPoint Server 2012 Premium com Windows MultiPoint Server 2012 (CAL) (5 Clientes) com CAL do Windows Server 2012 (5 Clientes)</w:t>
      </w:r>
      <w:r>
        <w:tab/>
      </w:r>
      <w:r>
        <w:fldChar w:fldCharType="begin"/>
      </w:r>
      <w:r>
        <w:instrText xml:space="preserve"> PAGEREF _Toc370981257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Server™ 2008 R2 HPC Edition</w:t>
      </w:r>
      <w:r>
        <w:tab/>
      </w:r>
      <w:r>
        <w:fldChar w:fldCharType="begin"/>
      </w:r>
      <w:r>
        <w:instrText xml:space="preserve"> PAGEREF _Toc370981258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Server™ 2008 R2 Enterprise</w:t>
      </w:r>
      <w:r>
        <w:tab/>
      </w:r>
      <w:r>
        <w:fldChar w:fldCharType="begin"/>
      </w:r>
      <w:r>
        <w:instrText xml:space="preserve"> PAGEREF _Toc370981259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Server™ 2008 R2 Itanium Based Systems</w:t>
      </w:r>
      <w:r>
        <w:tab/>
      </w:r>
      <w:r>
        <w:fldChar w:fldCharType="begin"/>
      </w:r>
      <w:r>
        <w:instrText xml:space="preserve"> PAGEREF _Toc370981260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 Windows Server™ 2012 (Dispositivo e Usuário)</w:t>
      </w:r>
      <w:r>
        <w:tab/>
      </w:r>
      <w:r>
        <w:fldChar w:fldCharType="begin"/>
      </w:r>
      <w:r>
        <w:instrText xml:space="preserve"> PAGEREF _Toc370981261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Server™ 2012 R2 Datacenter</w:t>
      </w:r>
      <w:r>
        <w:tab/>
      </w:r>
      <w:r>
        <w:fldChar w:fldCharType="begin"/>
      </w:r>
      <w:r>
        <w:instrText xml:space="preserve"> PAGEREF _Toc370981262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Server™ 2012 R2 Standard</w:t>
      </w:r>
      <w:r>
        <w:tab/>
      </w:r>
      <w:r>
        <w:fldChar w:fldCharType="begin"/>
      </w:r>
      <w:r>
        <w:instrText xml:space="preserve"> PAGEREF _Toc370981263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External Connector do Windows Server™</w:t>
      </w:r>
      <w:r>
        <w:tab/>
      </w:r>
      <w:r>
        <w:fldChar w:fldCharType="begin"/>
      </w:r>
      <w:r>
        <w:instrText xml:space="preserve"> PAGEREF _Toc370981264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de Serviços de Área de Trabalho Remota do Windows Server™ 2012</w:t>
      </w:r>
      <w:r>
        <w:tab/>
      </w:r>
      <w:r>
        <w:fldChar w:fldCharType="begin"/>
      </w:r>
      <w:r>
        <w:instrText xml:space="preserve"> PAGEREF _Toc370981265 \h </w:instrText>
      </w:r>
      <w:r>
        <w:fldChar w:fldCharType="separate"/>
      </w:r>
      <w:r>
        <w:t>26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External Connector dos Serviços de Área de Trabalho Remota do Windows Server™ 2012</w:t>
      </w:r>
      <w:r>
        <w:tab/>
      </w:r>
      <w:r>
        <w:fldChar w:fldCharType="begin"/>
      </w:r>
      <w:r>
        <w:instrText xml:space="preserve"> PAGEREF _Toc370981266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CAL dos Serviços de Gerenciamento de Direitos do Active Directory do Windows Server™ 2012</w:t>
      </w:r>
      <w:r>
        <w:tab/>
      </w:r>
      <w:r>
        <w:fldChar w:fldCharType="begin"/>
      </w:r>
      <w:r>
        <w:instrText xml:space="preserve"> PAGEREF _Toc370981267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External Connector dos Serviços de Gerenciamento de Direitos do Active Directory do Windows Server™</w:t>
      </w:r>
      <w:r>
        <w:tab/>
      </w:r>
      <w:r>
        <w:fldChar w:fldCharType="begin"/>
      </w:r>
      <w:r>
        <w:instrText xml:space="preserve"> PAGEREF _Toc370981268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Small Business Server 2008 Premium</w:t>
      </w:r>
      <w:r>
        <w:tab/>
      </w:r>
      <w:r>
        <w:fldChar w:fldCharType="begin"/>
      </w:r>
      <w:r>
        <w:instrText xml:space="preserve"> PAGEREF _Toc370981269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Small Business Server 2011 Standard</w:t>
      </w:r>
      <w:r>
        <w:tab/>
      </w:r>
      <w:r>
        <w:fldChar w:fldCharType="begin"/>
      </w:r>
      <w:r>
        <w:instrText xml:space="preserve"> PAGEREF _Toc370981270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Small Business Server 2011 CAL Suite (1 cliente)</w:t>
      </w:r>
      <w:r>
        <w:tab/>
      </w:r>
      <w:r>
        <w:fldChar w:fldCharType="begin"/>
      </w:r>
      <w:r>
        <w:instrText xml:space="preserve"> PAGEREF _Toc370981271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Small Business Server 2011 CAL Suite (5 clientes)</w:t>
      </w:r>
      <w:r>
        <w:tab/>
      </w:r>
      <w:r>
        <w:fldChar w:fldCharType="begin"/>
      </w:r>
      <w:r>
        <w:instrText xml:space="preserve"> PAGEREF _Toc370981272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Small Business Server 2011 CAL Suite (20 clientes)</w:t>
      </w:r>
      <w:r>
        <w:tab/>
      </w:r>
      <w:r>
        <w:fldChar w:fldCharType="begin"/>
      </w:r>
      <w:r>
        <w:instrText xml:space="preserve"> PAGEREF _Toc370981273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Complemento do Windows Small Business Server 2011 Premium</w:t>
      </w:r>
      <w:r>
        <w:tab/>
      </w:r>
      <w:r>
        <w:fldChar w:fldCharType="begin"/>
      </w:r>
      <w:r>
        <w:instrText xml:space="preserve"> PAGEREF _Toc370981274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Pacote de CALs do Complemento do Windows Small Business Server (SBS) 2011 Premium</w:t>
      </w:r>
      <w:r>
        <w:tab/>
      </w:r>
      <w:r>
        <w:fldChar w:fldCharType="begin"/>
      </w:r>
      <w:r>
        <w:instrText xml:space="preserve"> PAGEREF _Toc370981275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Pacote de CALs do Complemento do Windows Small Business Server 2011 (5 clientes)</w:t>
      </w:r>
      <w:r>
        <w:tab/>
      </w:r>
      <w:r>
        <w:fldChar w:fldCharType="begin"/>
      </w:r>
      <w:r>
        <w:instrText xml:space="preserve"> PAGEREF _Toc370981276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Pacote de CALs do Complemento do Windows Small Business Server 2011 (20 clientes)</w:t>
      </w:r>
      <w:r>
        <w:tab/>
      </w:r>
      <w:r>
        <w:fldChar w:fldCharType="begin"/>
      </w:r>
      <w:r>
        <w:instrText xml:space="preserve"> PAGEREF _Toc370981277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Server 2012 R2 Essentials</w:t>
      </w:r>
      <w:r>
        <w:tab/>
      </w:r>
      <w:r>
        <w:fldChar w:fldCharType="begin"/>
      </w:r>
      <w:r>
        <w:instrText xml:space="preserve"> PAGEREF _Toc370981278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Small Business Server 2011 Essentials</w:t>
      </w:r>
      <w:r>
        <w:tab/>
      </w:r>
      <w:r>
        <w:fldChar w:fldCharType="begin"/>
      </w:r>
      <w:r>
        <w:instrText xml:space="preserve"> PAGEREF _Toc370981279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Windows Web Server 2008 R2</w:t>
      </w:r>
      <w:r>
        <w:tab/>
      </w:r>
      <w:r>
        <w:fldChar w:fldCharType="begin"/>
      </w:r>
      <w:r>
        <w:instrText xml:space="preserve"> PAGEREF _Toc370981280 \h </w:instrText>
      </w:r>
      <w:r>
        <w:fldChar w:fldCharType="separate"/>
      </w:r>
      <w:r>
        <w:t>27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Yammer Enterprise</w:t>
      </w:r>
      <w:r>
        <w:tab/>
      </w:r>
      <w:r>
        <w:fldChar w:fldCharType="begin"/>
      </w:r>
      <w:r>
        <w:instrText xml:space="preserve"> PAGEREF _Toc370981281 \h </w:instrText>
      </w:r>
      <w:r>
        <w:fldChar w:fldCharType="separate"/>
      </w:r>
      <w:r>
        <w:t>27</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SEÇÃO 1 – Alterações na LISTA DE PRODUTOS nos últimos 12 meses</w:t>
      </w:r>
      <w:r>
        <w:tab/>
      </w:r>
      <w:r>
        <w:fldChar w:fldCharType="begin"/>
      </w:r>
      <w:r>
        <w:instrText xml:space="preserve"> PAGEREF _Toc370981282 \h </w:instrText>
      </w:r>
      <w:r>
        <w:fldChar w:fldCharType="separate"/>
      </w:r>
      <w:r>
        <w:t>28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NOVEMBRO DE 2013</w:t>
      </w:r>
      <w:r>
        <w:tab/>
      </w:r>
      <w:r>
        <w:fldChar w:fldCharType="begin"/>
      </w:r>
      <w:r>
        <w:instrText xml:space="preserve"> PAGEREF _Toc370981283 \h </w:instrText>
      </w:r>
      <w:r>
        <w:fldChar w:fldCharType="separate"/>
      </w:r>
      <w:r>
        <w:t>28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OUTUBRO DE 2013</w:t>
      </w:r>
      <w:r>
        <w:tab/>
      </w:r>
      <w:r>
        <w:fldChar w:fldCharType="begin"/>
      </w:r>
      <w:r>
        <w:instrText xml:space="preserve"> PAGEREF _Toc370981284 \h </w:instrText>
      </w:r>
      <w:r>
        <w:fldChar w:fldCharType="separate"/>
      </w:r>
      <w:r>
        <w:t>29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SETEMBRO DE 2013</w:t>
      </w:r>
      <w:r>
        <w:tab/>
      </w:r>
      <w:r>
        <w:fldChar w:fldCharType="begin"/>
      </w:r>
      <w:r>
        <w:instrText xml:space="preserve"> PAGEREF _Toc370981285 \h </w:instrText>
      </w:r>
      <w:r>
        <w:fldChar w:fldCharType="separate"/>
      </w:r>
      <w:r>
        <w:t>30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AGOSTO DE 2013</w:t>
      </w:r>
      <w:r>
        <w:tab/>
      </w:r>
      <w:r>
        <w:fldChar w:fldCharType="begin"/>
      </w:r>
      <w:r>
        <w:instrText xml:space="preserve"> PAGEREF _Toc370981286 \h </w:instrText>
      </w:r>
      <w:r>
        <w:fldChar w:fldCharType="separate"/>
      </w:r>
      <w:r>
        <w:t>30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JULHO DE 2013</w:t>
      </w:r>
      <w:r>
        <w:tab/>
      </w:r>
      <w:r>
        <w:fldChar w:fldCharType="begin"/>
      </w:r>
      <w:r>
        <w:instrText xml:space="preserve"> PAGEREF _Toc370981287 \h </w:instrText>
      </w:r>
      <w:r>
        <w:fldChar w:fldCharType="separate"/>
      </w:r>
      <w:r>
        <w:t>31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JUNHO DE 2013</w:t>
      </w:r>
      <w:r>
        <w:tab/>
      </w:r>
      <w:r>
        <w:fldChar w:fldCharType="begin"/>
      </w:r>
      <w:r>
        <w:instrText xml:space="preserve"> PAGEREF _Toc370981288 \h </w:instrText>
      </w:r>
      <w:r>
        <w:fldChar w:fldCharType="separate"/>
      </w:r>
      <w:r>
        <w:t>31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MAIO DE 2013</w:t>
      </w:r>
      <w:r>
        <w:tab/>
      </w:r>
      <w:r>
        <w:fldChar w:fldCharType="begin"/>
      </w:r>
      <w:r>
        <w:instrText xml:space="preserve"> PAGEREF _Toc370981289 \h </w:instrText>
      </w:r>
      <w:r>
        <w:fldChar w:fldCharType="separate"/>
      </w:r>
      <w:r>
        <w:t>32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ABRIL DE 2013</w:t>
      </w:r>
      <w:r>
        <w:tab/>
      </w:r>
      <w:r>
        <w:fldChar w:fldCharType="begin"/>
      </w:r>
      <w:r>
        <w:instrText xml:space="preserve"> PAGEREF _Toc370981290 \h </w:instrText>
      </w:r>
      <w:r>
        <w:fldChar w:fldCharType="separate"/>
      </w:r>
      <w:r>
        <w:t>32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MARÇO DE 2013</w:t>
      </w:r>
      <w:r>
        <w:tab/>
      </w:r>
      <w:r>
        <w:fldChar w:fldCharType="begin"/>
      </w:r>
      <w:r>
        <w:instrText xml:space="preserve"> PAGEREF _Toc370981291 \h </w:instrText>
      </w:r>
      <w:r>
        <w:fldChar w:fldCharType="separate"/>
      </w:r>
      <w:r>
        <w:t>34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FEVEREIRO DE 2013</w:t>
      </w:r>
      <w:r>
        <w:tab/>
      </w:r>
      <w:r>
        <w:fldChar w:fldCharType="begin"/>
      </w:r>
      <w:r>
        <w:instrText xml:space="preserve"> PAGEREF _Toc370981292 \h </w:instrText>
      </w:r>
      <w:r>
        <w:fldChar w:fldCharType="separate"/>
      </w:r>
      <w:r>
        <w:t>35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JANEIRO DE 2013</w:t>
      </w:r>
      <w:r>
        <w:tab/>
      </w:r>
      <w:r>
        <w:fldChar w:fldCharType="begin"/>
      </w:r>
      <w:r>
        <w:instrText xml:space="preserve"> PAGEREF _Toc370981293 \h </w:instrText>
      </w:r>
      <w:r>
        <w:fldChar w:fldCharType="separate"/>
      </w:r>
      <w:r>
        <w:t>36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6600"/>
        </w:rPr>
        <w:t>ALTERAÇÕES EM DEZEMBRO DE 2012</w:t>
      </w:r>
      <w:r>
        <w:tab/>
      </w:r>
      <w:r>
        <w:fldChar w:fldCharType="begin"/>
      </w:r>
      <w:r>
        <w:instrText xml:space="preserve"> PAGEREF _Toc370981294 \h </w:instrText>
      </w:r>
      <w:r>
        <w:fldChar w:fldCharType="separate"/>
      </w:r>
      <w:r>
        <w:t>36</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Seção 2 – promoções de ProdutoS</w:t>
      </w:r>
      <w:r>
        <w:tab/>
      </w:r>
      <w:r>
        <w:fldChar w:fldCharType="begin"/>
      </w:r>
      <w:r>
        <w:instrText xml:space="preserve"> PAGEREF _Toc370981295 \h </w:instrText>
      </w:r>
      <w:r>
        <w:fldChar w:fldCharType="separate"/>
      </w:r>
      <w:r>
        <w:t>39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F9429"/>
        </w:rPr>
        <w:t>Microsoft Dynamics AX 2012 R2 - Promoção de Introdução ao EA</w:t>
      </w:r>
      <w:r>
        <w:tab/>
      </w:r>
      <w:r>
        <w:fldChar w:fldCharType="begin"/>
      </w:r>
      <w:r>
        <w:instrText xml:space="preserve"> PAGEREF _Toc370981296 \h </w:instrText>
      </w:r>
      <w:r>
        <w:fldChar w:fldCharType="separate"/>
      </w:r>
      <w:r>
        <w:t>39</w:t>
      </w:r>
      <w:r>
        <w:fldChar w:fldCharType="end"/>
      </w:r>
    </w:p>
    <w:p w:rsidR="007F6051" w:rsidRDefault="007F6051">
      <w:pPr>
        <w:pStyle w:val="TOC2"/>
        <w:rPr>
          <w:rFonts w:asciiTheme="minorHAnsi" w:eastAsiaTheme="minorEastAsia" w:hAnsiTheme="minorHAnsi" w:cstheme="minorBidi"/>
          <w:sz w:val="22"/>
          <w:szCs w:val="22"/>
        </w:rPr>
      </w:pPr>
      <w:r w:rsidRPr="000A66FC">
        <w:rPr>
          <w:rFonts w:eastAsia="Times New Roman" w:cs="Tahoma"/>
          <w:color w:val="FF9429"/>
        </w:rPr>
        <w:t>Promoção do Windows Intune e Complemento do Intune</w:t>
      </w:r>
      <w:r>
        <w:tab/>
      </w:r>
      <w:r>
        <w:fldChar w:fldCharType="begin"/>
      </w:r>
      <w:r>
        <w:instrText xml:space="preserve"> PAGEREF _Toc370981297 \h </w:instrText>
      </w:r>
      <w:r>
        <w:fldChar w:fldCharType="separate"/>
      </w:r>
      <w:r>
        <w:t>39</w:t>
      </w:r>
      <w:r>
        <w:fldChar w:fldCharType="end"/>
      </w:r>
    </w:p>
    <w:p w:rsidR="007F6051" w:rsidRDefault="007F6051">
      <w:pPr>
        <w:pStyle w:val="TOC2"/>
        <w:rPr>
          <w:rFonts w:asciiTheme="minorHAnsi" w:eastAsiaTheme="minorEastAsia" w:hAnsiTheme="minorHAnsi" w:cstheme="minorBidi"/>
          <w:sz w:val="22"/>
          <w:szCs w:val="22"/>
        </w:rPr>
      </w:pPr>
      <w:r w:rsidRPr="000A66FC">
        <w:rPr>
          <w:rFonts w:eastAsia="Times New Roman" w:cs="Tahoma"/>
          <w:color w:val="FF9429"/>
        </w:rPr>
        <w:t>Aceleração e Adoção do Windows Azure</w:t>
      </w:r>
      <w:r>
        <w:tab/>
      </w:r>
      <w:r>
        <w:fldChar w:fldCharType="begin"/>
      </w:r>
      <w:r>
        <w:instrText xml:space="preserve"> PAGEREF _Toc370981298 \h </w:instrText>
      </w:r>
      <w:r>
        <w:fldChar w:fldCharType="separate"/>
      </w:r>
      <w:r>
        <w:t>39</w:t>
      </w:r>
      <w:r>
        <w:fldChar w:fldCharType="end"/>
      </w:r>
    </w:p>
    <w:p w:rsidR="007F6051" w:rsidRDefault="007F6051">
      <w:pPr>
        <w:pStyle w:val="TOC2"/>
        <w:rPr>
          <w:rFonts w:asciiTheme="minorHAnsi" w:eastAsiaTheme="minorEastAsia" w:hAnsiTheme="minorHAnsi" w:cstheme="minorBidi"/>
          <w:sz w:val="22"/>
          <w:szCs w:val="22"/>
        </w:rPr>
      </w:pPr>
      <w:r w:rsidRPr="000A66FC">
        <w:rPr>
          <w:rFonts w:eastAsia="Times New Roman" w:cs="Tahoma"/>
          <w:color w:val="FF9429"/>
        </w:rPr>
        <w:t>Visual Studio Test Pro com Promoção do MSDN</w:t>
      </w:r>
      <w:r>
        <w:tab/>
      </w:r>
      <w:r>
        <w:fldChar w:fldCharType="begin"/>
      </w:r>
      <w:r>
        <w:instrText xml:space="preserve"> PAGEREF _Toc370981299 \h </w:instrText>
      </w:r>
      <w:r>
        <w:fldChar w:fldCharType="separate"/>
      </w:r>
      <w:r>
        <w:t>40</w:t>
      </w:r>
      <w:r>
        <w:fldChar w:fldCharType="end"/>
      </w:r>
    </w:p>
    <w:p w:rsidR="007F6051" w:rsidRDefault="007F6051">
      <w:pPr>
        <w:pStyle w:val="TOC2"/>
        <w:rPr>
          <w:rFonts w:asciiTheme="minorHAnsi" w:eastAsiaTheme="minorEastAsia" w:hAnsiTheme="minorHAnsi" w:cstheme="minorBidi"/>
          <w:sz w:val="22"/>
          <w:szCs w:val="22"/>
        </w:rPr>
      </w:pPr>
      <w:r w:rsidRPr="000A66FC">
        <w:rPr>
          <w:rFonts w:eastAsia="Times New Roman" w:cs="Tahoma"/>
          <w:color w:val="FF9429"/>
        </w:rPr>
        <w:t>Registro de Servidor e Nuvem Jumpstart do Ano Fiscal de 2014</w:t>
      </w:r>
      <w:r>
        <w:tab/>
      </w:r>
      <w:r>
        <w:fldChar w:fldCharType="begin"/>
      </w:r>
      <w:r>
        <w:instrText xml:space="preserve"> PAGEREF _Toc370981300 \h </w:instrText>
      </w:r>
      <w:r>
        <w:fldChar w:fldCharType="separate"/>
      </w:r>
      <w:r>
        <w:t>40</w:t>
      </w:r>
      <w:r>
        <w:fldChar w:fldCharType="end"/>
      </w:r>
    </w:p>
    <w:p w:rsidR="007F6051" w:rsidRDefault="007F6051">
      <w:pPr>
        <w:pStyle w:val="TOC2"/>
        <w:rPr>
          <w:rFonts w:asciiTheme="minorHAnsi" w:eastAsiaTheme="minorEastAsia" w:hAnsiTheme="minorHAnsi" w:cstheme="minorBidi"/>
          <w:sz w:val="22"/>
          <w:szCs w:val="22"/>
        </w:rPr>
      </w:pPr>
      <w:r w:rsidRPr="000A66FC">
        <w:rPr>
          <w:rFonts w:eastAsia="Times New Roman" w:cs="Tahoma"/>
          <w:color w:val="FF9429"/>
        </w:rPr>
        <w:t>Gerenciamento de Projeto e Portfólio na Promoção da Nuvem</w:t>
      </w:r>
      <w:r>
        <w:tab/>
      </w:r>
      <w:r>
        <w:fldChar w:fldCharType="begin"/>
      </w:r>
      <w:r>
        <w:instrText xml:space="preserve"> PAGEREF _Toc370981301 \h </w:instrText>
      </w:r>
      <w:r>
        <w:fldChar w:fldCharType="separate"/>
      </w:r>
      <w:r>
        <w:t>40</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SEÇÃO 3 – TERMOS do Programa de Licenciamento por Volume</w:t>
      </w:r>
      <w:r>
        <w:tab/>
      </w:r>
      <w:r>
        <w:fldChar w:fldCharType="begin"/>
      </w:r>
      <w:r>
        <w:instrText xml:space="preserve"> PAGEREF _Toc370981302 \h </w:instrText>
      </w:r>
      <w:r>
        <w:fldChar w:fldCharType="separate"/>
      </w:r>
      <w:r>
        <w:t>41</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Programas de Licenciamento por Volume Aplicáveis</w:t>
      </w:r>
      <w:r>
        <w:tab/>
      </w:r>
      <w:r>
        <w:fldChar w:fldCharType="begin"/>
      </w:r>
      <w:r>
        <w:instrText xml:space="preserve"> PAGEREF _Toc370981303 \h </w:instrText>
      </w:r>
      <w:r>
        <w:fldChar w:fldCharType="separate"/>
      </w:r>
      <w:r>
        <w:t>41</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Pontos e pedidos mínimos</w:t>
      </w:r>
      <w:r>
        <w:tab/>
      </w:r>
      <w:r>
        <w:fldChar w:fldCharType="begin"/>
      </w:r>
      <w:r>
        <w:instrText xml:space="preserve"> PAGEREF _Toc370981304 \h </w:instrText>
      </w:r>
      <w:r>
        <w:fldChar w:fldCharType="separate"/>
      </w:r>
      <w:r>
        <w:t>41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Requisitos Mínimos de Pedidos</w:t>
      </w:r>
      <w:r>
        <w:tab/>
      </w:r>
      <w:r>
        <w:fldChar w:fldCharType="begin"/>
      </w:r>
      <w:r>
        <w:instrText xml:space="preserve"> PAGEREF _Toc370981305 \h </w:instrText>
      </w:r>
      <w:r>
        <w:fldChar w:fldCharType="separate"/>
      </w:r>
      <w:r>
        <w:t>42</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Plataformas</w:t>
      </w:r>
      <w:r>
        <w:tab/>
      </w:r>
      <w:r>
        <w:fldChar w:fldCharType="begin"/>
      </w:r>
      <w:r>
        <w:instrText xml:space="preserve"> PAGEREF _Toc370981306 \h </w:instrText>
      </w:r>
      <w:r>
        <w:fldChar w:fldCharType="separate"/>
      </w:r>
      <w:r>
        <w:t>45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Definição de Gerenciamento para Dispositivos Qualificados</w:t>
      </w:r>
      <w:r>
        <w:tab/>
      </w:r>
      <w:r>
        <w:fldChar w:fldCharType="begin"/>
      </w:r>
      <w:r>
        <w:instrText xml:space="preserve"> PAGEREF _Toc370981307 \h </w:instrText>
      </w:r>
      <w:r>
        <w:fldChar w:fldCharType="separate"/>
      </w:r>
      <w:r>
        <w:t>46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Produtos qualificados para o Desconto de Atualização (UTD)</w:t>
      </w:r>
      <w:r>
        <w:tab/>
      </w:r>
      <w:r>
        <w:fldChar w:fldCharType="begin"/>
      </w:r>
      <w:r>
        <w:instrText xml:space="preserve"> PAGEREF _Toc370981308 \h </w:instrText>
      </w:r>
      <w:r>
        <w:fldChar w:fldCharType="separate"/>
      </w:r>
      <w:r>
        <w:t>47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Termos de Programa Atualizados dos Contratos Enterprise e Subscription</w:t>
      </w:r>
      <w:r>
        <w:tab/>
      </w:r>
      <w:r>
        <w:fldChar w:fldCharType="begin"/>
      </w:r>
      <w:r>
        <w:instrText xml:space="preserve"> PAGEREF _Toc370981309 \h </w:instrText>
      </w:r>
      <w:r>
        <w:fldChar w:fldCharType="separate"/>
      </w:r>
      <w:r>
        <w:t>48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Continuidade do Serviço por meio de Prazo Estendido</w:t>
      </w:r>
      <w:r>
        <w:tab/>
      </w:r>
      <w:r>
        <w:fldChar w:fldCharType="begin"/>
      </w:r>
      <w:r>
        <w:instrText xml:space="preserve"> PAGEREF _Toc370981310 \h </w:instrText>
      </w:r>
      <w:r>
        <w:fldChar w:fldCharType="separate"/>
      </w:r>
      <w:r>
        <w:t>52</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lastRenderedPageBreak/>
        <w:t>seção 4 – tipos de licença e valores</w:t>
      </w:r>
      <w:r>
        <w:tab/>
      </w:r>
      <w:r>
        <w:fldChar w:fldCharType="begin"/>
      </w:r>
      <w:r>
        <w:instrText xml:space="preserve"> PAGEREF _Toc370981311 \h </w:instrText>
      </w:r>
      <w:r>
        <w:fldChar w:fldCharType="separate"/>
      </w:r>
      <w:r>
        <w:t>53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Valores</w:t>
      </w:r>
      <w:r>
        <w:tab/>
      </w:r>
      <w:r>
        <w:fldChar w:fldCharType="begin"/>
      </w:r>
      <w:r>
        <w:instrText xml:space="preserve"> PAGEREF _Toc370981312 \h </w:instrText>
      </w:r>
      <w:r>
        <w:fldChar w:fldCharType="separate"/>
      </w:r>
      <w:r>
        <w:t>53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w:t>
      </w:r>
      <w:r>
        <w:tab/>
      </w:r>
      <w:r>
        <w:fldChar w:fldCharType="begin"/>
      </w:r>
      <w:r>
        <w:instrText xml:space="preserve"> PAGEREF _Toc370981313 \h </w:instrText>
      </w:r>
      <w:r>
        <w:fldChar w:fldCharType="separate"/>
      </w:r>
      <w:r>
        <w:t>53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 e Software Assurance</w:t>
      </w:r>
      <w:r>
        <w:tab/>
      </w:r>
      <w:r>
        <w:fldChar w:fldCharType="begin"/>
      </w:r>
      <w:r>
        <w:instrText xml:space="preserve"> PAGEREF _Toc370981314 \h </w:instrText>
      </w:r>
      <w:r>
        <w:fldChar w:fldCharType="separate"/>
      </w:r>
      <w:r>
        <w:t>53</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Software Assurance</w:t>
      </w:r>
      <w:r>
        <w:tab/>
      </w:r>
      <w:r>
        <w:fldChar w:fldCharType="begin"/>
      </w:r>
      <w:r>
        <w:instrText xml:space="preserve"> PAGEREF _Toc370981315 \h </w:instrText>
      </w:r>
      <w:r>
        <w:fldChar w:fldCharType="separate"/>
      </w:r>
      <w:r>
        <w:t>54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Licenças Step-up</w:t>
      </w:r>
      <w:r>
        <w:tab/>
      </w:r>
      <w:r>
        <w:fldChar w:fldCharType="begin"/>
      </w:r>
      <w:r>
        <w:instrText xml:space="preserve"> PAGEREF _Toc370981316 \h </w:instrText>
      </w:r>
      <w:r>
        <w:fldChar w:fldCharType="separate"/>
      </w:r>
      <w:r>
        <w:t>55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Licenças de Assinatura</w:t>
      </w:r>
      <w:r>
        <w:tab/>
      </w:r>
      <w:r>
        <w:fldChar w:fldCharType="begin"/>
      </w:r>
      <w:r>
        <w:instrText xml:space="preserve"> PAGEREF _Toc370981317 \h </w:instrText>
      </w:r>
      <w:r>
        <w:fldChar w:fldCharType="separate"/>
      </w:r>
      <w:r>
        <w:t>55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Atualização</w:t>
      </w:r>
      <w:r>
        <w:tab/>
      </w:r>
      <w:r>
        <w:fldChar w:fldCharType="begin"/>
      </w:r>
      <w:r>
        <w:instrText xml:space="preserve"> PAGEREF _Toc370981318 \h </w:instrText>
      </w:r>
      <w:r>
        <w:fldChar w:fldCharType="separate"/>
      </w:r>
      <w:r>
        <w:t>56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Atualização e Software Assurance</w:t>
      </w:r>
      <w:r>
        <w:tab/>
      </w:r>
      <w:r>
        <w:fldChar w:fldCharType="begin"/>
      </w:r>
      <w:r>
        <w:instrText xml:space="preserve"> PAGEREF _Toc370981319 \h </w:instrText>
      </w:r>
      <w:r>
        <w:fldChar w:fldCharType="separate"/>
      </w:r>
      <w:r>
        <w:t>56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Licenças Work-at-Home</w:t>
      </w:r>
      <w:r>
        <w:tab/>
      </w:r>
      <w:r>
        <w:fldChar w:fldCharType="begin"/>
      </w:r>
      <w:r>
        <w:instrText xml:space="preserve"> PAGEREF _Toc370981320 \h </w:instrText>
      </w:r>
      <w:r>
        <w:fldChar w:fldCharType="separate"/>
      </w:r>
      <w:r>
        <w:t>56</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Seção 5 – TERMOS DE PAGAMENTO e PREÇOS DE SERVIÇOS ONLINE</w:t>
      </w:r>
      <w:r>
        <w:tab/>
      </w:r>
      <w:r>
        <w:fldChar w:fldCharType="begin"/>
      </w:r>
      <w:r>
        <w:instrText xml:space="preserve"> PAGEREF _Toc370981321 \h </w:instrText>
      </w:r>
      <w:r>
        <w:fldChar w:fldCharType="separate"/>
      </w:r>
      <w:r>
        <w:t>57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Termos de Pagamento e Preços de Serviços Online</w:t>
      </w:r>
      <w:r>
        <w:tab/>
      </w:r>
      <w:r>
        <w:fldChar w:fldCharType="begin"/>
      </w:r>
      <w:r>
        <w:instrText xml:space="preserve"> PAGEREF _Toc370981322 \h </w:instrText>
      </w:r>
      <w:r>
        <w:fldChar w:fldCharType="separate"/>
      </w:r>
      <w:r>
        <w:t>57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Prazo da assinatura de Serviços Online</w:t>
      </w:r>
      <w:r>
        <w:tab/>
      </w:r>
      <w:r>
        <w:fldChar w:fldCharType="begin"/>
      </w:r>
      <w:r>
        <w:instrText xml:space="preserve"> PAGEREF _Toc370981323 \h </w:instrText>
      </w:r>
      <w:r>
        <w:fldChar w:fldCharType="separate"/>
      </w:r>
      <w:r>
        <w:t>58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Compras e renovação automática em Serviços Online</w:t>
      </w:r>
      <w:r>
        <w:tab/>
      </w:r>
      <w:r>
        <w:fldChar w:fldCharType="begin"/>
      </w:r>
      <w:r>
        <w:instrText xml:space="preserve"> PAGEREF _Toc370981324 \h </w:instrText>
      </w:r>
      <w:r>
        <w:fldChar w:fldCharType="separate"/>
      </w:r>
      <w:r>
        <w:t>59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Gerenciamento do status da renovação e da renovação automática</w:t>
      </w:r>
      <w:r>
        <w:tab/>
      </w:r>
      <w:r>
        <w:fldChar w:fldCharType="begin"/>
      </w:r>
      <w:r>
        <w:instrText xml:space="preserve"> PAGEREF _Toc370981325 \h </w:instrText>
      </w:r>
      <w:r>
        <w:fldChar w:fldCharType="separate"/>
      </w:r>
      <w:r>
        <w:t>59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Cancelamento de Serviços Online</w:t>
      </w:r>
      <w:r>
        <w:tab/>
      </w:r>
      <w:r>
        <w:fldChar w:fldCharType="begin"/>
      </w:r>
      <w:r>
        <w:instrText xml:space="preserve"> PAGEREF _Toc370981326 \h </w:instrText>
      </w:r>
      <w:r>
        <w:fldChar w:fldCharType="separate"/>
      </w:r>
      <w:r>
        <w:t>59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Opções de termos de pagamento de Serviços Online</w:t>
      </w:r>
      <w:r>
        <w:tab/>
      </w:r>
      <w:r>
        <w:fldChar w:fldCharType="begin"/>
      </w:r>
      <w:r>
        <w:instrText xml:space="preserve"> PAGEREF _Toc370981327 \h </w:instrText>
      </w:r>
      <w:r>
        <w:fldChar w:fldCharType="separate"/>
      </w:r>
      <w:r>
        <w:t>59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Requisitos de compra mínima para Serviços Online no Licenciamento por Volume</w:t>
      </w:r>
      <w:r>
        <w:tab/>
      </w:r>
      <w:r>
        <w:fldChar w:fldCharType="begin"/>
      </w:r>
      <w:r>
        <w:instrText xml:space="preserve"> PAGEREF _Toc370981328 \h </w:instrText>
      </w:r>
      <w:r>
        <w:fldChar w:fldCharType="separate"/>
      </w:r>
      <w:r>
        <w:t>60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Serviços do Windows Azure</w:t>
      </w:r>
      <w:r>
        <w:tab/>
      </w:r>
      <w:r>
        <w:fldChar w:fldCharType="begin"/>
      </w:r>
      <w:r>
        <w:instrText xml:space="preserve"> PAGEREF _Toc370981329 \h </w:instrText>
      </w:r>
      <w:r>
        <w:fldChar w:fldCharType="separate"/>
      </w:r>
      <w:r>
        <w:t>60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Disponibilidade Regional dos Serviços Online</w:t>
      </w:r>
      <w:r>
        <w:tab/>
      </w:r>
      <w:r>
        <w:fldChar w:fldCharType="begin"/>
      </w:r>
      <w:r>
        <w:instrText xml:space="preserve"> PAGEREF _Toc370981330 \h </w:instrText>
      </w:r>
      <w:r>
        <w:fldChar w:fldCharType="separate"/>
      </w:r>
      <w:r>
        <w:t>61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Termos adicionais de Serviços Online</w:t>
      </w:r>
      <w:r>
        <w:tab/>
      </w:r>
      <w:r>
        <w:fldChar w:fldCharType="begin"/>
      </w:r>
      <w:r>
        <w:instrText xml:space="preserve"> PAGEREF _Toc370981331 \h </w:instrText>
      </w:r>
      <w:r>
        <w:fldChar w:fldCharType="separate"/>
      </w:r>
      <w:r>
        <w:t>61</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SEÇÃO 6 – regras de renovação DO Software Assurance</w:t>
      </w:r>
      <w:r>
        <w:tab/>
      </w:r>
      <w:r>
        <w:fldChar w:fldCharType="begin"/>
      </w:r>
      <w:r>
        <w:instrText xml:space="preserve"> PAGEREF _Toc370981332 \h </w:instrText>
      </w:r>
      <w:r>
        <w:fldChar w:fldCharType="separate"/>
      </w:r>
      <w:r>
        <w:t>62</w:t>
      </w:r>
      <w: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Licença Open</w:t>
      </w:r>
      <w:r>
        <w:rPr>
          <w:noProof/>
        </w:rPr>
        <w:tab/>
      </w:r>
      <w:r>
        <w:rPr>
          <w:noProof/>
        </w:rPr>
        <w:fldChar w:fldCharType="begin"/>
      </w:r>
      <w:r>
        <w:rPr>
          <w:noProof/>
        </w:rPr>
        <w:instrText xml:space="preserve"> PAGEREF _Toc370981333 \h </w:instrText>
      </w:r>
      <w:r>
        <w:rPr>
          <w:noProof/>
        </w:rPr>
      </w:r>
      <w:r>
        <w:rPr>
          <w:noProof/>
        </w:rPr>
        <w:fldChar w:fldCharType="separate"/>
      </w:r>
      <w:r>
        <w:rPr>
          <w:noProof/>
        </w:rPr>
        <w:t>62</w:t>
      </w:r>
      <w:r>
        <w:rPr>
          <w:noProof/>
        </w:rP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Open Value 20xx</w:t>
      </w:r>
      <w:r>
        <w:rPr>
          <w:noProof/>
        </w:rPr>
        <w:tab/>
      </w:r>
      <w:r>
        <w:rPr>
          <w:noProof/>
        </w:rPr>
        <w:fldChar w:fldCharType="begin"/>
      </w:r>
      <w:r>
        <w:rPr>
          <w:noProof/>
        </w:rPr>
        <w:instrText xml:space="preserve"> PAGEREF _Toc370981334 \h </w:instrText>
      </w:r>
      <w:r>
        <w:rPr>
          <w:noProof/>
        </w:rPr>
      </w:r>
      <w:r>
        <w:rPr>
          <w:noProof/>
        </w:rPr>
        <w:fldChar w:fldCharType="separate"/>
      </w:r>
      <w:r>
        <w:rPr>
          <w:noProof/>
        </w:rPr>
        <w:t>62</w:t>
      </w:r>
      <w:r>
        <w:rPr>
          <w:noProof/>
        </w:rP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Select 20xx</w:t>
      </w:r>
      <w:r>
        <w:rPr>
          <w:noProof/>
        </w:rPr>
        <w:tab/>
      </w:r>
      <w:r>
        <w:rPr>
          <w:noProof/>
        </w:rPr>
        <w:fldChar w:fldCharType="begin"/>
      </w:r>
      <w:r>
        <w:rPr>
          <w:noProof/>
        </w:rPr>
        <w:instrText xml:space="preserve"> PAGEREF _Toc370981335 \h </w:instrText>
      </w:r>
      <w:r>
        <w:rPr>
          <w:noProof/>
        </w:rPr>
      </w:r>
      <w:r>
        <w:rPr>
          <w:noProof/>
        </w:rPr>
        <w:fldChar w:fldCharType="separate"/>
      </w:r>
      <w:r>
        <w:rPr>
          <w:noProof/>
        </w:rPr>
        <w:t>62</w:t>
      </w:r>
      <w:r>
        <w:rPr>
          <w:noProof/>
        </w:rP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Renovação da Cobertura sob o Mesmo Contrato</w:t>
      </w:r>
      <w:r>
        <w:rPr>
          <w:noProof/>
        </w:rPr>
        <w:tab/>
      </w:r>
      <w:r>
        <w:rPr>
          <w:noProof/>
        </w:rPr>
        <w:fldChar w:fldCharType="begin"/>
      </w:r>
      <w:r>
        <w:rPr>
          <w:noProof/>
        </w:rPr>
        <w:instrText xml:space="preserve"> PAGEREF _Toc370981336 \h </w:instrText>
      </w:r>
      <w:r>
        <w:rPr>
          <w:noProof/>
        </w:rPr>
      </w:r>
      <w:r>
        <w:rPr>
          <w:noProof/>
        </w:rPr>
        <w:fldChar w:fldCharType="separate"/>
      </w:r>
      <w:r>
        <w:rPr>
          <w:noProof/>
        </w:rPr>
        <w:t>62</w:t>
      </w:r>
      <w:r>
        <w:rPr>
          <w:noProof/>
        </w:rP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Renovação da Cobertura a partir de um Contrato Separado</w:t>
      </w:r>
      <w:r>
        <w:rPr>
          <w:noProof/>
        </w:rPr>
        <w:tab/>
      </w:r>
      <w:r>
        <w:rPr>
          <w:noProof/>
        </w:rPr>
        <w:fldChar w:fldCharType="begin"/>
      </w:r>
      <w:r>
        <w:rPr>
          <w:noProof/>
        </w:rPr>
        <w:instrText xml:space="preserve"> PAGEREF _Toc370981337 \h </w:instrText>
      </w:r>
      <w:r>
        <w:rPr>
          <w:noProof/>
        </w:rPr>
      </w:r>
      <w:r>
        <w:rPr>
          <w:noProof/>
        </w:rPr>
        <w:fldChar w:fldCharType="separate"/>
      </w:r>
      <w:r>
        <w:rPr>
          <w:noProof/>
        </w:rPr>
        <w:t>63</w:t>
      </w:r>
      <w:r>
        <w:rPr>
          <w:noProof/>
        </w:rP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Select Plus 20xx</w:t>
      </w:r>
      <w:r>
        <w:rPr>
          <w:noProof/>
        </w:rPr>
        <w:tab/>
      </w:r>
      <w:r>
        <w:rPr>
          <w:noProof/>
        </w:rPr>
        <w:fldChar w:fldCharType="begin"/>
      </w:r>
      <w:r>
        <w:rPr>
          <w:noProof/>
        </w:rPr>
        <w:instrText xml:space="preserve"> PAGEREF _Toc370981338 \h </w:instrText>
      </w:r>
      <w:r>
        <w:rPr>
          <w:noProof/>
        </w:rPr>
      </w:r>
      <w:r>
        <w:rPr>
          <w:noProof/>
        </w:rPr>
        <w:fldChar w:fldCharType="separate"/>
      </w:r>
      <w:r>
        <w:rPr>
          <w:noProof/>
        </w:rPr>
        <w:t>63</w:t>
      </w:r>
      <w:r>
        <w:rPr>
          <w:noProof/>
        </w:rP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Contrato Enterprise 2011 ou versões posteriores</w:t>
      </w:r>
      <w:r>
        <w:rPr>
          <w:noProof/>
        </w:rPr>
        <w:tab/>
      </w:r>
      <w:r>
        <w:rPr>
          <w:noProof/>
        </w:rPr>
        <w:fldChar w:fldCharType="begin"/>
      </w:r>
      <w:r>
        <w:rPr>
          <w:noProof/>
        </w:rPr>
        <w:instrText xml:space="preserve"> PAGEREF _Toc370981339 \h </w:instrText>
      </w:r>
      <w:r>
        <w:rPr>
          <w:noProof/>
        </w:rPr>
      </w:r>
      <w:r>
        <w:rPr>
          <w:noProof/>
        </w:rPr>
        <w:fldChar w:fldCharType="separate"/>
      </w:r>
      <w:r>
        <w:rPr>
          <w:noProof/>
        </w:rPr>
        <w:t>63</w:t>
      </w:r>
      <w:r>
        <w:rPr>
          <w:noProof/>
        </w:rP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Contrato Enterprise Pré-2011</w:t>
      </w:r>
      <w:r>
        <w:rPr>
          <w:noProof/>
        </w:rPr>
        <w:tab/>
      </w:r>
      <w:r>
        <w:rPr>
          <w:noProof/>
        </w:rPr>
        <w:fldChar w:fldCharType="begin"/>
      </w:r>
      <w:r>
        <w:rPr>
          <w:noProof/>
        </w:rPr>
        <w:instrText xml:space="preserve"> PAGEREF _Toc370981340 \h </w:instrText>
      </w:r>
      <w:r>
        <w:rPr>
          <w:noProof/>
        </w:rPr>
      </w:r>
      <w:r>
        <w:rPr>
          <w:noProof/>
        </w:rPr>
        <w:fldChar w:fldCharType="separate"/>
      </w:r>
      <w:r>
        <w:rPr>
          <w:noProof/>
        </w:rPr>
        <w:t>64</w:t>
      </w:r>
      <w:r>
        <w:rPr>
          <w:noProof/>
        </w:rPr>
        <w:fldChar w:fldCharType="end"/>
      </w:r>
    </w:p>
    <w:p w:rsidR="007F6051" w:rsidRDefault="007F6051">
      <w:pPr>
        <w:pStyle w:val="TOC4"/>
        <w:rPr>
          <w:rFonts w:asciiTheme="minorHAnsi" w:eastAsiaTheme="minorEastAsia" w:hAnsiTheme="minorHAnsi" w:cstheme="minorBidi"/>
          <w:noProof/>
          <w:sz w:val="22"/>
          <w:szCs w:val="22"/>
        </w:rPr>
      </w:pPr>
      <w:r w:rsidRPr="000A66FC">
        <w:rPr>
          <w:rFonts w:cs="Tahoma"/>
          <w:noProof/>
        </w:rPr>
        <w:t>Renovação entre programas</w:t>
      </w:r>
      <w:r>
        <w:rPr>
          <w:noProof/>
        </w:rPr>
        <w:tab/>
      </w:r>
      <w:r>
        <w:rPr>
          <w:noProof/>
        </w:rPr>
        <w:fldChar w:fldCharType="begin"/>
      </w:r>
      <w:r>
        <w:rPr>
          <w:noProof/>
        </w:rPr>
        <w:instrText xml:space="preserve"> PAGEREF _Toc370981341 \h </w:instrText>
      </w:r>
      <w:r>
        <w:rPr>
          <w:noProof/>
        </w:rPr>
      </w:r>
      <w:r>
        <w:rPr>
          <w:noProof/>
        </w:rPr>
        <w:fldChar w:fldCharType="separate"/>
      </w:r>
      <w:r>
        <w:rPr>
          <w:noProof/>
        </w:rPr>
        <w:t>64</w:t>
      </w:r>
      <w:r>
        <w:rPr>
          <w:noProof/>
        </w:rP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SEÇÃO 7 – Benefícios do Programa, BENEFÍCIOS DO software assurance (SA) e Benefícios dos Serviços Online (OLS)</w:t>
      </w:r>
      <w:r>
        <w:tab/>
      </w:r>
      <w:r>
        <w:fldChar w:fldCharType="begin"/>
      </w:r>
      <w:r>
        <w:instrText xml:space="preserve"> PAGEREF _Toc370981342 \h </w:instrText>
      </w:r>
      <w:r>
        <w:fldChar w:fldCharType="separate"/>
      </w:r>
      <w:r>
        <w:t>65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Direitos à Nova Versão</w:t>
      </w:r>
      <w:r>
        <w:tab/>
      </w:r>
      <w:r>
        <w:fldChar w:fldCharType="begin"/>
      </w:r>
      <w:r>
        <w:instrText xml:space="preserve"> PAGEREF _Toc370981343 \h </w:instrText>
      </w:r>
      <w:r>
        <w:fldChar w:fldCharType="separate"/>
      </w:r>
      <w:r>
        <w:t>67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Pacote Multilíngue do Office</w:t>
      </w:r>
      <w:r>
        <w:tab/>
      </w:r>
      <w:r>
        <w:fldChar w:fldCharType="begin"/>
      </w:r>
      <w:r>
        <w:instrText xml:space="preserve"> PAGEREF _Toc370981344 \h </w:instrText>
      </w:r>
      <w:r>
        <w:fldChar w:fldCharType="separate"/>
      </w:r>
      <w:r>
        <w:t>68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Windows 8 Enterprise</w:t>
      </w:r>
      <w:r>
        <w:tab/>
      </w:r>
      <w:r>
        <w:fldChar w:fldCharType="begin"/>
      </w:r>
      <w:r>
        <w:instrText xml:space="preserve"> PAGEREF _Toc370981345 \h </w:instrText>
      </w:r>
      <w:r>
        <w:fldChar w:fldCharType="separate"/>
      </w:r>
      <w:r>
        <w:t>72</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Windows 8 Enterprise Sideloading</w:t>
      </w:r>
      <w:r>
        <w:tab/>
      </w:r>
      <w:r>
        <w:fldChar w:fldCharType="begin"/>
      </w:r>
      <w:r>
        <w:instrText xml:space="preserve"> PAGEREF _Toc370981346 \h </w:instrText>
      </w:r>
      <w:r>
        <w:fldChar w:fldCharType="separate"/>
      </w:r>
      <w:r>
        <w:t>72</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Licença de Assinatura do Windows Companion</w:t>
      </w:r>
      <w:r>
        <w:tab/>
      </w:r>
      <w:r>
        <w:fldChar w:fldCharType="begin"/>
      </w:r>
      <w:r>
        <w:instrText xml:space="preserve"> PAGEREF _Toc370981347 \h </w:instrText>
      </w:r>
      <w:r>
        <w:fldChar w:fldCharType="separate"/>
      </w:r>
      <w:r>
        <w:t>72</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Cupons de Treinamento</w:t>
      </w:r>
      <w:r>
        <w:tab/>
      </w:r>
      <w:r>
        <w:fldChar w:fldCharType="begin"/>
      </w:r>
      <w:r>
        <w:instrText xml:space="preserve"> PAGEREF _Toc370981348 \h </w:instrText>
      </w:r>
      <w:r>
        <w:fldChar w:fldCharType="separate"/>
      </w:r>
      <w:r>
        <w:t>72</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E-Learning</w:t>
      </w:r>
      <w:r>
        <w:tab/>
      </w:r>
      <w:r>
        <w:fldChar w:fldCharType="begin"/>
      </w:r>
      <w:r>
        <w:instrText xml:space="preserve"> PAGEREF _Toc370981349 \h </w:instrText>
      </w:r>
      <w:r>
        <w:fldChar w:fldCharType="separate"/>
      </w:r>
      <w:r>
        <w:t>75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Home Use Program</w:t>
      </w:r>
      <w:r>
        <w:tab/>
      </w:r>
      <w:r>
        <w:fldChar w:fldCharType="begin"/>
      </w:r>
      <w:r>
        <w:instrText xml:space="preserve"> PAGEREF _Toc370981350 \h </w:instrText>
      </w:r>
      <w:r>
        <w:fldChar w:fldCharType="separate"/>
      </w:r>
      <w:r>
        <w:t>75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Suporte para Resolução de Problemas 24x7</w:t>
      </w:r>
      <w:r>
        <w:tab/>
      </w:r>
      <w:r>
        <w:fldChar w:fldCharType="begin"/>
      </w:r>
      <w:r>
        <w:instrText xml:space="preserve"> PAGEREF _Toc370981351 \h </w:instrText>
      </w:r>
      <w:r>
        <w:fldChar w:fldCharType="separate"/>
      </w:r>
      <w:r>
        <w:t>78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Suporte para Resolução de Problemas 24x7 Ilimitado</w:t>
      </w:r>
      <w:r>
        <w:tab/>
      </w:r>
      <w:r>
        <w:fldChar w:fldCharType="begin"/>
      </w:r>
      <w:r>
        <w:instrText xml:space="preserve"> PAGEREF _Toc370981352 \h </w:instrText>
      </w:r>
      <w:r>
        <w:fldChar w:fldCharType="separate"/>
      </w:r>
      <w:r>
        <w:t>83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System Center Advisor</w:t>
      </w:r>
      <w:r>
        <w:tab/>
      </w:r>
      <w:r>
        <w:fldChar w:fldCharType="begin"/>
      </w:r>
      <w:r>
        <w:instrText xml:space="preserve"> PAGEREF _Toc370981353 \h </w:instrText>
      </w:r>
      <w:r>
        <w:fldChar w:fldCharType="separate"/>
      </w:r>
      <w:r>
        <w:t>84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Backup Passivo para Recuperação de Desastres</w:t>
      </w:r>
      <w:r>
        <w:tab/>
      </w:r>
      <w:r>
        <w:fldChar w:fldCharType="begin"/>
      </w:r>
      <w:r>
        <w:instrText xml:space="preserve"> PAGEREF _Toc370981354 \h </w:instrText>
      </w:r>
      <w:r>
        <w:fldChar w:fldCharType="separate"/>
      </w:r>
      <w:r>
        <w:t>86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Serviços de Assinatura do TechNet SA</w:t>
      </w:r>
      <w:r>
        <w:tab/>
      </w:r>
      <w:r>
        <w:fldChar w:fldCharType="begin"/>
      </w:r>
      <w:r>
        <w:instrText xml:space="preserve"> PAGEREF _Toc370981355 \h </w:instrText>
      </w:r>
      <w:r>
        <w:fldChar w:fldCharType="separate"/>
      </w:r>
      <w:r>
        <w:t>86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TechNet Plus Direct</w:t>
      </w:r>
      <w:r>
        <w:tab/>
      </w:r>
      <w:r>
        <w:fldChar w:fldCharType="begin"/>
      </w:r>
      <w:r>
        <w:instrText xml:space="preserve"> PAGEREF _Toc370981356 \h </w:instrText>
      </w:r>
      <w:r>
        <w:fldChar w:fldCharType="separate"/>
      </w:r>
      <w:r>
        <w:t>87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Mobilidade de Licença por meio do Software Assurance.</w:t>
      </w:r>
      <w:r>
        <w:tab/>
      </w:r>
      <w:r>
        <w:fldChar w:fldCharType="begin"/>
      </w:r>
      <w:r>
        <w:instrText xml:space="preserve"> PAGEREF _Toc370981357 \h </w:instrText>
      </w:r>
      <w:r>
        <w:fldChar w:fldCharType="separate"/>
      </w:r>
      <w:r>
        <w:t>88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Windows Thin PC</w:t>
      </w:r>
      <w:r>
        <w:tab/>
      </w:r>
      <w:r>
        <w:fldChar w:fldCharType="begin"/>
      </w:r>
      <w:r>
        <w:instrText xml:space="preserve"> PAGEREF _Toc370981358 \h </w:instrText>
      </w:r>
      <w:r>
        <w:fldChar w:fldCharType="separate"/>
      </w:r>
      <w:r>
        <w:t>89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Microsoft Desktop Optimization Pack para Software Assurance</w:t>
      </w:r>
      <w:r>
        <w:tab/>
      </w:r>
      <w:r>
        <w:fldChar w:fldCharType="begin"/>
      </w:r>
      <w:r>
        <w:instrText xml:space="preserve"> PAGEREF _Toc370981359 \h </w:instrText>
      </w:r>
      <w:r>
        <w:fldChar w:fldCharType="separate"/>
      </w:r>
      <w:r>
        <w:t>89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Direitos do Windows Virtual Desktop Access (VDA)</w:t>
      </w:r>
      <w:r>
        <w:tab/>
      </w:r>
      <w:r>
        <w:fldChar w:fldCharType="begin"/>
      </w:r>
      <w:r>
        <w:instrText xml:space="preserve"> PAGEREF _Toc370981360 \h </w:instrText>
      </w:r>
      <w:r>
        <w:fldChar w:fldCharType="separate"/>
      </w:r>
      <w:r>
        <w:t>90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Disponibilidade de Licenças Step-up</w:t>
      </w:r>
      <w:r>
        <w:tab/>
      </w:r>
      <w:r>
        <w:fldChar w:fldCharType="begin"/>
      </w:r>
      <w:r>
        <w:instrText xml:space="preserve"> PAGEREF _Toc370981361 \h </w:instrText>
      </w:r>
      <w:r>
        <w:fldChar w:fldCharType="separate"/>
      </w:r>
      <w:r>
        <w:t>90</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SEÇÃO 8 – ServiÇOS</w:t>
      </w:r>
      <w:r>
        <w:tab/>
      </w:r>
      <w:r>
        <w:fldChar w:fldCharType="begin"/>
      </w:r>
      <w:r>
        <w:instrText xml:space="preserve"> PAGEREF _Toc370981362 \h </w:instrText>
      </w:r>
      <w:r>
        <w:fldChar w:fldCharType="separate"/>
      </w:r>
      <w:r>
        <w:t>92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Direitos de uso, propriedade e licença</w:t>
      </w:r>
      <w:r>
        <w:tab/>
      </w:r>
      <w:r>
        <w:fldChar w:fldCharType="begin"/>
      </w:r>
      <w:r>
        <w:instrText xml:space="preserve"> PAGEREF _Toc370981363 \h </w:instrText>
      </w:r>
      <w:r>
        <w:fldChar w:fldCharType="separate"/>
      </w:r>
      <w:r>
        <w:t>99</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lastRenderedPageBreak/>
        <w:t>SEÇÃO 9 – termos adicionais</w:t>
      </w:r>
      <w:r>
        <w:tab/>
      </w:r>
      <w:r>
        <w:fldChar w:fldCharType="begin"/>
      </w:r>
      <w:r>
        <w:instrText xml:space="preserve"> PAGEREF _Toc370981364 \h </w:instrText>
      </w:r>
      <w:r>
        <w:fldChar w:fldCharType="separate"/>
      </w:r>
      <w:r>
        <w:t>104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rFonts w:eastAsia="Times New Roman"/>
        </w:rPr>
        <w:t>Licenças de Acesso para Cliente (CALs) e Licenças de Gerenciamento (MLs) de Cliente</w:t>
      </w:r>
      <w:r>
        <w:tab/>
      </w:r>
      <w:r>
        <w:fldChar w:fldCharType="begin"/>
      </w:r>
      <w:r>
        <w:instrText xml:space="preserve"> PAGEREF _Toc370981365 \h </w:instrText>
      </w:r>
      <w:r>
        <w:fldChar w:fldCharType="separate"/>
      </w:r>
      <w:r>
        <w:t>104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Restrições dos Controles de EI</w:t>
      </w:r>
      <w:r>
        <w:tab/>
      </w:r>
      <w:r>
        <w:fldChar w:fldCharType="begin"/>
      </w:r>
      <w:r>
        <w:instrText xml:space="preserve"> PAGEREF _Toc370981366 \h </w:instrText>
      </w:r>
      <w:r>
        <w:fldChar w:fldCharType="separate"/>
      </w:r>
      <w:r>
        <w:t>104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t>Pacotes Multilíngues (MLPs), funcionalidade de MUIs (Multilanguage User Interface) e direitos a novos idiomas</w:t>
      </w:r>
      <w:r>
        <w:tab/>
      </w:r>
      <w:r>
        <w:fldChar w:fldCharType="begin"/>
      </w:r>
      <w:r>
        <w:instrText xml:space="preserve"> PAGEREF _Toc370981367 \h </w:instrText>
      </w:r>
      <w:r>
        <w:fldChar w:fldCharType="separate"/>
      </w:r>
      <w:r>
        <w:t>105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Licenças independentes da plataforma</w:t>
      </w:r>
      <w:r>
        <w:tab/>
      </w:r>
      <w:r>
        <w:fldChar w:fldCharType="begin"/>
      </w:r>
      <w:r>
        <w:instrText xml:space="preserve"> PAGEREF _Toc370981368 \h </w:instrText>
      </w:r>
      <w:r>
        <w:fldChar w:fldCharType="separate"/>
      </w:r>
      <w:r>
        <w:t>105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Chaves de Produto em Licenças por Volume</w:t>
      </w:r>
      <w:r>
        <w:tab/>
      </w:r>
      <w:r>
        <w:fldChar w:fldCharType="begin"/>
      </w:r>
      <w:r>
        <w:instrText xml:space="preserve"> PAGEREF _Toc370981369 \h </w:instrText>
      </w:r>
      <w:r>
        <w:fldChar w:fldCharType="separate"/>
      </w:r>
      <w:r>
        <w:t>106</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Seção 10 – Termos Complementares para Serviços Online USADOS com Software Local</w:t>
      </w:r>
      <w:r>
        <w:tab/>
      </w:r>
      <w:r>
        <w:fldChar w:fldCharType="begin"/>
      </w:r>
      <w:r>
        <w:instrText xml:space="preserve"> PAGEREF _Toc370981370 \h </w:instrText>
      </w:r>
      <w:r>
        <w:fldChar w:fldCharType="separate"/>
      </w:r>
      <w:r>
        <w:t>107</w:t>
      </w:r>
      <w:r>
        <w:fldChar w:fldCharType="end"/>
      </w:r>
    </w:p>
    <w:p w:rsidR="007F6051" w:rsidRDefault="007F6051">
      <w:pPr>
        <w:pStyle w:val="TOC1"/>
        <w:rPr>
          <w:rFonts w:asciiTheme="minorHAnsi" w:eastAsiaTheme="minorEastAsia" w:hAnsiTheme="minorHAnsi" w:cstheme="minorBidi"/>
          <w:b w:val="0"/>
          <w:caps w:val="0"/>
          <w:color w:val="auto"/>
          <w:szCs w:val="22"/>
        </w:rPr>
      </w:pPr>
      <w:r w:rsidRPr="000A66FC">
        <w:t>NoTAS do Produto</w:t>
      </w:r>
      <w:r>
        <w:tab/>
      </w:r>
      <w:r>
        <w:fldChar w:fldCharType="begin"/>
      </w:r>
      <w:r>
        <w:instrText xml:space="preserve"> PAGEREF _Toc370981371 \h </w:instrText>
      </w:r>
      <w:r>
        <w:fldChar w:fldCharType="separate"/>
      </w:r>
      <w:r>
        <w:t>110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Pool de Aplicativos</w:t>
      </w:r>
      <w:r>
        <w:tab/>
      </w:r>
      <w:r>
        <w:fldChar w:fldCharType="begin"/>
      </w:r>
      <w:r>
        <w:instrText xml:space="preserve"> PAGEREF _Toc370981372 \h </w:instrText>
      </w:r>
      <w:r>
        <w:fldChar w:fldCharType="separate"/>
      </w:r>
      <w:r>
        <w:t>110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w:t>
      </w:r>
      <w:r w:rsidRPr="000A66FC">
        <w:rPr>
          <w:color w:val="F66400"/>
        </w:rPr>
        <w:t xml:space="preserve"> Expression Encoder Pro 4</w:t>
      </w:r>
      <w:r>
        <w:tab/>
      </w:r>
      <w:r>
        <w:fldChar w:fldCharType="begin"/>
      </w:r>
      <w:r>
        <w:instrText xml:space="preserve"> PAGEREF _Toc370981373 \h </w:instrText>
      </w:r>
      <w:r>
        <w:fldChar w:fldCharType="separate"/>
      </w:r>
      <w:r>
        <w:t>110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2</w:t>
      </w:r>
      <w:r w:rsidRPr="000A66FC">
        <w:rPr>
          <w:color w:val="F66400"/>
        </w:rPr>
        <w:t xml:space="preserve"> Lync para Mac 2011</w:t>
      </w:r>
      <w:r>
        <w:tab/>
      </w:r>
      <w:r>
        <w:fldChar w:fldCharType="begin"/>
      </w:r>
      <w:r>
        <w:instrText xml:space="preserve"> PAGEREF _Toc370981374 \h </w:instrText>
      </w:r>
      <w:r>
        <w:fldChar w:fldCharType="separate"/>
      </w:r>
      <w:r>
        <w:t>110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3</w:t>
      </w:r>
      <w:r w:rsidRPr="000A66FC">
        <w:rPr>
          <w:color w:val="F66400"/>
        </w:rPr>
        <w:t xml:space="preserve"> Sistemas Operacionais MSDN</w:t>
      </w:r>
      <w:r>
        <w:tab/>
      </w:r>
      <w:r>
        <w:fldChar w:fldCharType="begin"/>
      </w:r>
      <w:r>
        <w:instrText xml:space="preserve"> PAGEREF _Toc370981375 \h </w:instrText>
      </w:r>
      <w:r>
        <w:fldChar w:fldCharType="separate"/>
      </w:r>
      <w:r>
        <w:t>110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66400"/>
          <w:vertAlign w:val="superscript"/>
        </w:rPr>
        <w:t>4</w:t>
      </w:r>
      <w:r w:rsidRPr="000A66FC">
        <w:rPr>
          <w:rFonts w:cs="Tahoma"/>
          <w:color w:val="F66400"/>
        </w:rPr>
        <w:t xml:space="preserve"> </w:t>
      </w:r>
      <w:r w:rsidRPr="000A66FC">
        <w:rPr>
          <w:rFonts w:cs="Tahoma"/>
          <w:color w:val="FF6600"/>
        </w:rPr>
        <w:t>Plataformas MSDN</w:t>
      </w:r>
      <w:r>
        <w:tab/>
      </w:r>
      <w:r>
        <w:fldChar w:fldCharType="begin"/>
      </w:r>
      <w:r>
        <w:instrText xml:space="preserve"> PAGEREF _Toc370981376 \h </w:instrText>
      </w:r>
      <w:r>
        <w:fldChar w:fldCharType="separate"/>
      </w:r>
      <w:r>
        <w:t>111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5</w:t>
      </w:r>
      <w:r w:rsidRPr="000A66FC">
        <w:rPr>
          <w:rFonts w:cs="Tahoma"/>
          <w:color w:val="FF6600"/>
        </w:rPr>
        <w:t xml:space="preserve"> Office 365 Education A2-A4 (SL de Usuário)</w:t>
      </w:r>
      <w:r>
        <w:tab/>
      </w:r>
      <w:r>
        <w:fldChar w:fldCharType="begin"/>
      </w:r>
      <w:r>
        <w:instrText xml:space="preserve"> PAGEREF _Toc370981377 \h </w:instrText>
      </w:r>
      <w:r>
        <w:fldChar w:fldCharType="separate"/>
      </w:r>
      <w:r>
        <w:t>111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6</w:t>
      </w:r>
      <w:r w:rsidRPr="000A66FC">
        <w:rPr>
          <w:rFonts w:cs="Tahoma"/>
          <w:color w:val="FF6600"/>
        </w:rPr>
        <w:t xml:space="preserve"> Office 365 Midsize Business</w:t>
      </w:r>
      <w:r>
        <w:tab/>
      </w:r>
      <w:r>
        <w:fldChar w:fldCharType="begin"/>
      </w:r>
      <w:r>
        <w:instrText xml:space="preserve"> PAGEREF _Toc370981378 \h </w:instrText>
      </w:r>
      <w:r>
        <w:fldChar w:fldCharType="separate"/>
      </w:r>
      <w:r>
        <w:t>112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 xml:space="preserve">7 </w:t>
      </w:r>
      <w:r w:rsidRPr="000A66FC">
        <w:rPr>
          <w:rFonts w:cs="Tahoma"/>
          <w:color w:val="FF6600"/>
        </w:rPr>
        <w:t>Licenças de Assinatura de Usuário Complementares para Office 365 e Enterprise Workloads</w:t>
      </w:r>
      <w:r>
        <w:tab/>
      </w:r>
      <w:r>
        <w:fldChar w:fldCharType="begin"/>
      </w:r>
      <w:r>
        <w:instrText xml:space="preserve"> PAGEREF _Toc370981379 \h </w:instrText>
      </w:r>
      <w:r>
        <w:fldChar w:fldCharType="separate"/>
      </w:r>
      <w:r>
        <w:t>112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 xml:space="preserve">8 </w:t>
      </w:r>
      <w:r w:rsidRPr="000A66FC">
        <w:rPr>
          <w:rFonts w:cs="Tahoma"/>
          <w:color w:val="FF6600"/>
        </w:rPr>
        <w:t>Office 365 Enterprise E3-E4</w:t>
      </w:r>
      <w:r>
        <w:tab/>
      </w:r>
      <w:r>
        <w:fldChar w:fldCharType="begin"/>
      </w:r>
      <w:r>
        <w:instrText xml:space="preserve"> PAGEREF _Toc370981380 \h </w:instrText>
      </w:r>
      <w:r>
        <w:fldChar w:fldCharType="separate"/>
      </w:r>
      <w:r>
        <w:t>114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9 </w:t>
      </w:r>
      <w:r w:rsidRPr="000A66FC">
        <w:rPr>
          <w:color w:val="F66400"/>
        </w:rPr>
        <w:t>Office para Mac Standard 2011</w:t>
      </w:r>
      <w:r>
        <w:tab/>
      </w:r>
      <w:r>
        <w:fldChar w:fldCharType="begin"/>
      </w:r>
      <w:r>
        <w:instrText xml:space="preserve"> PAGEREF _Toc370981381 \h </w:instrText>
      </w:r>
      <w:r>
        <w:fldChar w:fldCharType="separate"/>
      </w:r>
      <w:r>
        <w:t>115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10</w:t>
      </w:r>
      <w:r w:rsidRPr="000A66FC">
        <w:rPr>
          <w:color w:val="F66400"/>
        </w:rPr>
        <w:t xml:space="preserve"> Pacote Multilíngue do Office 2013</w:t>
      </w:r>
      <w:r>
        <w:tab/>
      </w:r>
      <w:r>
        <w:fldChar w:fldCharType="begin"/>
      </w:r>
      <w:r>
        <w:instrText xml:space="preserve"> PAGEREF _Toc370981382 \h </w:instrText>
      </w:r>
      <w:r>
        <w:fldChar w:fldCharType="separate"/>
      </w:r>
      <w:r>
        <w:t>115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11</w:t>
      </w:r>
      <w:r w:rsidRPr="000A66FC">
        <w:rPr>
          <w:color w:val="F66400"/>
        </w:rPr>
        <w:t xml:space="preserve"> Office Professional Plus 2013</w:t>
      </w:r>
      <w:r>
        <w:tab/>
      </w:r>
      <w:r>
        <w:fldChar w:fldCharType="begin"/>
      </w:r>
      <w:r>
        <w:instrText xml:space="preserve"> PAGEREF _Toc370981383 \h </w:instrText>
      </w:r>
      <w:r>
        <w:fldChar w:fldCharType="separate"/>
      </w:r>
      <w:r>
        <w:t>116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12</w:t>
      </w:r>
      <w:r w:rsidRPr="000A66FC">
        <w:rPr>
          <w:color w:val="F66400"/>
        </w:rPr>
        <w:t xml:space="preserve"> Office Standard 2013</w:t>
      </w:r>
      <w:r>
        <w:tab/>
      </w:r>
      <w:r>
        <w:fldChar w:fldCharType="begin"/>
      </w:r>
      <w:r>
        <w:instrText xml:space="preserve"> PAGEREF _Toc370981384 \h </w:instrText>
      </w:r>
      <w:r>
        <w:fldChar w:fldCharType="separate"/>
      </w:r>
      <w:r>
        <w:t>116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26200"/>
          <w:vertAlign w:val="superscript"/>
        </w:rPr>
        <w:t>13</w:t>
      </w:r>
      <w:r w:rsidRPr="000A66FC">
        <w:rPr>
          <w:color w:val="F26200"/>
        </w:rPr>
        <w:t xml:space="preserve"> Office 365 ProPlus (SL de Usuário)</w:t>
      </w:r>
      <w:r>
        <w:tab/>
      </w:r>
      <w:r>
        <w:fldChar w:fldCharType="begin"/>
      </w:r>
      <w:r>
        <w:instrText xml:space="preserve"> PAGEREF _Toc370981385 \h </w:instrText>
      </w:r>
      <w:r>
        <w:fldChar w:fldCharType="separate"/>
      </w:r>
      <w:r>
        <w:t>116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14</w:t>
      </w:r>
      <w:r w:rsidRPr="000A66FC">
        <w:rPr>
          <w:color w:val="F66400"/>
        </w:rPr>
        <w:t xml:space="preserve"> Outlook para Mac 2011</w:t>
      </w:r>
      <w:r>
        <w:tab/>
      </w:r>
      <w:r>
        <w:fldChar w:fldCharType="begin"/>
      </w:r>
      <w:r>
        <w:instrText xml:space="preserve"> PAGEREF _Toc370981386 \h </w:instrText>
      </w:r>
      <w:r>
        <w:fldChar w:fldCharType="separate"/>
      </w:r>
      <w:r>
        <w:t>117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15</w:t>
      </w:r>
      <w:r w:rsidRPr="000A66FC">
        <w:rPr>
          <w:color w:val="F66400"/>
        </w:rPr>
        <w:t xml:space="preserve"> Project Professional 2013</w:t>
      </w:r>
      <w:r>
        <w:tab/>
      </w:r>
      <w:r>
        <w:fldChar w:fldCharType="begin"/>
      </w:r>
      <w:r>
        <w:instrText xml:space="preserve"> PAGEREF _Toc370981387 \h </w:instrText>
      </w:r>
      <w:r>
        <w:fldChar w:fldCharType="separate"/>
      </w:r>
      <w:r>
        <w:t>117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16 </w:t>
      </w:r>
      <w:r w:rsidRPr="000A66FC">
        <w:rPr>
          <w:color w:val="F66400"/>
        </w:rPr>
        <w:t>Project Pro para Office 365</w:t>
      </w:r>
      <w:r>
        <w:tab/>
      </w:r>
      <w:r>
        <w:fldChar w:fldCharType="begin"/>
      </w:r>
      <w:r>
        <w:instrText xml:space="preserve"> PAGEREF _Toc370981388 \h </w:instrText>
      </w:r>
      <w:r>
        <w:fldChar w:fldCharType="separate"/>
      </w:r>
      <w:r>
        <w:t>117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E65D08"/>
          <w:vertAlign w:val="superscript"/>
        </w:rPr>
        <w:t>17</w:t>
      </w:r>
      <w:r w:rsidRPr="000A66FC">
        <w:rPr>
          <w:color w:val="E65D08"/>
        </w:rPr>
        <w:t xml:space="preserve"> Direitos de Locação do Office</w:t>
      </w:r>
      <w:r>
        <w:tab/>
      </w:r>
      <w:r>
        <w:fldChar w:fldCharType="begin"/>
      </w:r>
      <w:r>
        <w:instrText xml:space="preserve"> PAGEREF _Toc370981389 \h </w:instrText>
      </w:r>
      <w:r>
        <w:fldChar w:fldCharType="separate"/>
      </w:r>
      <w:r>
        <w:t>118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18</w:t>
      </w:r>
      <w:r w:rsidRPr="000A66FC">
        <w:rPr>
          <w:color w:val="F66400"/>
        </w:rPr>
        <w:t xml:space="preserve"> Visio Professional 2013</w:t>
      </w:r>
      <w:r>
        <w:tab/>
      </w:r>
      <w:r>
        <w:fldChar w:fldCharType="begin"/>
      </w:r>
      <w:r>
        <w:instrText xml:space="preserve"> PAGEREF _Toc370981390 \h </w:instrText>
      </w:r>
      <w:r>
        <w:fldChar w:fldCharType="separate"/>
      </w:r>
      <w:r>
        <w:t>118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19</w:t>
      </w:r>
      <w:r w:rsidRPr="000A66FC">
        <w:rPr>
          <w:color w:val="F66400"/>
        </w:rPr>
        <w:t xml:space="preserve"> Visio Pro para Office 365</w:t>
      </w:r>
      <w:r>
        <w:tab/>
      </w:r>
      <w:r>
        <w:fldChar w:fldCharType="begin"/>
      </w:r>
      <w:r>
        <w:instrText xml:space="preserve"> PAGEREF _Toc370981391 \h </w:instrText>
      </w:r>
      <w:r>
        <w:fldChar w:fldCharType="separate"/>
      </w:r>
      <w:r>
        <w:t>119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20</w:t>
      </w:r>
      <w:r w:rsidRPr="000A66FC">
        <w:rPr>
          <w:color w:val="F66400"/>
        </w:rPr>
        <w:t xml:space="preserve"> Visual Studio Professional 2012</w:t>
      </w:r>
      <w:r>
        <w:tab/>
      </w:r>
      <w:r>
        <w:fldChar w:fldCharType="begin"/>
      </w:r>
      <w:r>
        <w:instrText xml:space="preserve"> PAGEREF _Toc370981392 \h </w:instrText>
      </w:r>
      <w:r>
        <w:fldChar w:fldCharType="separate"/>
      </w:r>
      <w:r>
        <w:t>119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21</w:t>
      </w:r>
      <w:r w:rsidRPr="000A66FC">
        <w:rPr>
          <w:color w:val="F66400"/>
        </w:rPr>
        <w:t xml:space="preserve"> Visual Studio Professional 2013 com MSDN</w:t>
      </w:r>
      <w:r>
        <w:tab/>
      </w:r>
      <w:r>
        <w:fldChar w:fldCharType="begin"/>
      </w:r>
      <w:r>
        <w:instrText xml:space="preserve"> PAGEREF _Toc370981393 \h </w:instrText>
      </w:r>
      <w:r>
        <w:fldChar w:fldCharType="separate"/>
      </w:r>
      <w:r>
        <w:t>119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22</w:t>
      </w:r>
      <w:r w:rsidRPr="000A66FC">
        <w:rPr>
          <w:color w:val="F66400"/>
        </w:rPr>
        <w:t xml:space="preserve"> Visual Studio Premium 2013 com MSDN</w:t>
      </w:r>
      <w:r>
        <w:tab/>
      </w:r>
      <w:r>
        <w:fldChar w:fldCharType="begin"/>
      </w:r>
      <w:r>
        <w:instrText xml:space="preserve"> PAGEREF _Toc370981394 \h </w:instrText>
      </w:r>
      <w:r>
        <w:fldChar w:fldCharType="separate"/>
      </w:r>
      <w:r>
        <w:t>120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23</w:t>
      </w:r>
      <w:r w:rsidRPr="000A66FC">
        <w:rPr>
          <w:color w:val="F66400"/>
        </w:rPr>
        <w:t xml:space="preserve"> Visual Studio Ultimate 2013 com MSDN</w:t>
      </w:r>
      <w:r>
        <w:tab/>
      </w:r>
      <w:r>
        <w:fldChar w:fldCharType="begin"/>
      </w:r>
      <w:r>
        <w:instrText xml:space="preserve"> PAGEREF _Toc370981395 \h </w:instrText>
      </w:r>
      <w:r>
        <w:fldChar w:fldCharType="separate"/>
      </w:r>
      <w:r>
        <w:t>121</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24</w:t>
      </w:r>
      <w:r w:rsidRPr="000A66FC">
        <w:rPr>
          <w:color w:val="F66400"/>
        </w:rPr>
        <w:t xml:space="preserve"> Visual Studio Test Professional 2013 com MSDN</w:t>
      </w:r>
      <w:r>
        <w:tab/>
      </w:r>
      <w:r>
        <w:fldChar w:fldCharType="begin"/>
      </w:r>
      <w:r>
        <w:instrText xml:space="preserve"> PAGEREF _Toc370981396 \h </w:instrText>
      </w:r>
      <w:r>
        <w:fldChar w:fldCharType="separate"/>
      </w:r>
      <w:r>
        <w:t>122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Pool de Sistemas</w:t>
      </w:r>
      <w:r>
        <w:tab/>
      </w:r>
      <w:r>
        <w:fldChar w:fldCharType="begin"/>
      </w:r>
      <w:r>
        <w:instrText xml:space="preserve"> PAGEREF _Toc370981397 \h </w:instrText>
      </w:r>
      <w:r>
        <w:fldChar w:fldCharType="separate"/>
      </w:r>
      <w:r>
        <w:t>124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25</w:t>
      </w:r>
      <w:r w:rsidRPr="000A66FC">
        <w:rPr>
          <w:color w:val="F66400"/>
        </w:rPr>
        <w:t xml:space="preserve"> Microsoft Desktop Optimization Pack para Software Assurance</w:t>
      </w:r>
      <w:r>
        <w:tab/>
      </w:r>
      <w:r>
        <w:fldChar w:fldCharType="begin"/>
      </w:r>
      <w:r>
        <w:instrText xml:space="preserve"> PAGEREF _Toc370981398 \h </w:instrText>
      </w:r>
      <w:r>
        <w:fldChar w:fldCharType="separate"/>
      </w:r>
      <w:r>
        <w:t>124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26 </w:t>
      </w:r>
      <w:r w:rsidRPr="000A66FC">
        <w:rPr>
          <w:color w:val="F66400"/>
        </w:rPr>
        <w:t>Windows Embedded 8 Standard Enterprise Kit</w:t>
      </w:r>
      <w:r>
        <w:tab/>
      </w:r>
      <w:r>
        <w:fldChar w:fldCharType="begin"/>
      </w:r>
      <w:r>
        <w:instrText xml:space="preserve"> PAGEREF _Toc370981399 \h </w:instrText>
      </w:r>
      <w:r>
        <w:fldChar w:fldCharType="separate"/>
      </w:r>
      <w:r>
        <w:t>124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27 </w:t>
      </w:r>
      <w:r w:rsidRPr="000A66FC">
        <w:rPr>
          <w:color w:val="F66400"/>
        </w:rPr>
        <w:t>Enterprise Sideloading para Windows Embedded 8.1</w:t>
      </w:r>
      <w:r>
        <w:tab/>
      </w:r>
      <w:r>
        <w:fldChar w:fldCharType="begin"/>
      </w:r>
      <w:r>
        <w:instrText xml:space="preserve"> PAGEREF _Toc370981400 \h </w:instrText>
      </w:r>
      <w:r>
        <w:fldChar w:fldCharType="separate"/>
      </w:r>
      <w:r>
        <w:t>125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28 </w:t>
      </w:r>
      <w:r w:rsidRPr="000A66FC">
        <w:rPr>
          <w:color w:val="F66400"/>
        </w:rPr>
        <w:t>Atualização para Windows</w:t>
      </w:r>
      <w:r w:rsidRPr="000A66FC">
        <w:rPr>
          <w:color w:val="F66400"/>
          <w:vertAlign w:val="superscript"/>
        </w:rPr>
        <w:t>®</w:t>
      </w:r>
      <w:r w:rsidRPr="000A66FC">
        <w:rPr>
          <w:color w:val="F66400"/>
        </w:rPr>
        <w:t xml:space="preserve"> Embedded 8.1 Industry Pro</w:t>
      </w:r>
      <w:r>
        <w:tab/>
      </w:r>
      <w:r>
        <w:fldChar w:fldCharType="begin"/>
      </w:r>
      <w:r>
        <w:instrText xml:space="preserve"> PAGEREF _Toc370981401 \h </w:instrText>
      </w:r>
      <w:r>
        <w:fldChar w:fldCharType="separate"/>
      </w:r>
      <w:r>
        <w:t>125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29 </w:t>
      </w:r>
      <w:r w:rsidRPr="000A66FC">
        <w:rPr>
          <w:color w:val="F66400"/>
        </w:rPr>
        <w:t>Licença de Assinatura do Windows</w:t>
      </w:r>
      <w:r w:rsidRPr="000A66FC">
        <w:rPr>
          <w:color w:val="F66400"/>
          <w:vertAlign w:val="superscript"/>
        </w:rPr>
        <w:t>®</w:t>
      </w:r>
      <w:r w:rsidRPr="000A66FC">
        <w:rPr>
          <w:color w:val="F66400"/>
        </w:rPr>
        <w:t xml:space="preserve"> Companion</w:t>
      </w:r>
      <w:r>
        <w:tab/>
      </w:r>
      <w:r>
        <w:fldChar w:fldCharType="begin"/>
      </w:r>
      <w:r>
        <w:instrText xml:space="preserve"> PAGEREF _Toc370981402 \h </w:instrText>
      </w:r>
      <w:r>
        <w:fldChar w:fldCharType="separate"/>
      </w:r>
      <w:r>
        <w:t>127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30</w:t>
      </w:r>
      <w:r w:rsidRPr="000A66FC">
        <w:rPr>
          <w:rFonts w:eastAsia="Times New Roman"/>
          <w:color w:val="F66400"/>
        </w:rPr>
        <w:t xml:space="preserve"> </w:t>
      </w:r>
      <w:r w:rsidRPr="000A66FC">
        <w:rPr>
          <w:color w:val="F66400"/>
        </w:rPr>
        <w:t>Parceiros na Aprendizagem do Windows</w:t>
      </w:r>
      <w:r w:rsidRPr="000A66FC">
        <w:rPr>
          <w:color w:val="F66400"/>
          <w:vertAlign w:val="superscript"/>
        </w:rPr>
        <w:t>®</w:t>
      </w:r>
      <w:r w:rsidRPr="000A66FC">
        <w:rPr>
          <w:color w:val="F66400"/>
        </w:rPr>
        <w:t xml:space="preserve"> 7</w:t>
      </w:r>
      <w:r>
        <w:tab/>
      </w:r>
      <w:r>
        <w:fldChar w:fldCharType="begin"/>
      </w:r>
      <w:r>
        <w:instrText xml:space="preserve"> PAGEREF _Toc370981403 \h </w:instrText>
      </w:r>
      <w:r>
        <w:fldChar w:fldCharType="separate"/>
      </w:r>
      <w:r>
        <w:t>127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31</w:t>
      </w:r>
      <w:r w:rsidRPr="000A66FC">
        <w:rPr>
          <w:color w:val="F66400"/>
        </w:rPr>
        <w:t xml:space="preserve"> Windows</w:t>
      </w:r>
      <w:r w:rsidRPr="000A66FC">
        <w:rPr>
          <w:color w:val="F66400"/>
          <w:vertAlign w:val="superscript"/>
        </w:rPr>
        <w:t>®</w:t>
      </w:r>
      <w:r w:rsidRPr="000A66FC">
        <w:rPr>
          <w:color w:val="F66400"/>
        </w:rPr>
        <w:t xml:space="preserve"> 8.1 Enterprise Sideloading</w:t>
      </w:r>
      <w:r>
        <w:tab/>
      </w:r>
      <w:r>
        <w:fldChar w:fldCharType="begin"/>
      </w:r>
      <w:r>
        <w:instrText xml:space="preserve"> PAGEREF _Toc370981404 \h </w:instrText>
      </w:r>
      <w:r>
        <w:fldChar w:fldCharType="separate"/>
      </w:r>
      <w:r>
        <w:t>127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32</w:t>
      </w:r>
      <w:r w:rsidRPr="000A66FC">
        <w:rPr>
          <w:color w:val="F66400"/>
        </w:rPr>
        <w:t xml:space="preserve"> </w:t>
      </w:r>
      <w:r w:rsidRPr="000A66FC">
        <w:rPr>
          <w:color w:val="FF6D09"/>
        </w:rPr>
        <w:t>Atualização do Windows</w:t>
      </w:r>
      <w:r w:rsidRPr="000A66FC">
        <w:rPr>
          <w:color w:val="FF6D09"/>
          <w:vertAlign w:val="superscript"/>
        </w:rPr>
        <w:t>®</w:t>
      </w:r>
      <w:r w:rsidRPr="000A66FC">
        <w:rPr>
          <w:color w:val="FF6D09"/>
        </w:rPr>
        <w:t xml:space="preserve"> 8.1 Pro</w:t>
      </w:r>
      <w:r>
        <w:tab/>
      </w:r>
      <w:r>
        <w:fldChar w:fldCharType="begin"/>
      </w:r>
      <w:r>
        <w:instrText xml:space="preserve"> PAGEREF _Toc370981405 \h </w:instrText>
      </w:r>
      <w:r>
        <w:fldChar w:fldCharType="separate"/>
      </w:r>
      <w:r>
        <w:t>128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EE6000"/>
          <w:vertAlign w:val="superscript"/>
        </w:rPr>
        <w:t xml:space="preserve">33 </w:t>
      </w:r>
      <w:r w:rsidRPr="000A66FC">
        <w:rPr>
          <w:rFonts w:cs="Tahoma"/>
          <w:color w:val="EE6000"/>
        </w:rPr>
        <w:t>Complemento do Windows Intune (Por Dispositivo)</w:t>
      </w:r>
      <w:r>
        <w:tab/>
      </w:r>
      <w:r>
        <w:fldChar w:fldCharType="begin"/>
      </w:r>
      <w:r>
        <w:instrText xml:space="preserve"> PAGEREF _Toc370981406 \h </w:instrText>
      </w:r>
      <w:r>
        <w:fldChar w:fldCharType="separate"/>
      </w:r>
      <w:r>
        <w:t>135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rPr>
        <w:t>Pool de Servidores</w:t>
      </w:r>
      <w:r>
        <w:tab/>
      </w:r>
      <w:r>
        <w:fldChar w:fldCharType="begin"/>
      </w:r>
      <w:r>
        <w:instrText xml:space="preserve"> PAGEREF _Toc370981407 \h </w:instrText>
      </w:r>
      <w:r>
        <w:fldChar w:fldCharType="separate"/>
      </w:r>
      <w:r>
        <w:t>136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EE6000"/>
          <w:vertAlign w:val="superscript"/>
        </w:rPr>
        <w:t>34</w:t>
      </w:r>
      <w:r w:rsidRPr="000A66FC">
        <w:rPr>
          <w:rFonts w:cs="Tahoma"/>
          <w:color w:val="EE6000"/>
        </w:rPr>
        <w:t xml:space="preserve"> Complemento de Uso do Site Público dos Bing Maps e SL Complementar de Uso do Site Interno do Bing Maps</w:t>
      </w:r>
      <w:r>
        <w:tab/>
      </w:r>
      <w:r>
        <w:fldChar w:fldCharType="begin"/>
      </w:r>
      <w:r>
        <w:instrText xml:space="preserve"> PAGEREF _Toc370981408 \h </w:instrText>
      </w:r>
      <w:r>
        <w:fldChar w:fldCharType="separate"/>
      </w:r>
      <w:r>
        <w:t>136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35 </w:t>
      </w:r>
      <w:r w:rsidRPr="000A66FC">
        <w:rPr>
          <w:color w:val="F66400"/>
        </w:rPr>
        <w:t>BizTalk Server</w:t>
      </w:r>
      <w:r w:rsidRPr="000A66FC">
        <w:rPr>
          <w:color w:val="F66400"/>
          <w:vertAlign w:val="superscript"/>
        </w:rPr>
        <w:t>®</w:t>
      </w:r>
      <w:r w:rsidRPr="000A66FC">
        <w:rPr>
          <w:color w:val="F66400"/>
        </w:rPr>
        <w:t xml:space="preserve"> 2013 Branch</w:t>
      </w:r>
      <w:r>
        <w:tab/>
      </w:r>
      <w:r>
        <w:fldChar w:fldCharType="begin"/>
      </w:r>
      <w:r>
        <w:instrText xml:space="preserve"> PAGEREF _Toc370981409 \h </w:instrText>
      </w:r>
      <w:r>
        <w:fldChar w:fldCharType="separate"/>
      </w:r>
      <w:r>
        <w:t>138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36 </w:t>
      </w:r>
      <w:r w:rsidRPr="000A66FC">
        <w:rPr>
          <w:color w:val="F66400"/>
        </w:rPr>
        <w:t>BizTalk Server</w:t>
      </w:r>
      <w:r w:rsidRPr="000A66FC">
        <w:rPr>
          <w:color w:val="F66400"/>
          <w:vertAlign w:val="superscript"/>
        </w:rPr>
        <w:t>®</w:t>
      </w:r>
      <w:r w:rsidRPr="000A66FC">
        <w:rPr>
          <w:color w:val="F66400"/>
        </w:rPr>
        <w:t xml:space="preserve"> 2013 Enterprise</w:t>
      </w:r>
      <w:r>
        <w:tab/>
      </w:r>
      <w:r>
        <w:fldChar w:fldCharType="begin"/>
      </w:r>
      <w:r>
        <w:instrText xml:space="preserve"> PAGEREF _Toc370981410 \h </w:instrText>
      </w:r>
      <w:r>
        <w:fldChar w:fldCharType="separate"/>
      </w:r>
      <w:r>
        <w:t>139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37</w:t>
      </w:r>
      <w:r w:rsidRPr="000A66FC">
        <w:rPr>
          <w:color w:val="F66400"/>
        </w:rPr>
        <w:t xml:space="preserve"> BizTalk Server</w:t>
      </w:r>
      <w:r w:rsidRPr="000A66FC">
        <w:rPr>
          <w:color w:val="F66400"/>
          <w:vertAlign w:val="superscript"/>
        </w:rPr>
        <w:t>®</w:t>
      </w:r>
      <w:r w:rsidRPr="000A66FC">
        <w:rPr>
          <w:color w:val="F66400"/>
        </w:rPr>
        <w:t xml:space="preserve"> 2013 Standard</w:t>
      </w:r>
      <w:r>
        <w:tab/>
      </w:r>
      <w:r>
        <w:fldChar w:fldCharType="begin"/>
      </w:r>
      <w:r>
        <w:instrText xml:space="preserve"> PAGEREF _Toc370981411 \h </w:instrText>
      </w:r>
      <w:r>
        <w:fldChar w:fldCharType="separate"/>
      </w:r>
      <w:r>
        <w:t>141</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38 </w:t>
      </w:r>
      <w:r w:rsidRPr="000A66FC">
        <w:rPr>
          <w:color w:val="F66400"/>
        </w:rPr>
        <w:t>Business Intelligence Appliance 2012</w:t>
      </w:r>
      <w:r>
        <w:tab/>
      </w:r>
      <w:r>
        <w:fldChar w:fldCharType="begin"/>
      </w:r>
      <w:r>
        <w:instrText xml:space="preserve"> PAGEREF _Toc370981412 \h </w:instrText>
      </w:r>
      <w:r>
        <w:fldChar w:fldCharType="separate"/>
      </w:r>
      <w:r>
        <w:t>142</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39</w:t>
      </w:r>
      <w:r w:rsidRPr="000A66FC">
        <w:rPr>
          <w:color w:val="F66400"/>
        </w:rPr>
        <w:t xml:space="preserve"> Bridge do Pacote de </w:t>
      </w:r>
      <w:r w:rsidRPr="000A66FC">
        <w:rPr>
          <w:color w:val="FF6600"/>
        </w:rPr>
        <w:t>CALs Principais para Office 365, Bridge do Pacote de CALs Principais para Office 365 e Windows Intune e Bridge do Pacote de CALs Principais para Windows Intune</w:t>
      </w:r>
      <w:r>
        <w:tab/>
      </w:r>
      <w:r>
        <w:fldChar w:fldCharType="begin"/>
      </w:r>
      <w:r>
        <w:instrText xml:space="preserve"> PAGEREF _Toc370981413 \h </w:instrText>
      </w:r>
      <w:r>
        <w:fldChar w:fldCharType="separate"/>
      </w:r>
      <w:r>
        <w:t>142</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40</w:t>
      </w:r>
      <w:r w:rsidRPr="000A66FC">
        <w:rPr>
          <w:color w:val="F66400"/>
        </w:rPr>
        <w:t xml:space="preserve"> Pacote de CALs Principais</w:t>
      </w:r>
      <w:r>
        <w:tab/>
      </w:r>
      <w:r>
        <w:fldChar w:fldCharType="begin"/>
      </w:r>
      <w:r>
        <w:instrText xml:space="preserve"> PAGEREF _Toc370981414 \h </w:instrText>
      </w:r>
      <w:r>
        <w:fldChar w:fldCharType="separate"/>
      </w:r>
      <w:r>
        <w:t>143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41</w:t>
      </w:r>
      <w:r w:rsidRPr="000A66FC">
        <w:rPr>
          <w:color w:val="F66400"/>
        </w:rPr>
        <w:t xml:space="preserve"> Core Infrastructure Server Suite Standard</w:t>
      </w:r>
      <w:r>
        <w:tab/>
      </w:r>
      <w:r>
        <w:fldChar w:fldCharType="begin"/>
      </w:r>
      <w:r>
        <w:instrText xml:space="preserve"> PAGEREF _Toc370981415 \h </w:instrText>
      </w:r>
      <w:r>
        <w:fldChar w:fldCharType="separate"/>
      </w:r>
      <w:r>
        <w:t>143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42</w:t>
      </w:r>
      <w:r w:rsidRPr="000A66FC">
        <w:rPr>
          <w:color w:val="F66400"/>
        </w:rPr>
        <w:t xml:space="preserve"> Core Infrastructure Server Suite Enterprise</w:t>
      </w:r>
      <w:r>
        <w:tab/>
      </w:r>
      <w:r>
        <w:fldChar w:fldCharType="begin"/>
      </w:r>
      <w:r>
        <w:instrText xml:space="preserve"> PAGEREF _Toc370981416 \h </w:instrText>
      </w:r>
      <w:r>
        <w:fldChar w:fldCharType="separate"/>
      </w:r>
      <w:r>
        <w:t>145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43</w:t>
      </w:r>
      <w:r w:rsidRPr="000A66FC">
        <w:rPr>
          <w:color w:val="F66400"/>
        </w:rPr>
        <w:t xml:space="preserve"> Core Infrastructure Server Suite Datacenter</w:t>
      </w:r>
      <w:r>
        <w:tab/>
      </w:r>
      <w:r>
        <w:fldChar w:fldCharType="begin"/>
      </w:r>
      <w:r>
        <w:instrText xml:space="preserve"> PAGEREF _Toc370981417 \h </w:instrText>
      </w:r>
      <w:r>
        <w:fldChar w:fldCharType="separate"/>
      </w:r>
      <w:r>
        <w:t>145</w:t>
      </w:r>
      <w:r>
        <w:fldChar w:fldCharType="end"/>
      </w:r>
    </w:p>
    <w:p w:rsidR="007F6051" w:rsidRDefault="007F6051">
      <w:pPr>
        <w:pStyle w:val="TOC2"/>
        <w:rPr>
          <w:rFonts w:asciiTheme="minorHAnsi" w:eastAsiaTheme="minorEastAsia" w:hAnsiTheme="minorHAnsi" w:cstheme="minorBidi"/>
          <w:sz w:val="22"/>
          <w:szCs w:val="22"/>
        </w:rPr>
      </w:pPr>
      <w:r w:rsidRPr="000A66FC">
        <w:rPr>
          <w:rFonts w:eastAsia="Times New Roman" w:cs="Tahoma"/>
          <w:caps/>
          <w:color w:val="FA6500"/>
          <w:vertAlign w:val="superscript"/>
        </w:rPr>
        <w:t xml:space="preserve">44 </w:t>
      </w:r>
      <w:r w:rsidRPr="000A66FC">
        <w:rPr>
          <w:rFonts w:eastAsia="Times New Roman" w:cs="Tahoma"/>
          <w:color w:val="FA6500"/>
        </w:rPr>
        <w:t>Duet Enterprise 2.0</w:t>
      </w:r>
      <w:r>
        <w:tab/>
      </w:r>
      <w:r>
        <w:fldChar w:fldCharType="begin"/>
      </w:r>
      <w:r>
        <w:instrText xml:space="preserve"> PAGEREF _Toc370981418 \h </w:instrText>
      </w:r>
      <w:r>
        <w:fldChar w:fldCharType="separate"/>
      </w:r>
      <w:r>
        <w:t>146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lastRenderedPageBreak/>
        <w:t xml:space="preserve">45 </w:t>
      </w:r>
      <w:r w:rsidRPr="000A66FC">
        <w:rPr>
          <w:color w:val="F66400"/>
        </w:rPr>
        <w:t>Bridge do Pacote de CALs Empresariais para Office 365, Bridge do Pacote de CALs Empresariais para Office 365 e Windows Intune e Bridge do Pacote de CALs Empresariais para Windows Intune</w:t>
      </w:r>
      <w:r>
        <w:tab/>
      </w:r>
      <w:r>
        <w:fldChar w:fldCharType="begin"/>
      </w:r>
      <w:r>
        <w:instrText xml:space="preserve"> PAGEREF _Toc370981419 \h </w:instrText>
      </w:r>
      <w:r>
        <w:fldChar w:fldCharType="separate"/>
      </w:r>
      <w:r>
        <w:t>146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46</w:t>
      </w:r>
      <w:r w:rsidRPr="000A66FC">
        <w:rPr>
          <w:color w:val="F66400"/>
        </w:rPr>
        <w:t xml:space="preserve"> Pacotes CAL Empresarial</w:t>
      </w:r>
      <w:r>
        <w:tab/>
      </w:r>
      <w:r>
        <w:fldChar w:fldCharType="begin"/>
      </w:r>
      <w:r>
        <w:instrText xml:space="preserve"> PAGEREF _Toc370981420 \h </w:instrText>
      </w:r>
      <w:r>
        <w:fldChar w:fldCharType="separate"/>
      </w:r>
      <w:r>
        <w:t>147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47</w:t>
      </w:r>
      <w:r w:rsidRPr="000A66FC">
        <w:rPr>
          <w:color w:val="F66400"/>
        </w:rPr>
        <w:t xml:space="preserve"> CAL Empresarial do Exchange com Serviços 2013</w:t>
      </w:r>
      <w:r>
        <w:tab/>
      </w:r>
      <w:r>
        <w:fldChar w:fldCharType="begin"/>
      </w:r>
      <w:r>
        <w:instrText xml:space="preserve"> PAGEREF _Toc370981421 \h </w:instrText>
      </w:r>
      <w:r>
        <w:fldChar w:fldCharType="separate"/>
      </w:r>
      <w:r>
        <w:t>149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26200"/>
          <w:vertAlign w:val="superscript"/>
        </w:rPr>
        <w:t>48</w:t>
      </w:r>
      <w:r w:rsidRPr="000A66FC">
        <w:rPr>
          <w:rFonts w:cs="Tahoma"/>
          <w:color w:val="F26200"/>
        </w:rPr>
        <w:t xml:space="preserve"> Arquivamento do Exchange Online para Exchange Server (SL de Usuário)</w:t>
      </w:r>
      <w:r>
        <w:tab/>
      </w:r>
      <w:r>
        <w:fldChar w:fldCharType="begin"/>
      </w:r>
      <w:r>
        <w:instrText xml:space="preserve"> PAGEREF _Toc370981422 \h </w:instrText>
      </w:r>
      <w:r>
        <w:fldChar w:fldCharType="separate"/>
      </w:r>
      <w:r>
        <w:t>149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26200"/>
          <w:vertAlign w:val="superscript"/>
        </w:rPr>
        <w:t>49</w:t>
      </w:r>
      <w:r w:rsidRPr="000A66FC">
        <w:rPr>
          <w:rFonts w:cs="Tahoma"/>
          <w:color w:val="F26200"/>
        </w:rPr>
        <w:t xml:space="preserve"> Arquivamento Online do Exchange para Exchange Server A (SL de Usuário)</w:t>
      </w:r>
      <w:r>
        <w:tab/>
      </w:r>
      <w:r>
        <w:fldChar w:fldCharType="begin"/>
      </w:r>
      <w:r>
        <w:instrText xml:space="preserve"> PAGEREF _Toc370981423 \h </w:instrText>
      </w:r>
      <w:r>
        <w:fldChar w:fldCharType="separate"/>
      </w:r>
      <w:r>
        <w:t>150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26200"/>
          <w:vertAlign w:val="superscript"/>
        </w:rPr>
        <w:t>50</w:t>
      </w:r>
      <w:r w:rsidRPr="000A66FC">
        <w:rPr>
          <w:rFonts w:cs="Tahoma"/>
          <w:color w:val="F26200"/>
        </w:rPr>
        <w:t xml:space="preserve"> Exchange Hosted Archive (SL de Usuário), Exchange Hosted Archive Extra Storage (SL Complementar)</w:t>
      </w:r>
      <w:r>
        <w:tab/>
      </w:r>
      <w:r>
        <w:fldChar w:fldCharType="begin"/>
      </w:r>
      <w:r>
        <w:instrText xml:space="preserve"> PAGEREF _Toc370981424 \h </w:instrText>
      </w:r>
      <w:r>
        <w:fldChar w:fldCharType="separate"/>
      </w:r>
      <w:r>
        <w:t>150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E25B00"/>
          <w:vertAlign w:val="superscript"/>
        </w:rPr>
        <w:t>51</w:t>
      </w:r>
      <w:r w:rsidRPr="000A66FC">
        <w:rPr>
          <w:rFonts w:cs="Tahoma"/>
        </w:rPr>
        <w:t xml:space="preserve"> </w:t>
      </w:r>
      <w:r w:rsidRPr="000A66FC">
        <w:rPr>
          <w:rFonts w:cs="Tahoma"/>
          <w:color w:val="F66400"/>
        </w:rPr>
        <w:t>Exchange Hosted Encryption (SL de Usuário)</w:t>
      </w:r>
      <w:r>
        <w:tab/>
      </w:r>
      <w:r>
        <w:fldChar w:fldCharType="begin"/>
      </w:r>
      <w:r>
        <w:instrText xml:space="preserve"> PAGEREF _Toc370981425 \h </w:instrText>
      </w:r>
      <w:r>
        <w:fldChar w:fldCharType="separate"/>
      </w:r>
      <w:r>
        <w:t>151</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52</w:t>
      </w:r>
      <w:r w:rsidRPr="000A66FC">
        <w:rPr>
          <w:color w:val="F66400"/>
        </w:rPr>
        <w:t xml:space="preserve"> Exchange Online Kiosk (SL de Usuário)</w:t>
      </w:r>
      <w:r>
        <w:tab/>
      </w:r>
      <w:r>
        <w:fldChar w:fldCharType="begin"/>
      </w:r>
      <w:r>
        <w:instrText xml:space="preserve"> PAGEREF _Toc370981426 \h </w:instrText>
      </w:r>
      <w:r>
        <w:fldChar w:fldCharType="separate"/>
      </w:r>
      <w:r>
        <w:t>151</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53 </w:t>
      </w:r>
      <w:r w:rsidRPr="000A66FC">
        <w:rPr>
          <w:color w:val="F66400"/>
        </w:rPr>
        <w:t>Exchange Online Plano 1</w:t>
      </w:r>
      <w:r>
        <w:tab/>
      </w:r>
      <w:r>
        <w:fldChar w:fldCharType="begin"/>
      </w:r>
      <w:r>
        <w:instrText xml:space="preserve"> PAGEREF _Toc370981427 \h </w:instrText>
      </w:r>
      <w:r>
        <w:fldChar w:fldCharType="separate"/>
      </w:r>
      <w:r>
        <w:t>151</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66400"/>
          <w:vertAlign w:val="superscript"/>
        </w:rPr>
        <w:t>54</w:t>
      </w:r>
      <w:r w:rsidRPr="000A66FC">
        <w:rPr>
          <w:rFonts w:cs="Tahoma"/>
          <w:color w:val="F66400"/>
        </w:rPr>
        <w:t xml:space="preserve"> Exchange Online Plano 2</w:t>
      </w:r>
      <w:r>
        <w:tab/>
      </w:r>
      <w:r>
        <w:fldChar w:fldCharType="begin"/>
      </w:r>
      <w:r>
        <w:instrText xml:space="preserve"> PAGEREF _Toc370981428 \h </w:instrText>
      </w:r>
      <w:r>
        <w:fldChar w:fldCharType="separate"/>
      </w:r>
      <w:r>
        <w:t>152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A6500"/>
          <w:vertAlign w:val="superscript"/>
        </w:rPr>
        <w:t xml:space="preserve">55 </w:t>
      </w:r>
      <w:r w:rsidRPr="000A66FC">
        <w:rPr>
          <w:rFonts w:cs="Tahoma"/>
          <w:color w:val="F66400"/>
        </w:rPr>
        <w:t>Exchange Online Protection (SL de Usuário)</w:t>
      </w:r>
      <w:r>
        <w:tab/>
      </w:r>
      <w:r>
        <w:fldChar w:fldCharType="begin"/>
      </w:r>
      <w:r>
        <w:instrText xml:space="preserve"> PAGEREF _Toc370981429 \h </w:instrText>
      </w:r>
      <w:r>
        <w:fldChar w:fldCharType="separate"/>
      </w:r>
      <w:r>
        <w:t>152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A6500"/>
          <w:vertAlign w:val="superscript"/>
        </w:rPr>
        <w:t xml:space="preserve">56 </w:t>
      </w:r>
      <w:r w:rsidRPr="000A66FC">
        <w:rPr>
          <w:rFonts w:cs="Tahoma"/>
          <w:color w:val="FA6500"/>
        </w:rPr>
        <w:t>Exchange Server 2013 Enterprise e Standard Editions</w:t>
      </w:r>
      <w:r>
        <w:tab/>
      </w:r>
      <w:r>
        <w:fldChar w:fldCharType="begin"/>
      </w:r>
      <w:r>
        <w:instrText xml:space="preserve"> PAGEREF _Toc370981430 \h </w:instrText>
      </w:r>
      <w:r>
        <w:fldChar w:fldCharType="separate"/>
      </w:r>
      <w:r>
        <w:t>152</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57</w:t>
      </w:r>
      <w:r w:rsidRPr="000A66FC">
        <w:rPr>
          <w:color w:val="F66400"/>
        </w:rPr>
        <w:t xml:space="preserve"> CAL do Exchange Server 2010 Standard</w:t>
      </w:r>
      <w:r>
        <w:tab/>
      </w:r>
      <w:r>
        <w:fldChar w:fldCharType="begin"/>
      </w:r>
      <w:r>
        <w:instrText xml:space="preserve"> PAGEREF _Toc370981431 \h </w:instrText>
      </w:r>
      <w:r>
        <w:fldChar w:fldCharType="separate"/>
      </w:r>
      <w:r>
        <w:t>153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58</w:t>
      </w:r>
      <w:r w:rsidRPr="000A66FC">
        <w:rPr>
          <w:color w:val="F66400"/>
        </w:rPr>
        <w:t xml:space="preserve"> Forefront Endpoint Protection</w:t>
      </w:r>
      <w:r>
        <w:tab/>
      </w:r>
      <w:r>
        <w:fldChar w:fldCharType="begin"/>
      </w:r>
      <w:r>
        <w:instrText xml:space="preserve"> PAGEREF _Toc370981432 \h </w:instrText>
      </w:r>
      <w:r>
        <w:fldChar w:fldCharType="separate"/>
      </w:r>
      <w:r>
        <w:t>154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59 </w:t>
      </w:r>
      <w:r w:rsidRPr="000A66FC">
        <w:rPr>
          <w:color w:val="F66400"/>
        </w:rPr>
        <w:t>Forefront Identity Manager 2010 R2</w:t>
      </w:r>
      <w:r>
        <w:tab/>
      </w:r>
      <w:r>
        <w:fldChar w:fldCharType="begin"/>
      </w:r>
      <w:r>
        <w:instrText xml:space="preserve"> PAGEREF _Toc370981433 \h </w:instrText>
      </w:r>
      <w:r>
        <w:fldChar w:fldCharType="separate"/>
      </w:r>
      <w:r>
        <w:t>154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26200"/>
          <w:vertAlign w:val="superscript"/>
        </w:rPr>
        <w:t>60</w:t>
      </w:r>
      <w:r w:rsidRPr="000A66FC">
        <w:rPr>
          <w:rFonts w:cs="Tahoma"/>
          <w:color w:val="F26200"/>
        </w:rPr>
        <w:t xml:space="preserve"> Forefront Identity Manager 2010 – Windows Live Edition</w:t>
      </w:r>
      <w:r>
        <w:tab/>
      </w:r>
      <w:r>
        <w:fldChar w:fldCharType="begin"/>
      </w:r>
      <w:r>
        <w:instrText xml:space="preserve"> PAGEREF _Toc370981434 \h </w:instrText>
      </w:r>
      <w:r>
        <w:fldChar w:fldCharType="separate"/>
      </w:r>
      <w:r>
        <w:t>154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61</w:t>
      </w:r>
      <w:r w:rsidRPr="000A66FC">
        <w:rPr>
          <w:color w:val="F66400"/>
        </w:rPr>
        <w:t xml:space="preserve"> Forefront Online Protection para Exchange (SL de Dispositivo e Usuário)</w:t>
      </w:r>
      <w:r>
        <w:tab/>
      </w:r>
      <w:r>
        <w:fldChar w:fldCharType="begin"/>
      </w:r>
      <w:r>
        <w:instrText xml:space="preserve"> PAGEREF _Toc370981435 \h </w:instrText>
      </w:r>
      <w:r>
        <w:fldChar w:fldCharType="separate"/>
      </w:r>
      <w:r>
        <w:t>154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62</w:t>
      </w:r>
      <w:r w:rsidRPr="000A66FC">
        <w:rPr>
          <w:color w:val="F66400"/>
        </w:rPr>
        <w:t xml:space="preserve"> Forefront Protection 2010 para Exchange Server (SL de Usuário e Dispositivo), Forefront Protection 2010 para SharePoint (SL de Usuário e Dispositivo) e Forefront Protection 2010 para Sites de Internet (SL Complementar)</w:t>
      </w:r>
      <w:r>
        <w:tab/>
      </w:r>
      <w:r>
        <w:fldChar w:fldCharType="begin"/>
      </w:r>
      <w:r>
        <w:instrText xml:space="preserve"> PAGEREF _Toc370981436 \h </w:instrText>
      </w:r>
      <w:r>
        <w:fldChar w:fldCharType="separate"/>
      </w:r>
      <w:r>
        <w:t>155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63</w:t>
      </w:r>
      <w:r w:rsidRPr="000A66FC">
        <w:rPr>
          <w:color w:val="F66400"/>
        </w:rPr>
        <w:t xml:space="preserve"> Forefront Protection Suite (Dispositivo e Usuário)</w:t>
      </w:r>
      <w:r>
        <w:tab/>
      </w:r>
      <w:r>
        <w:fldChar w:fldCharType="begin"/>
      </w:r>
      <w:r>
        <w:instrText xml:space="preserve"> PAGEREF _Toc370981437 \h </w:instrText>
      </w:r>
      <w:r>
        <w:fldChar w:fldCharType="separate"/>
      </w:r>
      <w:r>
        <w:t>155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64 </w:t>
      </w:r>
      <w:r w:rsidRPr="000A66FC">
        <w:rPr>
          <w:color w:val="F66400"/>
        </w:rPr>
        <w:t>Forefront Security para Office Communications Server (SL de Usuário e Dispositivo)</w:t>
      </w:r>
      <w:r>
        <w:tab/>
      </w:r>
      <w:r>
        <w:fldChar w:fldCharType="begin"/>
      </w:r>
      <w:r>
        <w:instrText xml:space="preserve"> PAGEREF _Toc370981438 \h </w:instrText>
      </w:r>
      <w:r>
        <w:fldChar w:fldCharType="separate"/>
      </w:r>
      <w:r>
        <w:t>156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65 </w:t>
      </w:r>
      <w:r w:rsidRPr="000A66FC">
        <w:rPr>
          <w:color w:val="F66400"/>
        </w:rPr>
        <w:t>Forefront Threat Management Gateway Web Protection Service</w:t>
      </w:r>
      <w:r>
        <w:tab/>
      </w:r>
      <w:r>
        <w:fldChar w:fldCharType="begin"/>
      </w:r>
      <w:r>
        <w:instrText xml:space="preserve"> PAGEREF _Toc370981439 \h </w:instrText>
      </w:r>
      <w:r>
        <w:fldChar w:fldCharType="separate"/>
      </w:r>
      <w:r>
        <w:t>156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66 </w:t>
      </w:r>
      <w:r w:rsidRPr="000A66FC">
        <w:rPr>
          <w:color w:val="F66400"/>
        </w:rPr>
        <w:t>Forefront Unified Access Gateway 2010</w:t>
      </w:r>
      <w:r>
        <w:tab/>
      </w:r>
      <w:r>
        <w:fldChar w:fldCharType="begin"/>
      </w:r>
      <w:r>
        <w:instrText xml:space="preserve"> PAGEREF _Toc370981440 \h </w:instrText>
      </w:r>
      <w:r>
        <w:fldChar w:fldCharType="separate"/>
      </w:r>
      <w:r>
        <w:t>156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67 </w:t>
      </w:r>
      <w:r w:rsidRPr="000A66FC">
        <w:rPr>
          <w:color w:val="F66400"/>
        </w:rPr>
        <w:t>HPC Pack 2008 R2 Enterprise</w:t>
      </w:r>
      <w:r>
        <w:tab/>
      </w:r>
      <w:r>
        <w:fldChar w:fldCharType="begin"/>
      </w:r>
      <w:r>
        <w:instrText xml:space="preserve"> PAGEREF _Toc370981441 \h </w:instrText>
      </w:r>
      <w:r>
        <w:fldChar w:fldCharType="separate"/>
      </w:r>
      <w:r>
        <w:t>156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68</w:t>
      </w:r>
      <w:r w:rsidRPr="000A66FC">
        <w:rPr>
          <w:rFonts w:cs="Tahoma"/>
          <w:color w:val="FF6600"/>
        </w:rPr>
        <w:t xml:space="preserve"> Lync Online Planos 1, 2 e 3</w:t>
      </w:r>
      <w:r>
        <w:tab/>
      </w:r>
      <w:r>
        <w:fldChar w:fldCharType="begin"/>
      </w:r>
      <w:r>
        <w:instrText xml:space="preserve"> PAGEREF _Toc370981442 \h </w:instrText>
      </w:r>
      <w:r>
        <w:fldChar w:fldCharType="separate"/>
      </w:r>
      <w:r>
        <w:t>157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A6500"/>
          <w:vertAlign w:val="superscript"/>
        </w:rPr>
        <w:t xml:space="preserve">69 </w:t>
      </w:r>
      <w:r w:rsidRPr="000A66FC">
        <w:rPr>
          <w:rFonts w:cs="Tahoma"/>
          <w:color w:val="FA6500"/>
        </w:rPr>
        <w:t>Lync Server 2013</w:t>
      </w:r>
      <w:r>
        <w:tab/>
      </w:r>
      <w:r>
        <w:fldChar w:fldCharType="begin"/>
      </w:r>
      <w:r>
        <w:instrText xml:space="preserve"> PAGEREF _Toc370981443 \h </w:instrText>
      </w:r>
      <w:r>
        <w:fldChar w:fldCharType="separate"/>
      </w:r>
      <w:r>
        <w:t>158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olor w:val="F66400"/>
          <w:vertAlign w:val="superscript"/>
        </w:rPr>
        <w:t>70</w:t>
      </w:r>
      <w:r w:rsidRPr="000A66FC">
        <w:rPr>
          <w:color w:val="F66400"/>
        </w:rPr>
        <w:t xml:space="preserve"> Microsoft Dynamics AX 2012 R2</w:t>
      </w:r>
      <w:r>
        <w:tab/>
      </w:r>
      <w:r>
        <w:fldChar w:fldCharType="begin"/>
      </w:r>
      <w:r>
        <w:instrText xml:space="preserve"> PAGEREF _Toc370981444 \h </w:instrText>
      </w:r>
      <w:r>
        <w:fldChar w:fldCharType="separate"/>
      </w:r>
      <w:r>
        <w:t>159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olor w:val="F66400"/>
          <w:vertAlign w:val="superscript"/>
        </w:rPr>
        <w:t>71</w:t>
      </w:r>
      <w:r w:rsidRPr="000A66FC">
        <w:rPr>
          <w:color w:val="F66400"/>
        </w:rPr>
        <w:t xml:space="preserve"> Microsoft Dynamics CRM 2013</w:t>
      </w:r>
      <w:r>
        <w:tab/>
      </w:r>
      <w:r>
        <w:fldChar w:fldCharType="begin"/>
      </w:r>
      <w:r>
        <w:instrText xml:space="preserve"> PAGEREF _Toc370981445 \h </w:instrText>
      </w:r>
      <w:r>
        <w:fldChar w:fldCharType="separate"/>
      </w:r>
      <w:r>
        <w:t>160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olor w:val="F66400"/>
          <w:vertAlign w:val="superscript"/>
        </w:rPr>
        <w:t>72</w:t>
      </w:r>
      <w:r w:rsidRPr="000A66FC">
        <w:rPr>
          <w:color w:val="F66400"/>
        </w:rPr>
        <w:t xml:space="preserve"> Microsoft Dynamics CRM 2011 External Connector</w:t>
      </w:r>
      <w:r>
        <w:tab/>
      </w:r>
      <w:r>
        <w:fldChar w:fldCharType="begin"/>
      </w:r>
      <w:r>
        <w:instrText xml:space="preserve"> PAGEREF _Toc370981446 \h </w:instrText>
      </w:r>
      <w:r>
        <w:fldChar w:fldCharType="separate"/>
      </w:r>
      <w:r>
        <w:t>163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73</w:t>
      </w:r>
      <w:r w:rsidRPr="000A66FC">
        <w:rPr>
          <w:color w:val="F66400"/>
        </w:rPr>
        <w:t xml:space="preserve"> Microsoft Dynamics CRM Online</w:t>
      </w:r>
      <w:r>
        <w:tab/>
      </w:r>
      <w:r>
        <w:fldChar w:fldCharType="begin"/>
      </w:r>
      <w:r>
        <w:instrText xml:space="preserve"> PAGEREF _Toc370981447 \h </w:instrText>
      </w:r>
      <w:r>
        <w:fldChar w:fldCharType="separate"/>
      </w:r>
      <w:r>
        <w:t>163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74</w:t>
      </w:r>
      <w:r w:rsidRPr="000A66FC">
        <w:rPr>
          <w:color w:val="F66400"/>
        </w:rPr>
        <w:t xml:space="preserve"> Cupons de Exame do Microsoft Learning MCP</w:t>
      </w:r>
      <w:r>
        <w:tab/>
      </w:r>
      <w:r>
        <w:fldChar w:fldCharType="begin"/>
      </w:r>
      <w:r>
        <w:instrText xml:space="preserve"> PAGEREF _Toc370981448 \h </w:instrText>
      </w:r>
      <w:r>
        <w:fldChar w:fldCharType="separate"/>
      </w:r>
      <w:r>
        <w:t>164</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66400"/>
          <w:vertAlign w:val="superscript"/>
        </w:rPr>
        <w:t xml:space="preserve">75 </w:t>
      </w:r>
      <w:r w:rsidRPr="000A66FC">
        <w:rPr>
          <w:rFonts w:cs="Tahoma"/>
          <w:color w:val="FF6600"/>
        </w:rPr>
        <w:t>Office 365 Enterprise K1 (SL de Usuário)</w:t>
      </w:r>
      <w:r>
        <w:tab/>
      </w:r>
      <w:r>
        <w:fldChar w:fldCharType="begin"/>
      </w:r>
      <w:r>
        <w:instrText xml:space="preserve"> PAGEREF _Toc370981449 \h </w:instrText>
      </w:r>
      <w:r>
        <w:fldChar w:fldCharType="separate"/>
      </w:r>
      <w:r>
        <w:t>165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76</w:t>
      </w:r>
      <w:r w:rsidRPr="000A66FC">
        <w:rPr>
          <w:rFonts w:cs="Tahoma"/>
          <w:color w:val="FF6600"/>
        </w:rPr>
        <w:t xml:space="preserve"> Office 365 Government G1, G3, G4</w:t>
      </w:r>
      <w:r>
        <w:tab/>
      </w:r>
      <w:r>
        <w:fldChar w:fldCharType="begin"/>
      </w:r>
      <w:r>
        <w:instrText xml:space="preserve"> PAGEREF _Toc370981450 \h </w:instrText>
      </w:r>
      <w:r>
        <w:fldChar w:fldCharType="separate"/>
      </w:r>
      <w:r>
        <w:t>165</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77</w:t>
      </w:r>
      <w:r w:rsidRPr="000A66FC">
        <w:rPr>
          <w:rFonts w:cs="Tahoma"/>
          <w:color w:val="FF6600"/>
        </w:rPr>
        <w:t xml:space="preserve"> SharePoint Online Planos 1 e 2</w:t>
      </w:r>
      <w:r>
        <w:tab/>
      </w:r>
      <w:r>
        <w:fldChar w:fldCharType="begin"/>
      </w:r>
      <w:r>
        <w:instrText xml:space="preserve"> PAGEREF _Toc370981451 \h </w:instrText>
      </w:r>
      <w:r>
        <w:fldChar w:fldCharType="separate"/>
      </w:r>
      <w:r>
        <w:t>166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A6500"/>
          <w:vertAlign w:val="superscript"/>
        </w:rPr>
        <w:t xml:space="preserve">78 </w:t>
      </w:r>
      <w:r w:rsidRPr="000A66FC">
        <w:rPr>
          <w:rFonts w:cs="Tahoma"/>
          <w:color w:val="FA6500"/>
        </w:rPr>
        <w:t>SharePoint Server 2013</w:t>
      </w:r>
      <w:r>
        <w:tab/>
      </w:r>
      <w:r>
        <w:fldChar w:fldCharType="begin"/>
      </w:r>
      <w:r>
        <w:instrText xml:space="preserve"> PAGEREF _Toc370981452 \h </w:instrText>
      </w:r>
      <w:r>
        <w:fldChar w:fldCharType="separate"/>
      </w:r>
      <w:r>
        <w:t>166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79</w:t>
      </w:r>
      <w:r w:rsidRPr="000A66FC">
        <w:rPr>
          <w:color w:val="F66400"/>
        </w:rPr>
        <w:t xml:space="preserve"> SQL Server</w:t>
      </w:r>
      <w:r w:rsidRPr="000A66FC">
        <w:rPr>
          <w:color w:val="F66400"/>
          <w:vertAlign w:val="superscript"/>
        </w:rPr>
        <w:t>®</w:t>
      </w:r>
      <w:r w:rsidRPr="000A66FC">
        <w:rPr>
          <w:color w:val="F66400"/>
        </w:rPr>
        <w:t xml:space="preserve"> 2008 R2 Datacenter</w:t>
      </w:r>
      <w:r>
        <w:tab/>
      </w:r>
      <w:r>
        <w:fldChar w:fldCharType="begin"/>
      </w:r>
      <w:r>
        <w:instrText xml:space="preserve"> PAGEREF _Toc370981453 \h </w:instrText>
      </w:r>
      <w:r>
        <w:fldChar w:fldCharType="separate"/>
      </w:r>
      <w:r>
        <w:t>168</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E6700"/>
          <w:vertAlign w:val="superscript"/>
        </w:rPr>
        <w:t xml:space="preserve">80 </w:t>
      </w:r>
      <w:r w:rsidRPr="000A66FC">
        <w:rPr>
          <w:color w:val="FE6700"/>
        </w:rPr>
        <w:t>SQL Server</w:t>
      </w:r>
      <w:r w:rsidRPr="000A66FC">
        <w:rPr>
          <w:color w:val="FE6700"/>
          <w:vertAlign w:val="superscript"/>
        </w:rPr>
        <w:t>®</w:t>
      </w:r>
      <w:r w:rsidRPr="000A66FC">
        <w:rPr>
          <w:color w:val="FE6700"/>
        </w:rPr>
        <w:t xml:space="preserve"> 2008 R2 Small Business</w:t>
      </w:r>
      <w:r>
        <w:tab/>
      </w:r>
      <w:r>
        <w:fldChar w:fldCharType="begin"/>
      </w:r>
      <w:r>
        <w:instrText xml:space="preserve"> PAGEREF _Toc370981454 \h </w:instrText>
      </w:r>
      <w:r>
        <w:fldChar w:fldCharType="separate"/>
      </w:r>
      <w:r>
        <w:t>170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81</w:t>
      </w:r>
      <w:r w:rsidRPr="000A66FC">
        <w:rPr>
          <w:color w:val="F66400"/>
        </w:rPr>
        <w:t xml:space="preserve"> SQL Server</w:t>
      </w:r>
      <w:r w:rsidRPr="000A66FC">
        <w:rPr>
          <w:color w:val="F66400"/>
          <w:vertAlign w:val="superscript"/>
        </w:rPr>
        <w:t>®</w:t>
      </w:r>
      <w:r w:rsidRPr="000A66FC">
        <w:rPr>
          <w:color w:val="F66400"/>
        </w:rPr>
        <w:t xml:space="preserve"> 2008 R2 Web Processor</w:t>
      </w:r>
      <w:r>
        <w:tab/>
      </w:r>
      <w:r>
        <w:fldChar w:fldCharType="begin"/>
      </w:r>
      <w:r>
        <w:instrText xml:space="preserve"> PAGEREF _Toc370981455 \h </w:instrText>
      </w:r>
      <w:r>
        <w:fldChar w:fldCharType="separate"/>
      </w:r>
      <w:r>
        <w:t>171</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olor w:val="F66400"/>
          <w:vertAlign w:val="superscript"/>
        </w:rPr>
        <w:t>82</w:t>
      </w:r>
      <w:r w:rsidRPr="000A66FC">
        <w:rPr>
          <w:color w:val="F66400"/>
        </w:rPr>
        <w:t xml:space="preserve"> SQL Server</w:t>
      </w:r>
      <w:r w:rsidRPr="000A66FC">
        <w:rPr>
          <w:color w:val="F66400"/>
          <w:vertAlign w:val="superscript"/>
        </w:rPr>
        <w:t>®</w:t>
      </w:r>
      <w:r w:rsidRPr="000A66FC">
        <w:rPr>
          <w:color w:val="F66400"/>
        </w:rPr>
        <w:t xml:space="preserve"> 2008 R2 Workgroup (Complementar para 5 Clientes)</w:t>
      </w:r>
      <w:r>
        <w:tab/>
      </w:r>
      <w:r>
        <w:fldChar w:fldCharType="begin"/>
      </w:r>
      <w:r>
        <w:instrText xml:space="preserve"> PAGEREF _Toc370981456 \h </w:instrText>
      </w:r>
      <w:r>
        <w:fldChar w:fldCharType="separate"/>
      </w:r>
      <w:r>
        <w:t>173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olor w:val="F66400"/>
          <w:vertAlign w:val="superscript"/>
        </w:rPr>
        <w:t>83</w:t>
      </w:r>
      <w:r w:rsidRPr="000A66FC">
        <w:rPr>
          <w:color w:val="F66400"/>
        </w:rPr>
        <w:t xml:space="preserve"> SQL Server</w:t>
      </w:r>
      <w:r w:rsidRPr="000A66FC">
        <w:rPr>
          <w:color w:val="F66400"/>
          <w:vertAlign w:val="superscript"/>
        </w:rPr>
        <w:t>®</w:t>
      </w:r>
      <w:r w:rsidRPr="000A66FC">
        <w:rPr>
          <w:color w:val="F66400"/>
        </w:rPr>
        <w:t xml:space="preserve"> 2008 R2 Workgroup Processor</w:t>
      </w:r>
      <w:r>
        <w:tab/>
      </w:r>
      <w:r>
        <w:fldChar w:fldCharType="begin"/>
      </w:r>
      <w:r>
        <w:instrText xml:space="preserve"> PAGEREF _Toc370981457 \h </w:instrText>
      </w:r>
      <w:r>
        <w:fldChar w:fldCharType="separate"/>
      </w:r>
      <w:r>
        <w:t>173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olor w:val="F66400"/>
          <w:vertAlign w:val="superscript"/>
        </w:rPr>
        <w:t>84</w:t>
      </w:r>
      <w:r w:rsidRPr="000A66FC">
        <w:rPr>
          <w:color w:val="F66400"/>
        </w:rPr>
        <w:t xml:space="preserve"> SQL Server</w:t>
      </w:r>
      <w:r w:rsidRPr="000A66FC">
        <w:rPr>
          <w:color w:val="F66400"/>
          <w:vertAlign w:val="superscript"/>
        </w:rPr>
        <w:t>®</w:t>
      </w:r>
      <w:r w:rsidRPr="000A66FC">
        <w:rPr>
          <w:color w:val="F66400"/>
        </w:rPr>
        <w:t xml:space="preserve"> 2012 Developer</w:t>
      </w:r>
      <w:r>
        <w:tab/>
      </w:r>
      <w:r>
        <w:fldChar w:fldCharType="begin"/>
      </w:r>
      <w:r>
        <w:instrText xml:space="preserve"> PAGEREF _Toc370981458 \h </w:instrText>
      </w:r>
      <w:r>
        <w:fldChar w:fldCharType="separate"/>
      </w:r>
      <w:r>
        <w:t>176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olor w:val="F66400"/>
          <w:vertAlign w:val="superscript"/>
        </w:rPr>
        <w:t>85</w:t>
      </w:r>
      <w:r w:rsidRPr="000A66FC">
        <w:rPr>
          <w:color w:val="F66400"/>
        </w:rPr>
        <w:t xml:space="preserve"> SQL Server</w:t>
      </w:r>
      <w:r w:rsidRPr="000A66FC">
        <w:rPr>
          <w:color w:val="F66400"/>
          <w:vertAlign w:val="superscript"/>
        </w:rPr>
        <w:t>®</w:t>
      </w:r>
      <w:r w:rsidRPr="000A66FC">
        <w:rPr>
          <w:color w:val="F66400"/>
        </w:rPr>
        <w:t xml:space="preserve"> 2012 Enterprise</w:t>
      </w:r>
      <w:r>
        <w:tab/>
      </w:r>
      <w:r>
        <w:fldChar w:fldCharType="begin"/>
      </w:r>
      <w:r>
        <w:instrText xml:space="preserve"> PAGEREF _Toc370981459 \h </w:instrText>
      </w:r>
      <w:r>
        <w:fldChar w:fldCharType="separate"/>
      </w:r>
      <w:r>
        <w:t>176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86 </w:t>
      </w:r>
      <w:r w:rsidRPr="000A66FC">
        <w:rPr>
          <w:color w:val="F66400"/>
        </w:rPr>
        <w:t>SQL Server</w:t>
      </w:r>
      <w:r w:rsidRPr="000A66FC">
        <w:rPr>
          <w:color w:val="F66400"/>
          <w:vertAlign w:val="superscript"/>
        </w:rPr>
        <w:t>®</w:t>
      </w:r>
      <w:r w:rsidRPr="000A66FC">
        <w:rPr>
          <w:color w:val="F66400"/>
        </w:rPr>
        <w:t xml:space="preserve"> 2012 Enterprise Core</w:t>
      </w:r>
      <w:r>
        <w:tab/>
      </w:r>
      <w:r>
        <w:fldChar w:fldCharType="begin"/>
      </w:r>
      <w:r>
        <w:instrText xml:space="preserve"> PAGEREF _Toc370981460 \h </w:instrText>
      </w:r>
      <w:r>
        <w:fldChar w:fldCharType="separate"/>
      </w:r>
      <w:r>
        <w:t>177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87</w:t>
      </w:r>
      <w:r w:rsidRPr="000A66FC">
        <w:rPr>
          <w:color w:val="F66400"/>
        </w:rPr>
        <w:t xml:space="preserve"> SQL Server</w:t>
      </w:r>
      <w:r w:rsidRPr="000A66FC">
        <w:rPr>
          <w:color w:val="F66400"/>
          <w:vertAlign w:val="superscript"/>
        </w:rPr>
        <w:t>®</w:t>
      </w:r>
      <w:r w:rsidRPr="000A66FC">
        <w:rPr>
          <w:color w:val="F66400"/>
        </w:rPr>
        <w:t xml:space="preserve"> 2012 Parallel Data Warehouse</w:t>
      </w:r>
      <w:r>
        <w:tab/>
      </w:r>
      <w:r>
        <w:fldChar w:fldCharType="begin"/>
      </w:r>
      <w:r>
        <w:instrText xml:space="preserve"> PAGEREF _Toc370981461 \h </w:instrText>
      </w:r>
      <w:r>
        <w:fldChar w:fldCharType="separate"/>
      </w:r>
      <w:r>
        <w:t>179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88</w:t>
      </w:r>
      <w:r w:rsidRPr="000A66FC">
        <w:rPr>
          <w:color w:val="F66400"/>
        </w:rPr>
        <w:t xml:space="preserve"> SQL Server</w:t>
      </w:r>
      <w:r w:rsidRPr="000A66FC">
        <w:rPr>
          <w:color w:val="F66400"/>
          <w:vertAlign w:val="superscript"/>
        </w:rPr>
        <w:t>®</w:t>
      </w:r>
      <w:r w:rsidRPr="000A66FC">
        <w:rPr>
          <w:color w:val="F66400"/>
        </w:rPr>
        <w:t xml:space="preserve"> 2012 Standard</w:t>
      </w:r>
      <w:r>
        <w:tab/>
      </w:r>
      <w:r>
        <w:fldChar w:fldCharType="begin"/>
      </w:r>
      <w:r>
        <w:instrText xml:space="preserve"> PAGEREF _Toc370981462 \h </w:instrText>
      </w:r>
      <w:r>
        <w:fldChar w:fldCharType="separate"/>
      </w:r>
      <w:r>
        <w:t>180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89</w:t>
      </w:r>
      <w:r w:rsidRPr="000A66FC">
        <w:rPr>
          <w:color w:val="F66400"/>
        </w:rPr>
        <w:t xml:space="preserve"> SQL Server</w:t>
      </w:r>
      <w:r w:rsidRPr="000A66FC">
        <w:rPr>
          <w:color w:val="F66400"/>
          <w:vertAlign w:val="superscript"/>
        </w:rPr>
        <w:t>®</w:t>
      </w:r>
      <w:r w:rsidRPr="000A66FC">
        <w:rPr>
          <w:color w:val="F66400"/>
        </w:rPr>
        <w:t xml:space="preserve"> 2012 Standard</w:t>
      </w:r>
      <w:r w:rsidRPr="000A66FC">
        <w:rPr>
          <w:rFonts w:eastAsia="Calibri"/>
          <w:color w:val="F66400"/>
        </w:rPr>
        <w:t xml:space="preserve"> Core</w:t>
      </w:r>
      <w:r>
        <w:tab/>
      </w:r>
      <w:r>
        <w:fldChar w:fldCharType="begin"/>
      </w:r>
      <w:r>
        <w:instrText xml:space="preserve"> PAGEREF _Toc370981463 \h </w:instrText>
      </w:r>
      <w:r>
        <w:fldChar w:fldCharType="separate"/>
      </w:r>
      <w:r>
        <w:t>180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90</w:t>
      </w:r>
      <w:r w:rsidRPr="000A66FC">
        <w:rPr>
          <w:color w:val="F66400"/>
        </w:rPr>
        <w:t xml:space="preserve"> System Center Essentials 2010</w:t>
      </w:r>
      <w:r>
        <w:tab/>
      </w:r>
      <w:r>
        <w:fldChar w:fldCharType="begin"/>
      </w:r>
      <w:r>
        <w:instrText xml:space="preserve"> PAGEREF _Toc370981464 \h </w:instrText>
      </w:r>
      <w:r>
        <w:fldChar w:fldCharType="separate"/>
      </w:r>
      <w:r>
        <w:t>183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91</w:t>
      </w:r>
      <w:r w:rsidRPr="000A66FC">
        <w:rPr>
          <w:color w:val="F66400"/>
        </w:rPr>
        <w:t xml:space="preserve"> System Center Reporting Manager 2006</w:t>
      </w:r>
      <w:r>
        <w:tab/>
      </w:r>
      <w:r>
        <w:fldChar w:fldCharType="begin"/>
      </w:r>
      <w:r>
        <w:instrText xml:space="preserve"> PAGEREF _Toc370981465 \h </w:instrText>
      </w:r>
      <w:r>
        <w:fldChar w:fldCharType="separate"/>
      </w:r>
      <w:r>
        <w:t>184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92 </w:t>
      </w:r>
      <w:r w:rsidRPr="000A66FC">
        <w:rPr>
          <w:color w:val="F66400"/>
        </w:rPr>
        <w:t>System Center Server Management Suite Enterprise</w:t>
      </w:r>
      <w:r>
        <w:tab/>
      </w:r>
      <w:r>
        <w:fldChar w:fldCharType="begin"/>
      </w:r>
      <w:r>
        <w:instrText xml:space="preserve"> PAGEREF _Toc370981466 \h </w:instrText>
      </w:r>
      <w:r>
        <w:fldChar w:fldCharType="separate"/>
      </w:r>
      <w:r>
        <w:t>184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F7415"/>
          <w:vertAlign w:val="superscript"/>
        </w:rPr>
        <w:t xml:space="preserve">93 </w:t>
      </w:r>
      <w:r w:rsidRPr="000A66FC">
        <w:rPr>
          <w:color w:val="FF7415"/>
        </w:rPr>
        <w:t>System Center Server Management Suite Datacenter</w:t>
      </w:r>
      <w:r>
        <w:tab/>
      </w:r>
      <w:r>
        <w:fldChar w:fldCharType="begin"/>
      </w:r>
      <w:r>
        <w:instrText xml:space="preserve"> PAGEREF _Toc370981467 \h </w:instrText>
      </w:r>
      <w:r>
        <w:fldChar w:fldCharType="separate"/>
      </w:r>
      <w:r>
        <w:t>186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F6F0D"/>
          <w:vertAlign w:val="superscript"/>
        </w:rPr>
        <w:t>94</w:t>
      </w:r>
      <w:r w:rsidRPr="000A66FC">
        <w:rPr>
          <w:color w:val="FF6F0D"/>
        </w:rPr>
        <w:t xml:space="preserve"> System Center 2012 R2 Datacenter</w:t>
      </w:r>
      <w:r>
        <w:tab/>
      </w:r>
      <w:r>
        <w:fldChar w:fldCharType="begin"/>
      </w:r>
      <w:r>
        <w:instrText xml:space="preserve"> PAGEREF _Toc370981468 \h </w:instrText>
      </w:r>
      <w:r>
        <w:fldChar w:fldCharType="separate"/>
      </w:r>
      <w:r>
        <w:t>186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F6F0D"/>
          <w:vertAlign w:val="superscript"/>
        </w:rPr>
        <w:t>95</w:t>
      </w:r>
      <w:r w:rsidRPr="000A66FC">
        <w:rPr>
          <w:color w:val="FF6F0D"/>
        </w:rPr>
        <w:t xml:space="preserve"> System Center 2012 R2 Standard</w:t>
      </w:r>
      <w:r>
        <w:tab/>
      </w:r>
      <w:r>
        <w:fldChar w:fldCharType="begin"/>
      </w:r>
      <w:r>
        <w:instrText xml:space="preserve"> PAGEREF _Toc370981469 \h </w:instrText>
      </w:r>
      <w:r>
        <w:fldChar w:fldCharType="separate"/>
      </w:r>
      <w:r>
        <w:t>187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F6F0D"/>
          <w:vertAlign w:val="superscript"/>
        </w:rPr>
        <w:t>96</w:t>
      </w:r>
      <w:r w:rsidRPr="000A66FC">
        <w:rPr>
          <w:color w:val="FF6F0D"/>
        </w:rPr>
        <w:t xml:space="preserve"> System Center 2012 R2 Client Management Suite</w:t>
      </w:r>
      <w:r>
        <w:tab/>
      </w:r>
      <w:r>
        <w:fldChar w:fldCharType="begin"/>
      </w:r>
      <w:r>
        <w:instrText xml:space="preserve"> PAGEREF _Toc370981470 \h </w:instrText>
      </w:r>
      <w:r>
        <w:fldChar w:fldCharType="separate"/>
      </w:r>
      <w:r>
        <w:t>187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F6F0D"/>
          <w:vertAlign w:val="superscript"/>
        </w:rPr>
        <w:t>97</w:t>
      </w:r>
      <w:r w:rsidRPr="000A66FC">
        <w:rPr>
          <w:color w:val="FF6F0D"/>
        </w:rPr>
        <w:t xml:space="preserve"> System Center 2012 R2 Configuration Manager</w:t>
      </w:r>
      <w:r>
        <w:tab/>
      </w:r>
      <w:r>
        <w:fldChar w:fldCharType="begin"/>
      </w:r>
      <w:r>
        <w:instrText xml:space="preserve"> PAGEREF _Toc370981471 \h </w:instrText>
      </w:r>
      <w:r>
        <w:fldChar w:fldCharType="separate"/>
      </w:r>
      <w:r>
        <w:t>187</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98</w:t>
      </w:r>
      <w:r w:rsidRPr="000A66FC">
        <w:rPr>
          <w:color w:val="F66400"/>
        </w:rPr>
        <w:t xml:space="preserve"> System Center 2012 R2 Endpoint Protection</w:t>
      </w:r>
      <w:r>
        <w:tab/>
      </w:r>
      <w:r>
        <w:fldChar w:fldCharType="begin"/>
      </w:r>
      <w:r>
        <w:instrText xml:space="preserve"> PAGEREF _Toc370981472 \h </w:instrText>
      </w:r>
      <w:r>
        <w:fldChar w:fldCharType="separate"/>
      </w:r>
      <w:r>
        <w:t>187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EE6000"/>
          <w:vertAlign w:val="superscript"/>
        </w:rPr>
        <w:t xml:space="preserve">99 </w:t>
      </w:r>
      <w:r w:rsidRPr="000A66FC">
        <w:rPr>
          <w:rFonts w:cs="Tahoma"/>
          <w:color w:val="F8701C"/>
        </w:rPr>
        <w:t>Serviços do Windows Azure</w:t>
      </w:r>
      <w:r>
        <w:tab/>
      </w:r>
      <w:r>
        <w:fldChar w:fldCharType="begin"/>
      </w:r>
      <w:r>
        <w:instrText xml:space="preserve"> PAGEREF _Toc370981473 \h </w:instrText>
      </w:r>
      <w:r>
        <w:fldChar w:fldCharType="separate"/>
      </w:r>
      <w:r>
        <w:t>188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100</w:t>
      </w:r>
      <w:r w:rsidRPr="000A66FC">
        <w:rPr>
          <w:rFonts w:cs="Tahoma"/>
          <w:color w:val="FF6600"/>
        </w:rPr>
        <w:t xml:space="preserve"> Windows Embedded Device Manager 2011 – Licença do Servidor de Gerenciamento</w:t>
      </w:r>
      <w:r>
        <w:tab/>
      </w:r>
      <w:r>
        <w:fldChar w:fldCharType="begin"/>
      </w:r>
      <w:r>
        <w:instrText xml:space="preserve"> PAGEREF _Toc370981474 \h </w:instrText>
      </w:r>
      <w:r>
        <w:fldChar w:fldCharType="separate"/>
      </w:r>
      <w:r>
        <w:t>188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F6600"/>
          <w:vertAlign w:val="superscript"/>
        </w:rPr>
        <w:t>101</w:t>
      </w:r>
      <w:r w:rsidRPr="000A66FC">
        <w:rPr>
          <w:rFonts w:cs="Tahoma"/>
          <w:color w:val="FF6600"/>
        </w:rPr>
        <w:t xml:space="preserve"> Windows Embedded Device Manager 2011 – Licença de Gerenciamento de Clientes</w:t>
      </w:r>
      <w:r>
        <w:tab/>
      </w:r>
      <w:r>
        <w:fldChar w:fldCharType="begin"/>
      </w:r>
      <w:r>
        <w:instrText xml:space="preserve"> PAGEREF _Toc370981475 \h </w:instrText>
      </w:r>
      <w:r>
        <w:fldChar w:fldCharType="separate"/>
      </w:r>
      <w:r>
        <w:t>189</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F6600"/>
          <w:vertAlign w:val="superscript"/>
        </w:rPr>
        <w:lastRenderedPageBreak/>
        <w:t>102</w:t>
      </w:r>
      <w:r w:rsidRPr="000A66FC">
        <w:rPr>
          <w:caps/>
          <w:color w:val="F66400"/>
          <w:vertAlign w:val="superscript"/>
        </w:rPr>
        <w:t xml:space="preserve"> </w:t>
      </w:r>
      <w:r w:rsidRPr="000A66FC">
        <w:rPr>
          <w:color w:val="F66400"/>
        </w:rPr>
        <w:t>Windows EBS 2008 Standard e EBS 2008 Premium</w:t>
      </w:r>
      <w:r>
        <w:tab/>
      </w:r>
      <w:r>
        <w:fldChar w:fldCharType="begin"/>
      </w:r>
      <w:r>
        <w:instrText xml:space="preserve"> PAGEREF _Toc370981476 \h </w:instrText>
      </w:r>
      <w:r>
        <w:fldChar w:fldCharType="separate"/>
      </w:r>
      <w:r>
        <w:t>190</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103 </w:t>
      </w:r>
      <w:r w:rsidRPr="000A66FC">
        <w:rPr>
          <w:color w:val="F66400"/>
        </w:rPr>
        <w:t>Windows HPC Server 2008 R2 Suite</w:t>
      </w:r>
      <w:r>
        <w:tab/>
      </w:r>
      <w:r>
        <w:fldChar w:fldCharType="begin"/>
      </w:r>
      <w:r>
        <w:instrText xml:space="preserve"> PAGEREF _Toc370981477 \h </w:instrText>
      </w:r>
      <w:r>
        <w:fldChar w:fldCharType="separate"/>
      </w:r>
      <w:r>
        <w:t>192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A6500"/>
          <w:vertAlign w:val="superscript"/>
        </w:rPr>
        <w:t xml:space="preserve">104 </w:t>
      </w:r>
      <w:r w:rsidRPr="000A66FC">
        <w:rPr>
          <w:rFonts w:cs="Tahoma"/>
          <w:color w:val="FA6500"/>
        </w:rPr>
        <w:t>Windows Multipoint Server 2012 Standard</w:t>
      </w:r>
      <w:r>
        <w:tab/>
      </w:r>
      <w:r>
        <w:fldChar w:fldCharType="begin"/>
      </w:r>
      <w:r>
        <w:instrText xml:space="preserve"> PAGEREF _Toc370981478 \h </w:instrText>
      </w:r>
      <w:r>
        <w:fldChar w:fldCharType="separate"/>
      </w:r>
      <w:r>
        <w:t>192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A6500"/>
          <w:vertAlign w:val="superscript"/>
        </w:rPr>
        <w:t xml:space="preserve">105 </w:t>
      </w:r>
      <w:r w:rsidRPr="000A66FC">
        <w:rPr>
          <w:rFonts w:cs="Tahoma"/>
          <w:color w:val="FA6500"/>
        </w:rPr>
        <w:t>Windows Multipoint Server 2012 Premium</w:t>
      </w:r>
      <w:r>
        <w:tab/>
      </w:r>
      <w:r>
        <w:fldChar w:fldCharType="begin"/>
      </w:r>
      <w:r>
        <w:instrText xml:space="preserve"> PAGEREF _Toc370981479 \h </w:instrText>
      </w:r>
      <w:r>
        <w:fldChar w:fldCharType="separate"/>
      </w:r>
      <w:r>
        <w:t>192</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A6500"/>
          <w:vertAlign w:val="superscript"/>
        </w:rPr>
        <w:t>106</w:t>
      </w:r>
      <w:r w:rsidRPr="000A66FC">
        <w:rPr>
          <w:rFonts w:cs="Tahoma"/>
          <w:color w:val="FA6500"/>
        </w:rPr>
        <w:t xml:space="preserve"> CAL do Windows Multipoint Server 2012</w:t>
      </w:r>
      <w:r>
        <w:tab/>
      </w:r>
      <w:r>
        <w:fldChar w:fldCharType="begin"/>
      </w:r>
      <w:r>
        <w:instrText xml:space="preserve"> PAGEREF _Toc370981480 \h </w:instrText>
      </w:r>
      <w:r>
        <w:fldChar w:fldCharType="separate"/>
      </w:r>
      <w:r>
        <w:t>193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107</w:t>
      </w:r>
      <w:r w:rsidRPr="000A66FC">
        <w:rPr>
          <w:color w:val="F66400"/>
        </w:rPr>
        <w:t xml:space="preserve"> Windows Server 2008 R2 HPC Edition</w:t>
      </w:r>
      <w:r>
        <w:tab/>
      </w:r>
      <w:r>
        <w:fldChar w:fldCharType="begin"/>
      </w:r>
      <w:r>
        <w:instrText xml:space="preserve"> PAGEREF _Toc370981481 \h </w:instrText>
      </w:r>
      <w:r>
        <w:fldChar w:fldCharType="separate"/>
      </w:r>
      <w:r>
        <w:t>193</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108</w:t>
      </w:r>
      <w:r w:rsidRPr="000A66FC">
        <w:rPr>
          <w:color w:val="F66400"/>
        </w:rPr>
        <w:t xml:space="preserve"> Windows Server 2008 R2 Enterprise</w:t>
      </w:r>
      <w:r>
        <w:tab/>
      </w:r>
      <w:r>
        <w:fldChar w:fldCharType="begin"/>
      </w:r>
      <w:r>
        <w:instrText xml:space="preserve"> PAGEREF _Toc370981482 \h </w:instrText>
      </w:r>
      <w:r>
        <w:fldChar w:fldCharType="separate"/>
      </w:r>
      <w:r>
        <w:t>194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109</w:t>
      </w:r>
      <w:r w:rsidRPr="000A66FC">
        <w:rPr>
          <w:caps/>
          <w:vertAlign w:val="superscript"/>
        </w:rPr>
        <w:t xml:space="preserve"> </w:t>
      </w:r>
      <w:r w:rsidRPr="000A66FC">
        <w:rPr>
          <w:color w:val="F66400"/>
        </w:rPr>
        <w:t>Windows Server 2008 R2 para Sistemas Baseados em Itanium</w:t>
      </w:r>
      <w:r>
        <w:tab/>
      </w:r>
      <w:r>
        <w:fldChar w:fldCharType="begin"/>
      </w:r>
      <w:r>
        <w:instrText xml:space="preserve"> PAGEREF _Toc370981483 \h </w:instrText>
      </w:r>
      <w:r>
        <w:fldChar w:fldCharType="separate"/>
      </w:r>
      <w:r>
        <w:t>194</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110 </w:t>
      </w:r>
      <w:r w:rsidRPr="000A66FC">
        <w:rPr>
          <w:color w:val="F66400"/>
        </w:rPr>
        <w:t>Windows Server 2012 CAL</w:t>
      </w:r>
      <w:r>
        <w:tab/>
      </w:r>
      <w:r>
        <w:fldChar w:fldCharType="begin"/>
      </w:r>
      <w:r>
        <w:instrText xml:space="preserve"> PAGEREF _Toc370981484 \h </w:instrText>
      </w:r>
      <w:r>
        <w:fldChar w:fldCharType="separate"/>
      </w:r>
      <w:r>
        <w:t>195</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111 </w:t>
      </w:r>
      <w:r w:rsidRPr="000A66FC">
        <w:rPr>
          <w:color w:val="F66400"/>
        </w:rPr>
        <w:t>Windows Server 2012 R2 Datacenter</w:t>
      </w:r>
      <w:r>
        <w:tab/>
      </w:r>
      <w:r>
        <w:fldChar w:fldCharType="begin"/>
      </w:r>
      <w:r>
        <w:instrText xml:space="preserve"> PAGEREF _Toc370981485 \h </w:instrText>
      </w:r>
      <w:r>
        <w:fldChar w:fldCharType="separate"/>
      </w:r>
      <w:r>
        <w:t>196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66400"/>
          <w:vertAlign w:val="superscript"/>
        </w:rPr>
        <w:t xml:space="preserve">112 </w:t>
      </w:r>
      <w:r w:rsidRPr="000A66FC">
        <w:rPr>
          <w:color w:val="F66400"/>
        </w:rPr>
        <w:t>Windows Server 2012 R2 Standard</w:t>
      </w:r>
      <w:r>
        <w:tab/>
      </w:r>
      <w:r>
        <w:fldChar w:fldCharType="begin"/>
      </w:r>
      <w:r>
        <w:instrText xml:space="preserve"> PAGEREF _Toc370981486 \h </w:instrText>
      </w:r>
      <w:r>
        <w:fldChar w:fldCharType="separate"/>
      </w:r>
      <w:r>
        <w:t>196</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F8701C"/>
          <w:vertAlign w:val="superscript"/>
        </w:rPr>
        <w:t>113</w:t>
      </w:r>
      <w:r w:rsidRPr="000A66FC">
        <w:rPr>
          <w:rFonts w:cs="Tahoma"/>
          <w:color w:val="F8701C"/>
        </w:rPr>
        <w:t xml:space="preserve"> Windows Small Business Server (SBS) 2008 Premium</w:t>
      </w:r>
      <w:r>
        <w:tab/>
      </w:r>
      <w:r>
        <w:fldChar w:fldCharType="begin"/>
      </w:r>
      <w:r>
        <w:instrText xml:space="preserve"> PAGEREF _Toc370981487 \h </w:instrText>
      </w:r>
      <w:r>
        <w:fldChar w:fldCharType="separate"/>
      </w:r>
      <w:r>
        <w:t>196</w:t>
      </w:r>
      <w:r>
        <w:fldChar w:fldCharType="end"/>
      </w:r>
    </w:p>
    <w:p w:rsidR="007F6051" w:rsidRDefault="007F6051">
      <w:pPr>
        <w:pStyle w:val="TOC3"/>
        <w:rPr>
          <w:rFonts w:asciiTheme="minorHAnsi" w:eastAsiaTheme="minorEastAsia" w:hAnsiTheme="minorHAnsi" w:cstheme="minorBidi"/>
          <w:bCs w:val="0"/>
          <w:color w:val="auto"/>
          <w:sz w:val="22"/>
          <w:szCs w:val="22"/>
        </w:rPr>
      </w:pPr>
      <w:r w:rsidRPr="000A66FC">
        <w:rPr>
          <w:caps/>
          <w:color w:val="FF6D09"/>
          <w:vertAlign w:val="superscript"/>
        </w:rPr>
        <w:t>114</w:t>
      </w:r>
      <w:r w:rsidRPr="000A66FC">
        <w:rPr>
          <w:color w:val="FF6D09"/>
        </w:rPr>
        <w:t xml:space="preserve"> Windows Small Business Server (2011) Standard</w:t>
      </w:r>
      <w:r>
        <w:tab/>
      </w:r>
      <w:r>
        <w:fldChar w:fldCharType="begin"/>
      </w:r>
      <w:r>
        <w:instrText xml:space="preserve"> PAGEREF _Toc370981488 \h </w:instrText>
      </w:r>
      <w:r>
        <w:fldChar w:fldCharType="separate"/>
      </w:r>
      <w:r>
        <w:t>197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EE6000"/>
          <w:vertAlign w:val="superscript"/>
        </w:rPr>
        <w:t xml:space="preserve">115 </w:t>
      </w:r>
      <w:r w:rsidRPr="000A66FC">
        <w:rPr>
          <w:rFonts w:cs="Tahoma"/>
          <w:color w:val="F8701C"/>
        </w:rPr>
        <w:t>Windows Small Business Server (SBS) 2011 CAL Suite</w:t>
      </w:r>
      <w:r>
        <w:tab/>
      </w:r>
      <w:r>
        <w:fldChar w:fldCharType="begin"/>
      </w:r>
      <w:r>
        <w:instrText xml:space="preserve"> PAGEREF _Toc370981489 \h </w:instrText>
      </w:r>
      <w:r>
        <w:fldChar w:fldCharType="separate"/>
      </w:r>
      <w:r>
        <w:t>197</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EE6000"/>
          <w:vertAlign w:val="superscript"/>
        </w:rPr>
        <w:t xml:space="preserve">116 </w:t>
      </w:r>
      <w:r w:rsidRPr="000A66FC">
        <w:rPr>
          <w:rFonts w:cs="Tahoma"/>
          <w:color w:val="EE6000"/>
        </w:rPr>
        <w:t>Complemento do Windows Small Business Server (SBS) 2011 Premium</w:t>
      </w:r>
      <w:r>
        <w:tab/>
      </w:r>
      <w:r>
        <w:fldChar w:fldCharType="begin"/>
      </w:r>
      <w:r>
        <w:instrText xml:space="preserve"> PAGEREF _Toc370981490 \h </w:instrText>
      </w:r>
      <w:r>
        <w:fldChar w:fldCharType="separate"/>
      </w:r>
      <w:r>
        <w:t>198</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aps/>
          <w:color w:val="EE6000"/>
          <w:vertAlign w:val="superscript"/>
        </w:rPr>
        <w:t>117</w:t>
      </w:r>
      <w:r w:rsidRPr="000A66FC">
        <w:rPr>
          <w:rFonts w:cs="Tahoma"/>
          <w:color w:val="EE6000"/>
        </w:rPr>
        <w:t xml:space="preserve"> </w:t>
      </w:r>
      <w:r w:rsidRPr="000A66FC">
        <w:rPr>
          <w:rFonts w:cs="Tahoma"/>
          <w:color w:val="F8701C"/>
        </w:rPr>
        <w:t>Pacote de CALs de Complemento do Windows Small Business Server (SBS) 2011 Premium</w:t>
      </w:r>
      <w:r>
        <w:tab/>
      </w:r>
      <w:r>
        <w:fldChar w:fldCharType="begin"/>
      </w:r>
      <w:r>
        <w:instrText xml:space="preserve"> PAGEREF _Toc370981491 \h </w:instrText>
      </w:r>
      <w:r>
        <w:fldChar w:fldCharType="separate"/>
      </w:r>
      <w:r>
        <w:t>199</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8701C"/>
          <w:vertAlign w:val="superscript"/>
        </w:rPr>
        <w:t xml:space="preserve">118 </w:t>
      </w:r>
      <w:r w:rsidRPr="000A66FC">
        <w:rPr>
          <w:rFonts w:cs="Tahoma"/>
          <w:color w:val="F8701C"/>
        </w:rPr>
        <w:t>Windows Small Business Server 2011 Essentials</w:t>
      </w:r>
      <w:r>
        <w:tab/>
      </w:r>
      <w:r>
        <w:fldChar w:fldCharType="begin"/>
      </w:r>
      <w:r>
        <w:instrText xml:space="preserve"> PAGEREF _Toc370981492 \h </w:instrText>
      </w:r>
      <w:r>
        <w:fldChar w:fldCharType="separate"/>
      </w:r>
      <w:r>
        <w:t>200</w:t>
      </w:r>
      <w:r>
        <w:fldChar w:fldCharType="end"/>
      </w:r>
    </w:p>
    <w:p w:rsidR="007F6051" w:rsidRDefault="007F6051">
      <w:pPr>
        <w:pStyle w:val="TOC2"/>
        <w:rPr>
          <w:rFonts w:asciiTheme="minorHAnsi" w:eastAsiaTheme="minorEastAsia" w:hAnsiTheme="minorHAnsi" w:cstheme="minorBidi"/>
          <w:sz w:val="22"/>
          <w:szCs w:val="22"/>
        </w:rPr>
      </w:pPr>
      <w:r w:rsidRPr="000A66FC">
        <w:rPr>
          <w:rFonts w:cs="Tahoma"/>
          <w:color w:val="F8701C"/>
          <w:vertAlign w:val="superscript"/>
        </w:rPr>
        <w:t xml:space="preserve">119 </w:t>
      </w:r>
      <w:r w:rsidRPr="000A66FC">
        <w:rPr>
          <w:rFonts w:cs="Tahoma"/>
          <w:color w:val="F8701C"/>
        </w:rPr>
        <w:t>Windows Web Server® 2008 R2</w:t>
      </w:r>
      <w:r>
        <w:tab/>
      </w:r>
      <w:r>
        <w:fldChar w:fldCharType="begin"/>
      </w:r>
      <w:r>
        <w:instrText xml:space="preserve"> PAGEREF _Toc370981493 \h </w:instrText>
      </w:r>
      <w:r>
        <w:fldChar w:fldCharType="separate"/>
      </w:r>
      <w:r>
        <w:t>201</w:t>
      </w:r>
      <w:r>
        <w:fldChar w:fldCharType="end"/>
      </w:r>
    </w:p>
    <w:p w:rsidR="007E0CC6" w:rsidRPr="004B208C" w:rsidRDefault="00FD4148" w:rsidP="00461CA9">
      <w:pPr>
        <w:pStyle w:val="TOC4"/>
        <w:tabs>
          <w:tab w:val="clear" w:pos="9360"/>
          <w:tab w:val="center" w:pos="4680"/>
        </w:tabs>
        <w:rPr>
          <w:rFonts w:cs="Tahoma"/>
        </w:rPr>
      </w:pPr>
      <w:r w:rsidRPr="004B208C">
        <w:rPr>
          <w:rFonts w:cs="Tahoma"/>
        </w:rPr>
        <w:fldChar w:fldCharType="end"/>
      </w:r>
    </w:p>
    <w:p w:rsidR="00023FE7" w:rsidRPr="00E6314E" w:rsidRDefault="00ED3854" w:rsidP="007E0CC6">
      <w:pPr>
        <w:pStyle w:val="Heading2"/>
        <w:rPr>
          <w:rFonts w:ascii="Tahoma" w:hAnsi="Tahoma" w:cs="Tahoma"/>
          <w:sz w:val="36"/>
          <w:szCs w:val="36"/>
        </w:rPr>
      </w:pPr>
      <w:bookmarkStart w:id="7" w:name="_Toc246850065"/>
      <w:r w:rsidRPr="004B208C">
        <w:rPr>
          <w:rFonts w:ascii="Tahoma" w:hAnsi="Tahoma" w:cs="Tahoma"/>
          <w:sz w:val="36"/>
        </w:rPr>
        <w:br w:type="page"/>
      </w:r>
      <w:bookmarkStart w:id="8" w:name="_Toc336337840"/>
      <w:bookmarkStart w:id="9" w:name="_Toc370980972"/>
      <w:r w:rsidRPr="00E6314E">
        <w:rPr>
          <w:rFonts w:ascii="Tahoma" w:hAnsi="Tahoma" w:cs="Tahoma"/>
          <w:sz w:val="36"/>
          <w:szCs w:val="36"/>
        </w:rPr>
        <w:lastRenderedPageBreak/>
        <w:t>Legenda da Tabela</w:t>
      </w:r>
      <w:bookmarkEnd w:id="7"/>
      <w:bookmarkEnd w:id="8"/>
      <w:bookmarkEnd w:id="9"/>
    </w:p>
    <w:p w:rsidR="00023FE7" w:rsidRPr="00E6314E" w:rsidRDefault="00023FE7">
      <w:pPr>
        <w:pStyle w:val="ChartKeyHeadings"/>
        <w:ind w:right="-180"/>
        <w:rPr>
          <w:rFonts w:ascii="Tahoma" w:hAnsi="Tahoma" w:cs="Tahoma"/>
          <w:sz w:val="18"/>
          <w:szCs w:val="18"/>
        </w:rPr>
      </w:pPr>
    </w:p>
    <w:p w:rsidR="00023FE7" w:rsidRPr="004B208C" w:rsidRDefault="00023FE7">
      <w:pPr>
        <w:pStyle w:val="ChartKeyHeadings"/>
        <w:ind w:right="-180"/>
        <w:rPr>
          <w:rFonts w:ascii="Tahoma" w:hAnsi="Tahoma" w:cs="Tahoma"/>
        </w:rPr>
      </w:pPr>
      <w:r w:rsidRPr="004B208C">
        <w:rPr>
          <w:rFonts w:ascii="Tahoma" w:hAnsi="Tahoma" w:cs="Tahoma"/>
          <w:szCs w:val="24"/>
        </w:rPr>
        <w:t>Títulos das colunas</w:t>
      </w:r>
    </w:p>
    <w:p w:rsidR="00023FE7" w:rsidRPr="00E6314E" w:rsidRDefault="00023FE7">
      <w:pPr>
        <w:pStyle w:val="ChartKeyHeadings"/>
        <w:ind w:right="-180"/>
        <w:rPr>
          <w:rFonts w:ascii="Tahoma" w:hAnsi="Tahoma" w:cs="Tahoma"/>
          <w:sz w:val="18"/>
          <w:szCs w:val="18"/>
        </w:rPr>
      </w:pPr>
    </w:p>
    <w:p w:rsidR="00664EE9" w:rsidRPr="00E6314E" w:rsidRDefault="00664EE9" w:rsidP="00664EE9">
      <w:pPr>
        <w:pStyle w:val="Bodywithspace"/>
        <w:spacing w:before="0" w:after="0" w:line="276" w:lineRule="auto"/>
        <w:ind w:right="-180"/>
        <w:rPr>
          <w:rFonts w:ascii="Tahoma" w:hAnsi="Tahoma" w:cs="Tahoma"/>
          <w:sz w:val="18"/>
          <w:szCs w:val="18"/>
        </w:rPr>
      </w:pPr>
      <w:r w:rsidRPr="00E6314E">
        <w:rPr>
          <w:rStyle w:val="BodyChar"/>
          <w:rFonts w:ascii="Tahoma" w:hAnsi="Tahoma" w:cs="Tahoma"/>
          <w:b/>
          <w:color w:val="000000"/>
          <w:sz w:val="18"/>
          <w:szCs w:val="18"/>
        </w:rPr>
        <w:t>Unidades Campus e School =</w:t>
      </w:r>
      <w:r w:rsidRPr="00E6314E">
        <w:rPr>
          <w:rFonts w:ascii="Tahoma" w:hAnsi="Tahoma" w:cs="Tahoma"/>
          <w:color w:val="000000"/>
          <w:sz w:val="18"/>
          <w:szCs w:val="18"/>
        </w:rPr>
        <w:t xml:space="preserve"> Os números mostrados nesta coluna representam unidades designadas quando o software é oferecido pelo Registro School de acordo com o Contrato Campus e School. Os</w:t>
      </w:r>
      <w:r w:rsidR="00E6314E">
        <w:rPr>
          <w:rFonts w:ascii="Tahoma" w:hAnsi="Tahoma" w:cs="Tahoma"/>
          <w:color w:val="000000"/>
          <w:sz w:val="18"/>
          <w:szCs w:val="18"/>
        </w:rPr>
        <w:t> </w:t>
      </w:r>
      <w:r w:rsidRPr="00E6314E">
        <w:rPr>
          <w:rFonts w:ascii="Tahoma" w:hAnsi="Tahoma" w:cs="Tahoma"/>
          <w:color w:val="000000"/>
          <w:sz w:val="18"/>
          <w:szCs w:val="18"/>
        </w:rPr>
        <w:t>produtos</w:t>
      </w:r>
      <w:r w:rsidR="00E6314E">
        <w:rPr>
          <w:rFonts w:ascii="Tahoma" w:hAnsi="Tahoma" w:cs="Tahoma"/>
          <w:color w:val="000000"/>
          <w:sz w:val="18"/>
          <w:szCs w:val="18"/>
        </w:rPr>
        <w:t> </w:t>
      </w:r>
      <w:r w:rsidRPr="00E6314E">
        <w:rPr>
          <w:rFonts w:ascii="Tahoma" w:hAnsi="Tahoma" w:cs="Tahoma"/>
          <w:color w:val="000000"/>
          <w:sz w:val="18"/>
          <w:szCs w:val="18"/>
        </w:rPr>
        <w:t>não são oferecidos nesses programas quando a coluna CA/SA está vazia.</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 xml:space="preserve">Data disponível = </w:t>
      </w:r>
      <w:r w:rsidRPr="00E6314E">
        <w:rPr>
          <w:rStyle w:val="BodyChar"/>
          <w:rFonts w:ascii="Tahoma" w:hAnsi="Tahoma" w:cs="Tahoma"/>
          <w:sz w:val="18"/>
          <w:szCs w:val="18"/>
        </w:rPr>
        <w:t>Esta é a data em que um produto está disponível pela primeira vez,</w:t>
      </w:r>
      <w:r w:rsidRPr="00E6314E">
        <w:rPr>
          <w:rStyle w:val="BodyChar"/>
          <w:rFonts w:ascii="Tahoma" w:hAnsi="Tahoma" w:cs="Tahoma"/>
          <w:color w:val="000000"/>
          <w:sz w:val="18"/>
          <w:szCs w:val="18"/>
        </w:rPr>
        <w:t xml:space="preserve"> designada como mês/ano. </w:t>
      </w:r>
      <w:r w:rsidRPr="00E6314E">
        <w:rPr>
          <w:rStyle w:val="BodyChar"/>
          <w:rFonts w:ascii="Tahoma" w:hAnsi="Tahoma" w:cs="Tahoma"/>
          <w:sz w:val="18"/>
          <w:szCs w:val="18"/>
        </w:rPr>
        <w:t>Trata-se da data em que a Microsoft coloca as licenças desse produto à disposição para solicitação ou coloca o software desse produto à disposição para download no Centro de Atendimento de Licenciamento por Volume (VLSC), o que ocorrer primeiro.</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EA (Contrato Enterprise) =</w:t>
      </w:r>
      <w:r w:rsidRPr="00E6314E">
        <w:rPr>
          <w:rFonts w:ascii="Tahoma" w:hAnsi="Tahoma" w:cs="Tahoma"/>
          <w:sz w:val="18"/>
          <w:szCs w:val="18"/>
        </w:rPr>
        <w:t xml:space="preserve"> Contrato Enterprise 20xx.</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 xml:space="preserve">EA Sub (Contrato Enterprise Subscription) = </w:t>
      </w:r>
      <w:r w:rsidRPr="00E6314E">
        <w:rPr>
          <w:rFonts w:ascii="Tahoma" w:hAnsi="Tahoma" w:cs="Tahoma"/>
          <w:sz w:val="18"/>
          <w:szCs w:val="18"/>
        </w:rPr>
        <w:t>Contrato Enterprise Subscription 200x.</w:t>
      </w:r>
      <w:r w:rsidR="00172F11" w:rsidRPr="00E6314E">
        <w:rPr>
          <w:rFonts w:ascii="Tahoma" w:hAnsi="Tahoma" w:cs="Tahoma"/>
          <w:sz w:val="18"/>
          <w:szCs w:val="18"/>
        </w:rPr>
        <w:t xml:space="preserve"> </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Mínimo de Licenças Open =</w:t>
      </w:r>
      <w:r w:rsidRPr="00E6314E">
        <w:rPr>
          <w:rFonts w:ascii="Tahoma" w:hAnsi="Tahoma" w:cs="Tahoma"/>
          <w:sz w:val="18"/>
          <w:szCs w:val="18"/>
        </w:rPr>
        <w:t xml:space="preserve"> Cada Licença conta unicamente como cinco Licenças para fins do pedido inicial mínimo nos programas Licença Open e/ou Open Value. O valor indica para qual programa essa condição está em vigor.</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Licença Open =</w:t>
      </w:r>
      <w:r w:rsidRPr="00E6314E">
        <w:rPr>
          <w:rFonts w:ascii="Tahoma" w:hAnsi="Tahoma" w:cs="Tahoma"/>
          <w:sz w:val="18"/>
          <w:szCs w:val="18"/>
        </w:rPr>
        <w:t xml:space="preserve"> O componente exclusivamente Licença Open dos Programas Open. A Licença Open inclui Licença Open, Licença Open para Academic, Licença Open para Government e Licença Open para Charity, onde estiverem disponíveis.</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Open Value (OV) =</w:t>
      </w:r>
      <w:r w:rsidRPr="00E6314E">
        <w:rPr>
          <w:rFonts w:ascii="Tahoma" w:hAnsi="Tahoma" w:cs="Tahoma"/>
          <w:sz w:val="18"/>
          <w:szCs w:val="18"/>
        </w:rPr>
        <w:t xml:space="preserve"> Open Value inclui Open Value e Open Value for Government.</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Open Value Subscription (OVS) =</w:t>
      </w:r>
      <w:r w:rsidRPr="00E6314E">
        <w:rPr>
          <w:rFonts w:ascii="Tahoma" w:hAnsi="Tahoma" w:cs="Tahoma"/>
          <w:sz w:val="18"/>
          <w:szCs w:val="18"/>
        </w:rPr>
        <w:t xml:space="preserve"> Open Value Subscription inclui Open Value Subscription e Open Value Subecription for Government. </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 xml:space="preserve">EES/OVS-ES = </w:t>
      </w:r>
      <w:r w:rsidRPr="00E6314E">
        <w:rPr>
          <w:rStyle w:val="BodyChar"/>
          <w:rFonts w:ascii="Tahoma" w:hAnsi="Tahoma" w:cs="Tahoma"/>
          <w:sz w:val="18"/>
          <w:szCs w:val="18"/>
        </w:rPr>
        <w:t>Enrollment for Education Solutions/Open Value Subscription – Education Solutions</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Promoções e Migrações =</w:t>
      </w:r>
      <w:r w:rsidRPr="00E6314E">
        <w:rPr>
          <w:rFonts w:ascii="Tahoma" w:hAnsi="Tahoma" w:cs="Tahoma"/>
          <w:sz w:val="18"/>
          <w:szCs w:val="18"/>
        </w:rPr>
        <w:t xml:space="preserve"> Há uma promoção ou migração de software disponível.</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SAB =</w:t>
      </w:r>
      <w:r w:rsidRPr="00E6314E">
        <w:rPr>
          <w:rFonts w:ascii="Tahoma" w:hAnsi="Tahoma" w:cs="Tahoma"/>
          <w:sz w:val="18"/>
          <w:szCs w:val="18"/>
        </w:rPr>
        <w:t xml:space="preserve"> Existem Benefícios do Software Assurance para clientes qualificados deste software.</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Select =</w:t>
      </w:r>
      <w:r w:rsidRPr="00E6314E">
        <w:rPr>
          <w:rFonts w:ascii="Tahoma" w:hAnsi="Tahoma" w:cs="Tahoma"/>
          <w:sz w:val="18"/>
          <w:szCs w:val="18"/>
        </w:rPr>
        <w:t xml:space="preserve"> Select 20xx. Também inclui Select para Academic e Select para Government.</w:t>
      </w:r>
    </w:p>
    <w:p w:rsidR="00456002" w:rsidRPr="00E6314E" w:rsidRDefault="00456002" w:rsidP="00456002">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Select Plus</w:t>
      </w:r>
      <w:r w:rsidRPr="00E6314E">
        <w:rPr>
          <w:rStyle w:val="BodyChar"/>
          <w:rFonts w:ascii="Tahoma" w:hAnsi="Tahoma" w:cs="Tahoma"/>
          <w:sz w:val="18"/>
          <w:szCs w:val="18"/>
        </w:rPr>
        <w:t xml:space="preserve"> = Select Plus 20xx.</w:t>
      </w:r>
      <w:r w:rsidR="00172F11" w:rsidRPr="00E6314E">
        <w:rPr>
          <w:rStyle w:val="BodyChar"/>
          <w:rFonts w:ascii="Tahoma" w:hAnsi="Tahoma" w:cs="Tahoma"/>
          <w:sz w:val="18"/>
          <w:szCs w:val="18"/>
        </w:rPr>
        <w:t xml:space="preserve"> </w:t>
      </w:r>
      <w:r w:rsidRPr="00E6314E">
        <w:rPr>
          <w:rStyle w:val="BodyChar"/>
          <w:rFonts w:ascii="Tahoma" w:hAnsi="Tahoma" w:cs="Tahoma"/>
          <w:sz w:val="18"/>
          <w:szCs w:val="18"/>
        </w:rPr>
        <w:t>Também inclui Select Plus para Academic e Select Plus para Government.</w:t>
      </w:r>
    </w:p>
    <w:p w:rsidR="00023FE7" w:rsidRPr="00E6314E" w:rsidRDefault="00023FE7">
      <w:pPr>
        <w:pStyle w:val="Bodywithspace"/>
        <w:spacing w:before="0" w:after="0"/>
        <w:ind w:right="-180"/>
        <w:rPr>
          <w:rFonts w:ascii="Tahoma" w:hAnsi="Tahoma" w:cs="Tahoma"/>
          <w:sz w:val="18"/>
          <w:szCs w:val="18"/>
        </w:rPr>
      </w:pPr>
    </w:p>
    <w:p w:rsidR="00023FE7" w:rsidRPr="004B208C" w:rsidRDefault="00023FE7">
      <w:pPr>
        <w:pStyle w:val="ChartKeyHeadings"/>
        <w:ind w:right="-180"/>
        <w:rPr>
          <w:rFonts w:ascii="Tahoma" w:hAnsi="Tahoma" w:cs="Tahoma"/>
        </w:rPr>
      </w:pPr>
      <w:r w:rsidRPr="004B208C">
        <w:rPr>
          <w:rFonts w:ascii="Tahoma" w:hAnsi="Tahoma" w:cs="Tahoma"/>
          <w:szCs w:val="28"/>
        </w:rPr>
        <w:t>Valores das colunas</w:t>
      </w:r>
    </w:p>
    <w:p w:rsidR="00023FE7" w:rsidRPr="00E6314E" w:rsidRDefault="00023FE7">
      <w:pPr>
        <w:pStyle w:val="ChartKeyHeadings"/>
        <w:ind w:right="-180"/>
        <w:rPr>
          <w:rFonts w:ascii="Tahoma" w:hAnsi="Tahoma" w:cs="Tahoma"/>
          <w:sz w:val="18"/>
          <w:szCs w:val="18"/>
        </w:rPr>
      </w:pP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 xml:space="preserve">1An = </w:t>
      </w:r>
      <w:r w:rsidRPr="00E6314E">
        <w:rPr>
          <w:rFonts w:ascii="Tahoma" w:hAnsi="Tahoma" w:cs="Tahoma"/>
          <w:sz w:val="18"/>
          <w:szCs w:val="18"/>
        </w:rPr>
        <w:t>(resta 1 ano do prazo do contrato).</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2An =</w:t>
      </w:r>
      <w:r w:rsidRPr="00E6314E">
        <w:rPr>
          <w:rFonts w:ascii="Tahoma" w:hAnsi="Tahoma" w:cs="Tahoma"/>
          <w:sz w:val="18"/>
          <w:szCs w:val="18"/>
        </w:rPr>
        <w:t xml:space="preserve"> (restam 2 anos do prazo do contrato).</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3An =</w:t>
      </w:r>
      <w:r w:rsidRPr="00E6314E">
        <w:rPr>
          <w:rFonts w:ascii="Tahoma" w:hAnsi="Tahoma" w:cs="Tahoma"/>
          <w:sz w:val="18"/>
          <w:szCs w:val="18"/>
        </w:rPr>
        <w:t xml:space="preserve"> (restam 3 anos do prazo do contrato).</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A =</w:t>
      </w:r>
      <w:r w:rsidRPr="00E6314E">
        <w:rPr>
          <w:rFonts w:ascii="Tahoma" w:hAnsi="Tahoma" w:cs="Tahoma"/>
          <w:sz w:val="18"/>
          <w:szCs w:val="18"/>
        </w:rPr>
        <w:t xml:space="preserve"> Indica que o software é oferecido como um produto adicional.</w:t>
      </w:r>
    </w:p>
    <w:p w:rsidR="009E22D0" w:rsidRPr="00E6314E" w:rsidRDefault="009E22D0" w:rsidP="009E22D0">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AO</w:t>
      </w:r>
      <w:r w:rsidR="00172F11" w:rsidRPr="00E6314E">
        <w:rPr>
          <w:rStyle w:val="BodyChar"/>
          <w:rFonts w:ascii="Tahoma" w:hAnsi="Tahoma" w:cs="Tahoma"/>
          <w:sz w:val="18"/>
          <w:szCs w:val="18"/>
        </w:rPr>
        <w:t xml:space="preserve"> </w:t>
      </w:r>
      <w:r w:rsidRPr="00E6314E">
        <w:rPr>
          <w:rStyle w:val="BodyChar"/>
          <w:rFonts w:ascii="Tahoma" w:hAnsi="Tahoma" w:cs="Tahoma"/>
          <w:b/>
          <w:sz w:val="18"/>
          <w:szCs w:val="18"/>
        </w:rPr>
        <w:t xml:space="preserve">= </w:t>
      </w:r>
      <w:r w:rsidRPr="00E6314E">
        <w:rPr>
          <w:rFonts w:ascii="Tahoma" w:hAnsi="Tahoma" w:cs="Tahoma"/>
          <w:sz w:val="18"/>
          <w:szCs w:val="18"/>
        </w:rPr>
        <w:t>Indica o software oferecido como um produto adicional solicitado em toda a organização.</w:t>
      </w:r>
    </w:p>
    <w:p w:rsidR="009F5F37" w:rsidRPr="00E6314E" w:rsidRDefault="009F5F3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 xml:space="preserve">C = </w:t>
      </w:r>
      <w:r w:rsidRPr="00E6314E">
        <w:rPr>
          <w:rFonts w:ascii="Tahoma" w:hAnsi="Tahoma" w:cs="Tahoma"/>
          <w:sz w:val="18"/>
          <w:szCs w:val="18"/>
        </w:rPr>
        <w:t>Indica que o software é oferecido como um produto Core Infrastructure.</w:t>
      </w:r>
    </w:p>
    <w:p w:rsidR="009F5F37" w:rsidRPr="00E6314E" w:rsidRDefault="009F5F37" w:rsidP="009F5F37">
      <w:pPr>
        <w:pStyle w:val="ListParagraph"/>
        <w:rPr>
          <w:rFonts w:ascii="Tahoma" w:hAnsi="Tahoma" w:cs="Tahoma"/>
          <w:sz w:val="18"/>
          <w:szCs w:val="18"/>
        </w:rPr>
      </w:pPr>
      <w:r w:rsidRPr="00E6314E">
        <w:rPr>
          <w:rStyle w:val="BodyChar"/>
          <w:rFonts w:ascii="Tahoma" w:hAnsi="Tahoma" w:cs="Tahoma"/>
          <w:b/>
          <w:sz w:val="18"/>
          <w:szCs w:val="18"/>
        </w:rPr>
        <w:t xml:space="preserve">D = </w:t>
      </w:r>
      <w:r w:rsidRPr="00E6314E">
        <w:rPr>
          <w:rFonts w:ascii="Tahoma" w:hAnsi="Tahoma" w:cs="Tahoma"/>
          <w:sz w:val="18"/>
          <w:szCs w:val="18"/>
        </w:rPr>
        <w:t>Indica que o software é oferecido como um produto de programa Industry Device.</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DT =</w:t>
      </w:r>
      <w:r w:rsidRPr="00E6314E">
        <w:rPr>
          <w:rFonts w:ascii="Tahoma" w:hAnsi="Tahoma" w:cs="Tahoma"/>
          <w:sz w:val="18"/>
          <w:szCs w:val="18"/>
        </w:rPr>
        <w:t xml:space="preserve"> Benefícios do Software Assurance para Ofertas para Desktop. </w:t>
      </w:r>
    </w:p>
    <w:p w:rsidR="00F90F21" w:rsidRPr="00E6314E" w:rsidRDefault="009055B7">
      <w:pPr>
        <w:pStyle w:val="Bodywithspace"/>
        <w:spacing w:before="0" w:after="0" w:line="276" w:lineRule="auto"/>
        <w:ind w:right="-180"/>
        <w:rPr>
          <w:rFonts w:ascii="Tahoma" w:hAnsi="Tahoma" w:cs="Tahoma"/>
          <w:sz w:val="18"/>
          <w:szCs w:val="18"/>
        </w:rPr>
      </w:pPr>
      <w:r w:rsidRPr="00E6314E">
        <w:rPr>
          <w:rFonts w:ascii="Tahoma" w:hAnsi="Tahoma" w:cs="Tahoma"/>
          <w:b/>
          <w:color w:val="000000"/>
          <w:sz w:val="18"/>
          <w:szCs w:val="18"/>
        </w:rPr>
        <w:t>E</w:t>
      </w:r>
      <w:r w:rsidRPr="00E6314E">
        <w:rPr>
          <w:rFonts w:ascii="Tahoma" w:hAnsi="Tahoma" w:cs="Tahoma"/>
          <w:color w:val="000000"/>
          <w:sz w:val="18"/>
          <w:szCs w:val="18"/>
        </w:rPr>
        <w:t xml:space="preserve"> </w:t>
      </w:r>
      <w:r w:rsidRPr="009A266F">
        <w:rPr>
          <w:rFonts w:ascii="Tahoma" w:hAnsi="Tahoma" w:cs="Tahoma"/>
          <w:b/>
          <w:bCs/>
          <w:color w:val="000000"/>
          <w:sz w:val="18"/>
          <w:szCs w:val="18"/>
        </w:rPr>
        <w:t>=</w:t>
      </w:r>
      <w:r w:rsidRPr="00E6314E">
        <w:rPr>
          <w:rFonts w:ascii="Tahoma" w:hAnsi="Tahoma" w:cs="Tahoma"/>
          <w:color w:val="000000"/>
          <w:sz w:val="18"/>
          <w:szCs w:val="18"/>
        </w:rPr>
        <w:t xml:space="preserve"> Indica que o produto é oferecido como um produto Enterprise ou da plataforma desktop.</w:t>
      </w:r>
    </w:p>
    <w:p w:rsidR="00B23BE6" w:rsidRPr="00E6314E" w:rsidRDefault="00B23BE6" w:rsidP="00B23BE6">
      <w:pPr>
        <w:spacing w:line="276" w:lineRule="auto"/>
        <w:ind w:left="720" w:right="-180"/>
        <w:rPr>
          <w:rFonts w:cs="Tahoma"/>
          <w:szCs w:val="18"/>
        </w:rPr>
      </w:pPr>
      <w:r w:rsidRPr="00E6314E">
        <w:rPr>
          <w:rFonts w:cs="Tahoma"/>
          <w:b/>
          <w:color w:val="000000"/>
          <w:szCs w:val="18"/>
        </w:rPr>
        <w:t>EOLS =</w:t>
      </w:r>
      <w:r w:rsidRPr="00E6314E">
        <w:rPr>
          <w:rFonts w:cs="Tahoma"/>
          <w:color w:val="000000"/>
          <w:szCs w:val="18"/>
        </w:rPr>
        <w:t xml:space="preserve"> Indica que o produto é oferecido como um serviço online Enterprise ou serviço online da plataforma.</w:t>
      </w:r>
    </w:p>
    <w:p w:rsidR="00E97819" w:rsidRPr="00E6314E" w:rsidRDefault="00E97819">
      <w:pPr>
        <w:pStyle w:val="Bodywithspace"/>
        <w:spacing w:before="0" w:after="0" w:line="276" w:lineRule="auto"/>
        <w:ind w:right="-180"/>
        <w:rPr>
          <w:rFonts w:ascii="Tahoma" w:hAnsi="Tahoma" w:cs="Tahoma"/>
          <w:sz w:val="18"/>
          <w:szCs w:val="18"/>
        </w:rPr>
      </w:pPr>
      <w:r w:rsidRPr="00E6314E">
        <w:rPr>
          <w:rFonts w:ascii="Tahoma" w:hAnsi="Tahoma" w:cs="Tahoma"/>
          <w:b/>
          <w:color w:val="000000"/>
          <w:sz w:val="18"/>
          <w:szCs w:val="18"/>
        </w:rPr>
        <w:t xml:space="preserve">ST = </w:t>
      </w:r>
      <w:r w:rsidRPr="00E6314E">
        <w:rPr>
          <w:rFonts w:ascii="Tahoma" w:hAnsi="Tahoma" w:cs="Tahoma"/>
          <w:color w:val="000000"/>
          <w:sz w:val="18"/>
          <w:szCs w:val="18"/>
        </w:rPr>
        <w:t>Indica se o software será oferecido como Oferta ao Aluno e deverá ser solicitado para a Contagem de Alunos integral.</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L (Licença) =</w:t>
      </w:r>
      <w:r w:rsidRPr="00E6314E">
        <w:rPr>
          <w:rFonts w:ascii="Tahoma" w:hAnsi="Tahoma" w:cs="Tahoma"/>
          <w:sz w:val="18"/>
          <w:szCs w:val="18"/>
        </w:rPr>
        <w:t xml:space="preserve"> Valor em pontos designado quando uma Licença Padrão é oferecida para o software indicado.</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L&amp;SA (Licença e Software Assurance) =</w:t>
      </w:r>
      <w:r w:rsidRPr="00E6314E">
        <w:rPr>
          <w:rFonts w:ascii="Tahoma" w:hAnsi="Tahoma" w:cs="Tahoma"/>
          <w:sz w:val="18"/>
          <w:szCs w:val="18"/>
        </w:rPr>
        <w:t xml:space="preserve"> Valor em pontos designado quando uma instância de Licença e</w:t>
      </w:r>
      <w:r w:rsidR="003435FB">
        <w:rPr>
          <w:rFonts w:ascii="Tahoma" w:hAnsi="Tahoma" w:cs="Tahoma"/>
          <w:sz w:val="18"/>
          <w:szCs w:val="18"/>
        </w:rPr>
        <w:t> </w:t>
      </w:r>
      <w:r w:rsidRPr="00E6314E">
        <w:rPr>
          <w:rFonts w:ascii="Tahoma" w:hAnsi="Tahoma" w:cs="Tahoma"/>
          <w:sz w:val="18"/>
          <w:szCs w:val="18"/>
        </w:rPr>
        <w:t>Software Assurance é oferecida para o software indicado.</w:t>
      </w:r>
    </w:p>
    <w:p w:rsidR="00023FE7" w:rsidRPr="00E6314E" w:rsidRDefault="00023FE7">
      <w:pPr>
        <w:pStyle w:val="Bodywithspace"/>
        <w:spacing w:before="0" w:after="0" w:line="276" w:lineRule="auto"/>
        <w:rPr>
          <w:rFonts w:ascii="Tahoma" w:hAnsi="Tahoma" w:cs="Tahoma"/>
          <w:sz w:val="18"/>
          <w:szCs w:val="18"/>
        </w:rPr>
      </w:pPr>
      <w:r w:rsidRPr="00E6314E">
        <w:rPr>
          <w:rStyle w:val="BodyChar"/>
          <w:rFonts w:ascii="Tahoma" w:hAnsi="Tahoma" w:cs="Tahoma"/>
          <w:b/>
          <w:bCs/>
          <w:color w:val="000000"/>
          <w:sz w:val="18"/>
          <w:szCs w:val="18"/>
        </w:rPr>
        <w:t>LO =</w:t>
      </w:r>
      <w:r w:rsidRPr="00E6314E">
        <w:rPr>
          <w:rFonts w:ascii="Tahoma" w:hAnsi="Tahoma" w:cs="Tahoma"/>
          <w:color w:val="000000"/>
          <w:sz w:val="18"/>
          <w:szCs w:val="18"/>
        </w:rPr>
        <w:t xml:space="preserve"> Disponível na Licença Open.</w:t>
      </w:r>
    </w:p>
    <w:p w:rsidR="001D3F04" w:rsidRPr="00E6314E" w:rsidRDefault="001D3F04" w:rsidP="001D3F04">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 xml:space="preserve">OSB </w:t>
      </w:r>
      <w:r w:rsidRPr="009A266F">
        <w:rPr>
          <w:rStyle w:val="BodyChar"/>
          <w:rFonts w:ascii="Tahoma" w:hAnsi="Tahoma" w:cs="Tahoma"/>
          <w:b/>
          <w:bCs/>
          <w:sz w:val="18"/>
          <w:szCs w:val="18"/>
        </w:rPr>
        <w:t>=</w:t>
      </w:r>
      <w:r w:rsidRPr="00E6314E">
        <w:rPr>
          <w:rStyle w:val="BodyChar"/>
          <w:rFonts w:ascii="Tahoma" w:hAnsi="Tahoma" w:cs="Tahoma"/>
          <w:sz w:val="18"/>
          <w:szCs w:val="18"/>
        </w:rPr>
        <w:t xml:space="preserve"> Benefícios de Serviços Online para clientes qualificados.</w:t>
      </w:r>
      <w:r w:rsidR="00172F11" w:rsidRPr="00E6314E">
        <w:rPr>
          <w:rStyle w:val="BodyChar"/>
          <w:rFonts w:ascii="Tahoma" w:hAnsi="Tahoma" w:cs="Tahoma"/>
          <w:sz w:val="18"/>
          <w:szCs w:val="18"/>
        </w:rPr>
        <w:t xml:space="preserve"> </w:t>
      </w:r>
      <w:r w:rsidRPr="00E6314E">
        <w:rPr>
          <w:rStyle w:val="BodyChar"/>
          <w:rFonts w:ascii="Tahoma" w:hAnsi="Tahoma" w:cs="Tahoma"/>
          <w:sz w:val="18"/>
          <w:szCs w:val="18"/>
        </w:rPr>
        <w:t xml:space="preserve">Observe que </w:t>
      </w:r>
      <w:r w:rsidRPr="00E6314E">
        <w:rPr>
          <w:rFonts w:ascii="Tahoma" w:hAnsi="Tahoma" w:cs="Tahoma"/>
          <w:sz w:val="18"/>
          <w:szCs w:val="18"/>
        </w:rPr>
        <w:t>os produtos qualificados para os</w:t>
      </w:r>
      <w:r w:rsidR="003435FB">
        <w:rPr>
          <w:rFonts w:ascii="Tahoma" w:hAnsi="Tahoma" w:cs="Tahoma"/>
          <w:sz w:val="18"/>
          <w:szCs w:val="18"/>
        </w:rPr>
        <w:t> </w:t>
      </w:r>
      <w:r w:rsidRPr="00E6314E">
        <w:rPr>
          <w:rFonts w:ascii="Tahoma" w:hAnsi="Tahoma" w:cs="Tahoma"/>
          <w:sz w:val="18"/>
          <w:szCs w:val="18"/>
        </w:rPr>
        <w:t>benefícios de Serviços Online poderão aparecer em mais de uma tabela de pools de produtos.</w:t>
      </w:r>
      <w:r w:rsidR="00172F11" w:rsidRPr="00E6314E">
        <w:rPr>
          <w:rFonts w:ascii="Tahoma" w:hAnsi="Tahoma" w:cs="Tahoma"/>
          <w:sz w:val="18"/>
          <w:szCs w:val="18"/>
        </w:rPr>
        <w:t xml:space="preserve"> </w:t>
      </w:r>
      <w:r w:rsidRPr="00E6314E">
        <w:rPr>
          <w:rFonts w:ascii="Tahoma" w:hAnsi="Tahoma" w:cs="Tahoma"/>
          <w:sz w:val="18"/>
          <w:szCs w:val="18"/>
        </w:rPr>
        <w:t>A razão disso é simplesmente demonstrar que essas ofertas podem ser qualificadas para benefícios de software assurance associados a mais do que um pool de produtos e não é necessário escolher entre os benefícios de um pool ou</w:t>
      </w:r>
      <w:r w:rsidR="003435FB">
        <w:rPr>
          <w:rFonts w:ascii="Tahoma" w:hAnsi="Tahoma" w:cs="Tahoma"/>
          <w:sz w:val="18"/>
          <w:szCs w:val="18"/>
        </w:rPr>
        <w:t> </w:t>
      </w:r>
      <w:r w:rsidRPr="00E6314E">
        <w:rPr>
          <w:rFonts w:ascii="Tahoma" w:hAnsi="Tahoma" w:cs="Tahoma"/>
          <w:sz w:val="18"/>
          <w:szCs w:val="18"/>
        </w:rPr>
        <w:t>de outro.</w:t>
      </w:r>
    </w:p>
    <w:p w:rsidR="00023FE7" w:rsidRPr="00E6314E" w:rsidRDefault="00023FE7">
      <w:pPr>
        <w:pStyle w:val="Bodywithspace"/>
        <w:spacing w:before="0" w:after="0" w:line="276" w:lineRule="auto"/>
        <w:rPr>
          <w:rFonts w:ascii="Tahoma" w:hAnsi="Tahoma" w:cs="Tahoma"/>
          <w:sz w:val="18"/>
          <w:szCs w:val="18"/>
        </w:rPr>
      </w:pPr>
      <w:r w:rsidRPr="00E6314E">
        <w:rPr>
          <w:rStyle w:val="BodyChar"/>
          <w:rFonts w:ascii="Tahoma" w:hAnsi="Tahoma" w:cs="Tahoma"/>
          <w:b/>
          <w:bCs/>
          <w:color w:val="000000"/>
          <w:sz w:val="18"/>
          <w:szCs w:val="18"/>
        </w:rPr>
        <w:lastRenderedPageBreak/>
        <w:t xml:space="preserve">OL/SA = </w:t>
      </w:r>
      <w:r w:rsidRPr="00E6314E">
        <w:rPr>
          <w:rStyle w:val="BodyChar"/>
          <w:rFonts w:ascii="Tahoma" w:hAnsi="Tahoma" w:cs="Tahoma"/>
          <w:color w:val="000000"/>
          <w:sz w:val="18"/>
          <w:szCs w:val="18"/>
        </w:rPr>
        <w:t>Disponível na Licença Open apenas para L&amp;SA e SA.</w:t>
      </w:r>
    </w:p>
    <w:p w:rsidR="00023FE7" w:rsidRPr="00E6314E" w:rsidRDefault="00023FE7">
      <w:pPr>
        <w:pStyle w:val="Bodywithspace"/>
        <w:spacing w:before="0" w:after="0" w:line="276" w:lineRule="auto"/>
        <w:rPr>
          <w:rFonts w:ascii="Tahoma" w:hAnsi="Tahoma" w:cs="Tahoma"/>
          <w:sz w:val="18"/>
          <w:szCs w:val="18"/>
        </w:rPr>
      </w:pPr>
      <w:r w:rsidRPr="00E6314E">
        <w:rPr>
          <w:rStyle w:val="BodyChar"/>
          <w:rFonts w:ascii="Tahoma" w:hAnsi="Tahoma" w:cs="Tahoma"/>
          <w:b/>
          <w:bCs/>
          <w:color w:val="000000"/>
          <w:sz w:val="18"/>
          <w:szCs w:val="18"/>
        </w:rPr>
        <w:t xml:space="preserve">POS = </w:t>
      </w:r>
      <w:r w:rsidRPr="00E6314E">
        <w:rPr>
          <w:rStyle w:val="BodyChar"/>
          <w:rFonts w:ascii="Tahoma" w:hAnsi="Tahoma" w:cs="Tahoma"/>
          <w:bCs/>
          <w:color w:val="000000"/>
          <w:sz w:val="18"/>
          <w:szCs w:val="18"/>
        </w:rPr>
        <w:t>Disponível no programa Licença Online Subscription.</w:t>
      </w:r>
    </w:p>
    <w:p w:rsidR="00023FE7" w:rsidRPr="00E6314E" w:rsidRDefault="00023FE7">
      <w:pPr>
        <w:pStyle w:val="Bodywithspace"/>
        <w:spacing w:before="0" w:after="0" w:line="276" w:lineRule="auto"/>
        <w:rPr>
          <w:rFonts w:ascii="Tahoma" w:hAnsi="Tahoma" w:cs="Tahoma"/>
          <w:sz w:val="18"/>
          <w:szCs w:val="18"/>
        </w:rPr>
      </w:pPr>
      <w:r w:rsidRPr="00E6314E">
        <w:rPr>
          <w:rStyle w:val="BodyChar"/>
          <w:rFonts w:ascii="Tahoma" w:hAnsi="Tahoma" w:cs="Tahoma"/>
          <w:b/>
          <w:bCs/>
          <w:color w:val="000000"/>
          <w:sz w:val="18"/>
          <w:szCs w:val="18"/>
        </w:rPr>
        <w:t>OV/OVS =</w:t>
      </w:r>
      <w:r w:rsidRPr="00E6314E">
        <w:rPr>
          <w:rFonts w:ascii="Tahoma" w:hAnsi="Tahoma" w:cs="Tahoma"/>
          <w:color w:val="000000"/>
          <w:sz w:val="18"/>
          <w:szCs w:val="18"/>
        </w:rPr>
        <w:t xml:space="preserve"> Disponível no programa Open Value e Open Value Subscription.</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P =</w:t>
      </w:r>
      <w:r w:rsidRPr="00E6314E">
        <w:rPr>
          <w:rFonts w:ascii="Tahoma" w:hAnsi="Tahoma" w:cs="Tahoma"/>
          <w:sz w:val="18"/>
          <w:szCs w:val="18"/>
        </w:rPr>
        <w:t xml:space="preserve"> Indica software oferecido como opção de licença não extensiva a toda a empresa no Open Value. </w:t>
      </w:r>
    </w:p>
    <w:p w:rsidR="009F5F37" w:rsidRPr="00E6314E" w:rsidRDefault="009F5F37">
      <w:pPr>
        <w:pStyle w:val="Bodywithspace"/>
        <w:spacing w:before="0" w:after="0" w:line="276" w:lineRule="auto"/>
        <w:rPr>
          <w:rFonts w:ascii="Tahoma" w:hAnsi="Tahoma" w:cs="Tahoma"/>
          <w:sz w:val="18"/>
          <w:szCs w:val="18"/>
        </w:rPr>
      </w:pPr>
      <w:r w:rsidRPr="00E6314E">
        <w:rPr>
          <w:rStyle w:val="BodyChar"/>
          <w:rFonts w:ascii="Tahoma" w:hAnsi="Tahoma" w:cs="Tahoma"/>
          <w:b/>
          <w:sz w:val="18"/>
          <w:szCs w:val="18"/>
        </w:rPr>
        <w:t xml:space="preserve">S = </w:t>
      </w:r>
      <w:r w:rsidRPr="00E6314E">
        <w:rPr>
          <w:rFonts w:ascii="Tahoma" w:hAnsi="Tahoma" w:cs="Tahoma"/>
          <w:sz w:val="18"/>
          <w:szCs w:val="18"/>
        </w:rPr>
        <w:t>Indica que o software é oferecido como um produto da plataforma desktop de aplicativos.</w:t>
      </w:r>
    </w:p>
    <w:p w:rsidR="00023FE7" w:rsidRPr="00E6314E" w:rsidRDefault="00023FE7">
      <w:pPr>
        <w:pStyle w:val="Bodywithspace"/>
        <w:spacing w:before="0" w:after="0" w:line="276" w:lineRule="auto"/>
        <w:rPr>
          <w:rFonts w:ascii="Tahoma" w:hAnsi="Tahoma" w:cs="Tahoma"/>
          <w:sz w:val="18"/>
          <w:szCs w:val="18"/>
        </w:rPr>
      </w:pPr>
      <w:r w:rsidRPr="00E6314E">
        <w:rPr>
          <w:rStyle w:val="BodyChar"/>
          <w:rFonts w:ascii="Tahoma" w:hAnsi="Tahoma" w:cs="Tahoma"/>
          <w:b/>
          <w:sz w:val="18"/>
          <w:szCs w:val="18"/>
        </w:rPr>
        <w:t>SA (Software Assurance) =</w:t>
      </w:r>
      <w:r w:rsidRPr="00E6314E">
        <w:rPr>
          <w:rFonts w:ascii="Tahoma" w:hAnsi="Tahoma" w:cs="Tahoma"/>
          <w:sz w:val="18"/>
          <w:szCs w:val="18"/>
        </w:rPr>
        <w:t xml:space="preserve"> Valor em pontos designado quando o Software Assurance é oferecido para o</w:t>
      </w:r>
      <w:r w:rsidR="003435FB">
        <w:rPr>
          <w:rFonts w:ascii="Tahoma" w:hAnsi="Tahoma" w:cs="Tahoma"/>
          <w:sz w:val="18"/>
          <w:szCs w:val="18"/>
        </w:rPr>
        <w:t> </w:t>
      </w:r>
      <w:r w:rsidRPr="00E6314E">
        <w:rPr>
          <w:rFonts w:ascii="Tahoma" w:hAnsi="Tahoma" w:cs="Tahoma"/>
          <w:sz w:val="18"/>
          <w:szCs w:val="18"/>
        </w:rPr>
        <w:t xml:space="preserve">software indicado. </w:t>
      </w:r>
    </w:p>
    <w:p w:rsidR="00913A0A" w:rsidRPr="00E6314E" w:rsidRDefault="00913A0A" w:rsidP="00913A0A">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 xml:space="preserve">SCE </w:t>
      </w:r>
      <w:r w:rsidRPr="009A266F">
        <w:rPr>
          <w:rStyle w:val="BodyChar"/>
          <w:rFonts w:ascii="Tahoma" w:hAnsi="Tahoma" w:cs="Tahoma"/>
          <w:b/>
          <w:bCs/>
          <w:sz w:val="18"/>
          <w:szCs w:val="18"/>
        </w:rPr>
        <w:t>=</w:t>
      </w:r>
      <w:r w:rsidRPr="00E6314E">
        <w:rPr>
          <w:rStyle w:val="BodyChar"/>
          <w:rFonts w:ascii="Tahoma" w:hAnsi="Tahoma" w:cs="Tahoma"/>
          <w:sz w:val="18"/>
          <w:szCs w:val="18"/>
        </w:rPr>
        <w:t xml:space="preserve"> Registro de Servidor e Nuvem.</w:t>
      </w:r>
    </w:p>
    <w:p w:rsidR="00913A0A" w:rsidRPr="00E6314E" w:rsidRDefault="00913A0A" w:rsidP="000347DA">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 xml:space="preserve">STP </w:t>
      </w:r>
      <w:r w:rsidRPr="009A266F">
        <w:rPr>
          <w:rStyle w:val="BodyChar"/>
          <w:rFonts w:ascii="Tahoma" w:hAnsi="Tahoma" w:cs="Tahoma"/>
          <w:b/>
          <w:bCs/>
          <w:sz w:val="18"/>
          <w:szCs w:val="18"/>
        </w:rPr>
        <w:t>=</w:t>
      </w:r>
      <w:r w:rsidRPr="00E6314E">
        <w:rPr>
          <w:rStyle w:val="BodyChar"/>
          <w:rFonts w:ascii="Tahoma" w:hAnsi="Tahoma" w:cs="Tahoma"/>
          <w:b/>
          <w:sz w:val="18"/>
          <w:szCs w:val="18"/>
        </w:rPr>
        <w:t xml:space="preserve"> </w:t>
      </w:r>
      <w:r w:rsidRPr="00E6314E">
        <w:rPr>
          <w:rStyle w:val="BodyChar"/>
          <w:rFonts w:ascii="Tahoma" w:hAnsi="Tahoma" w:cs="Tahoma"/>
          <w:sz w:val="18"/>
          <w:szCs w:val="18"/>
        </w:rPr>
        <w:t>Indica que o produto é um produto para servidor e ferramentas oferecido sob o Registro de Servidor e</w:t>
      </w:r>
      <w:r w:rsidR="003435FB">
        <w:rPr>
          <w:rStyle w:val="BodyChar"/>
          <w:rFonts w:ascii="Tahoma" w:hAnsi="Tahoma" w:cs="Tahoma"/>
          <w:sz w:val="18"/>
          <w:szCs w:val="18"/>
        </w:rPr>
        <w:t> </w:t>
      </w:r>
      <w:r w:rsidRPr="00E6314E">
        <w:rPr>
          <w:rStyle w:val="BodyChar"/>
          <w:rFonts w:ascii="Tahoma" w:hAnsi="Tahoma" w:cs="Tahoma"/>
          <w:sz w:val="18"/>
          <w:szCs w:val="18"/>
        </w:rPr>
        <w:t>Nuvem.</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SRV =</w:t>
      </w:r>
      <w:r w:rsidRPr="00E6314E">
        <w:rPr>
          <w:rFonts w:ascii="Tahoma" w:hAnsi="Tahoma" w:cs="Tahoma"/>
          <w:sz w:val="18"/>
          <w:szCs w:val="18"/>
        </w:rPr>
        <w:t xml:space="preserve"> Benefícios do Software Assurance para Ofertas para Pool de Servidores. </w:t>
      </w:r>
    </w:p>
    <w:p w:rsidR="00023FE7" w:rsidRPr="00E6314E" w:rsidRDefault="00023FE7">
      <w:pPr>
        <w:pStyle w:val="Bodywithspace"/>
        <w:tabs>
          <w:tab w:val="left" w:pos="9360"/>
        </w:tabs>
        <w:spacing w:before="0" w:after="0" w:line="276" w:lineRule="auto"/>
        <w:ind w:right="-180"/>
        <w:rPr>
          <w:rFonts w:ascii="Tahoma" w:hAnsi="Tahoma" w:cs="Tahoma"/>
          <w:sz w:val="18"/>
          <w:szCs w:val="18"/>
        </w:rPr>
      </w:pPr>
      <w:r w:rsidRPr="00E6314E">
        <w:rPr>
          <w:rStyle w:val="BodyChar"/>
          <w:rFonts w:ascii="Tahoma" w:hAnsi="Tahoma" w:cs="Tahoma"/>
          <w:b/>
          <w:sz w:val="18"/>
          <w:szCs w:val="18"/>
        </w:rPr>
        <w:t>U (Licença de Atualização) =</w:t>
      </w:r>
      <w:r w:rsidRPr="00E6314E">
        <w:rPr>
          <w:rFonts w:ascii="Tahoma" w:hAnsi="Tahoma" w:cs="Tahoma"/>
          <w:sz w:val="18"/>
          <w:szCs w:val="18"/>
        </w:rPr>
        <w:t xml:space="preserve"> Valor em pontos designado quando uma atualização é oferecida para o</w:t>
      </w:r>
      <w:r w:rsidR="003435FB">
        <w:rPr>
          <w:rFonts w:ascii="Tahoma" w:hAnsi="Tahoma" w:cs="Tahoma"/>
          <w:sz w:val="18"/>
          <w:szCs w:val="18"/>
        </w:rPr>
        <w:t> </w:t>
      </w:r>
      <w:r w:rsidRPr="00E6314E">
        <w:rPr>
          <w:rFonts w:ascii="Tahoma" w:hAnsi="Tahoma" w:cs="Tahoma"/>
          <w:sz w:val="18"/>
          <w:szCs w:val="18"/>
        </w:rPr>
        <w:t>software indicado.</w:t>
      </w:r>
    </w:p>
    <w:p w:rsidR="00023FE7" w:rsidRPr="00E6314E" w:rsidRDefault="00023FE7">
      <w:pPr>
        <w:pStyle w:val="Bodywithspace"/>
        <w:spacing w:before="0" w:after="0" w:line="276" w:lineRule="auto"/>
        <w:ind w:right="-180"/>
        <w:rPr>
          <w:rFonts w:ascii="Tahoma" w:hAnsi="Tahoma" w:cs="Tahoma"/>
          <w:sz w:val="18"/>
          <w:szCs w:val="18"/>
        </w:rPr>
      </w:pPr>
      <w:r w:rsidRPr="00E6314E">
        <w:rPr>
          <w:rStyle w:val="BodyChar"/>
          <w:rFonts w:ascii="Tahoma" w:hAnsi="Tahoma" w:cs="Tahoma"/>
          <w:b/>
          <w:sz w:val="18"/>
          <w:szCs w:val="18"/>
        </w:rPr>
        <w:t>U &amp; SA (Atualização e Software Assurance)</w:t>
      </w:r>
      <w:r w:rsidRPr="00E6314E">
        <w:rPr>
          <w:rFonts w:ascii="Tahoma" w:hAnsi="Tahoma" w:cs="Tahoma"/>
          <w:sz w:val="18"/>
          <w:szCs w:val="18"/>
        </w:rPr>
        <w:t xml:space="preserve"> </w:t>
      </w:r>
      <w:r w:rsidRPr="009A266F">
        <w:rPr>
          <w:rFonts w:ascii="Tahoma" w:hAnsi="Tahoma" w:cs="Tahoma"/>
          <w:b/>
          <w:bCs/>
          <w:sz w:val="18"/>
          <w:szCs w:val="18"/>
        </w:rPr>
        <w:t>=</w:t>
      </w:r>
      <w:r w:rsidRPr="00E6314E">
        <w:rPr>
          <w:rFonts w:ascii="Tahoma" w:hAnsi="Tahoma" w:cs="Tahoma"/>
          <w:sz w:val="18"/>
          <w:szCs w:val="18"/>
        </w:rPr>
        <w:t xml:space="preserve"> Valor em pontos designado quando uma instância de</w:t>
      </w:r>
      <w:r w:rsidR="003435FB">
        <w:rPr>
          <w:rFonts w:ascii="Tahoma" w:hAnsi="Tahoma" w:cs="Tahoma"/>
          <w:sz w:val="18"/>
          <w:szCs w:val="18"/>
        </w:rPr>
        <w:t> </w:t>
      </w:r>
      <w:r w:rsidRPr="00E6314E">
        <w:rPr>
          <w:rFonts w:ascii="Tahoma" w:hAnsi="Tahoma" w:cs="Tahoma"/>
          <w:sz w:val="18"/>
          <w:szCs w:val="18"/>
        </w:rPr>
        <w:t>atualização e Software Assurance é oferecida para o software indicado.</w:t>
      </w:r>
    </w:p>
    <w:p w:rsidR="00023FE7" w:rsidRPr="004B208C" w:rsidRDefault="00023FE7" w:rsidP="003435FB">
      <w:pPr>
        <w:pStyle w:val="Heading1"/>
        <w:spacing w:before="0"/>
        <w:rPr>
          <w:rFonts w:cs="Tahoma"/>
        </w:rPr>
      </w:pPr>
      <w:r w:rsidRPr="004B208C">
        <w:rPr>
          <w:rFonts w:cs="Tahoma"/>
        </w:rPr>
        <w:br w:type="page"/>
      </w:r>
      <w:bookmarkStart w:id="10" w:name="_Toc336337841"/>
      <w:bookmarkStart w:id="11" w:name="_Toc370980973"/>
      <w:r w:rsidRPr="004B208C">
        <w:rPr>
          <w:rFonts w:cs="Tahoma"/>
        </w:rPr>
        <w:lastRenderedPageBreak/>
        <w:t>LISTA DE Produtos</w:t>
      </w:r>
      <w:bookmarkEnd w:id="10"/>
      <w:bookmarkEnd w:id="11"/>
    </w:p>
    <w:p w:rsidR="000E5145" w:rsidRPr="003435FB" w:rsidRDefault="000E5145" w:rsidP="004E292A">
      <w:pPr>
        <w:pStyle w:val="Heading3"/>
        <w:rPr>
          <w:rFonts w:ascii="Tahoma" w:hAnsi="Tahoma" w:cs="Tahoma"/>
          <w:sz w:val="18"/>
          <w:szCs w:val="18"/>
        </w:rPr>
      </w:pPr>
      <w:bookmarkStart w:id="12" w:name="_Toc300391149"/>
      <w:bookmarkStart w:id="13" w:name="_Toc312398873"/>
      <w:bookmarkStart w:id="14" w:name="_Toc336337842"/>
    </w:p>
    <w:p w:rsidR="00F70479" w:rsidRPr="003435FB" w:rsidRDefault="00F70479" w:rsidP="00F70479">
      <w:pPr>
        <w:rPr>
          <w:rFonts w:cs="Tahoma"/>
          <w:szCs w:val="18"/>
        </w:rPr>
      </w:pPr>
    </w:p>
    <w:p w:rsidR="00023FE7" w:rsidRPr="004B208C" w:rsidRDefault="00023FE7" w:rsidP="004E292A">
      <w:pPr>
        <w:pStyle w:val="Heading3"/>
        <w:rPr>
          <w:rFonts w:ascii="Tahoma" w:hAnsi="Tahoma" w:cs="Tahoma"/>
        </w:rPr>
      </w:pPr>
      <w:bookmarkStart w:id="15" w:name="_Toc370980974"/>
      <w:r w:rsidRPr="004B208C">
        <w:rPr>
          <w:rFonts w:ascii="Tahoma" w:hAnsi="Tahoma" w:cs="Tahoma"/>
          <w:sz w:val="22"/>
          <w:szCs w:val="22"/>
        </w:rPr>
        <w:t>POOL DE APLICATIVOS</w:t>
      </w:r>
      <w:bookmarkEnd w:id="12"/>
      <w:bookmarkEnd w:id="13"/>
      <w:bookmarkEnd w:id="14"/>
      <w:bookmarkEnd w:id="15"/>
    </w:p>
    <w:p w:rsidR="006949F0" w:rsidRPr="004B208C" w:rsidRDefault="006949F0" w:rsidP="006949F0">
      <w:pPr>
        <w:rPr>
          <w:rFonts w:cs="Tahoma"/>
        </w:rPr>
      </w:pPr>
    </w:p>
    <w:tbl>
      <w:tblPr>
        <w:tblW w:w="1065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541"/>
        <w:gridCol w:w="378"/>
        <w:gridCol w:w="342"/>
        <w:gridCol w:w="630"/>
        <w:gridCol w:w="477"/>
        <w:gridCol w:w="335"/>
      </w:tblGrid>
      <w:tr w:rsidR="00913A0A" w:rsidRPr="004B208C" w:rsidTr="00472778">
        <w:trPr>
          <w:cantSplit/>
          <w:trHeight w:val="962"/>
          <w:tblHeader/>
        </w:trPr>
        <w:tc>
          <w:tcPr>
            <w:tcW w:w="2371" w:type="dxa"/>
            <w:tcBorders>
              <w:top w:val="single" w:sz="4" w:space="0" w:color="FFFFFF"/>
              <w:left w:val="nil"/>
              <w:bottom w:val="nil"/>
            </w:tcBorders>
          </w:tcPr>
          <w:p w:rsidR="00913A0A" w:rsidRPr="004B208C" w:rsidRDefault="00913A0A">
            <w:pPr>
              <w:widowControl w:val="0"/>
              <w:ind w:left="-360"/>
              <w:rPr>
                <w:rFonts w:cs="Tahoma"/>
              </w:rPr>
            </w:pPr>
          </w:p>
        </w:tc>
        <w:tc>
          <w:tcPr>
            <w:tcW w:w="429" w:type="dxa"/>
            <w:textDirection w:val="btLr"/>
            <w:vAlign w:val="center"/>
          </w:tcPr>
          <w:p w:rsidR="00913A0A" w:rsidRPr="004B208C" w:rsidRDefault="00913A0A" w:rsidP="00472778">
            <w:pPr>
              <w:pStyle w:val="TableVerticalText"/>
              <w:widowControl w:val="0"/>
              <w:rPr>
                <w:rFonts w:ascii="Tahoma" w:hAnsi="Tahoma" w:cs="Tahoma"/>
              </w:rPr>
            </w:pPr>
            <w:r w:rsidRPr="004B208C">
              <w:rPr>
                <w:rFonts w:ascii="Tahoma" w:hAnsi="Tahoma" w:cs="Tahoma"/>
              </w:rPr>
              <w:t>Notas do Produto</w:t>
            </w:r>
          </w:p>
        </w:tc>
        <w:tc>
          <w:tcPr>
            <w:tcW w:w="429" w:type="dxa"/>
            <w:textDirection w:val="btLr"/>
            <w:vAlign w:val="center"/>
          </w:tcPr>
          <w:p w:rsidR="00913A0A" w:rsidRPr="004B208C" w:rsidRDefault="00913A0A" w:rsidP="00472778">
            <w:pPr>
              <w:pStyle w:val="TableVerticalText"/>
              <w:widowControl w:val="0"/>
              <w:rPr>
                <w:rFonts w:ascii="Tahoma" w:hAnsi="Tahoma" w:cs="Tahoma"/>
              </w:rPr>
            </w:pPr>
            <w:r w:rsidRPr="004B208C">
              <w:rPr>
                <w:rFonts w:ascii="Tahoma" w:hAnsi="Tahoma" w:cs="Tahoma"/>
              </w:rPr>
              <w:t>Data disponível</w:t>
            </w:r>
          </w:p>
        </w:tc>
        <w:tc>
          <w:tcPr>
            <w:tcW w:w="429" w:type="dxa"/>
            <w:tcBorders>
              <w:right w:val="single" w:sz="18" w:space="0" w:color="auto"/>
            </w:tcBorders>
            <w:textDirection w:val="btLr"/>
            <w:vAlign w:val="center"/>
          </w:tcPr>
          <w:p w:rsidR="00913A0A" w:rsidRPr="004B208C" w:rsidRDefault="00913A0A" w:rsidP="00472778">
            <w:pPr>
              <w:pStyle w:val="TableVerticalText"/>
              <w:widowControl w:val="0"/>
              <w:rPr>
                <w:rFonts w:ascii="Tahoma" w:hAnsi="Tahoma" w:cs="Tahoma"/>
              </w:rPr>
            </w:pPr>
            <w:r w:rsidRPr="004B208C">
              <w:rPr>
                <w:rFonts w:ascii="Tahoma" w:hAnsi="Tahoma" w:cs="Tahoma"/>
              </w:rPr>
              <w:t>SAB</w:t>
            </w:r>
          </w:p>
        </w:tc>
        <w:tc>
          <w:tcPr>
            <w:tcW w:w="3003" w:type="dxa"/>
            <w:gridSpan w:val="7"/>
            <w:tcBorders>
              <w:left w:val="single" w:sz="18" w:space="0" w:color="auto"/>
              <w:right w:val="single" w:sz="18" w:space="0" w:color="auto"/>
            </w:tcBorders>
            <w:vAlign w:val="center"/>
          </w:tcPr>
          <w:p w:rsidR="00913A0A" w:rsidRPr="004B208C" w:rsidRDefault="00913A0A">
            <w:pPr>
              <w:pStyle w:val="TableHeadingsBlack"/>
              <w:widowControl w:val="0"/>
              <w:rPr>
                <w:rFonts w:ascii="Tahoma" w:hAnsi="Tahoma" w:cs="Tahoma"/>
              </w:rPr>
            </w:pPr>
            <w:r w:rsidRPr="004B208C">
              <w:rPr>
                <w:rFonts w:ascii="Tahoma" w:hAnsi="Tahoma" w:cs="Tahoma"/>
              </w:rPr>
              <w:t>Select / Select Plus*</w:t>
            </w:r>
          </w:p>
        </w:tc>
        <w:tc>
          <w:tcPr>
            <w:tcW w:w="1287" w:type="dxa"/>
            <w:gridSpan w:val="3"/>
            <w:tcBorders>
              <w:left w:val="single" w:sz="18" w:space="0" w:color="auto"/>
              <w:right w:val="single" w:sz="18" w:space="0" w:color="auto"/>
            </w:tcBorders>
            <w:vAlign w:val="center"/>
          </w:tcPr>
          <w:p w:rsidR="00913A0A" w:rsidRPr="004B208C" w:rsidRDefault="00913A0A">
            <w:pPr>
              <w:pStyle w:val="TableHeadingsBlack"/>
              <w:widowControl w:val="0"/>
              <w:rPr>
                <w:rFonts w:ascii="Tahoma" w:hAnsi="Tahoma" w:cs="Tahoma"/>
              </w:rPr>
            </w:pPr>
            <w:r w:rsidRPr="004B208C">
              <w:rPr>
                <w:rFonts w:ascii="Tahoma" w:hAnsi="Tahoma" w:cs="Tahoma"/>
              </w:rPr>
              <w:t>Licença Open</w:t>
            </w:r>
          </w:p>
        </w:tc>
        <w:tc>
          <w:tcPr>
            <w:tcW w:w="541" w:type="dxa"/>
            <w:tcBorders>
              <w:left w:val="single" w:sz="18" w:space="0" w:color="auto"/>
            </w:tcBorders>
            <w:textDirection w:val="btLr"/>
            <w:vAlign w:val="center"/>
          </w:tcPr>
          <w:p w:rsidR="00913A0A" w:rsidRPr="004B208C" w:rsidRDefault="00913A0A" w:rsidP="00472778">
            <w:pPr>
              <w:pStyle w:val="TableVerticalText"/>
              <w:widowControl w:val="0"/>
              <w:rPr>
                <w:rFonts w:ascii="Tahoma" w:hAnsi="Tahoma" w:cs="Tahoma"/>
              </w:rPr>
            </w:pPr>
            <w:r w:rsidRPr="004B208C">
              <w:rPr>
                <w:rFonts w:ascii="Tahoma" w:hAnsi="Tahoma" w:cs="Tahoma"/>
              </w:rPr>
              <w:t>Unidades Campus e School</w:t>
            </w:r>
          </w:p>
        </w:tc>
        <w:tc>
          <w:tcPr>
            <w:tcW w:w="378" w:type="dxa"/>
            <w:tcBorders>
              <w:right w:val="single" w:sz="18" w:space="0" w:color="auto"/>
            </w:tcBorders>
            <w:textDirection w:val="btLr"/>
            <w:vAlign w:val="center"/>
          </w:tcPr>
          <w:p w:rsidR="00913A0A" w:rsidRPr="004B208C" w:rsidRDefault="00913A0A" w:rsidP="00472778">
            <w:pPr>
              <w:pStyle w:val="TableVerticalText"/>
              <w:widowControl w:val="0"/>
              <w:rPr>
                <w:rFonts w:ascii="Tahoma" w:hAnsi="Tahoma" w:cs="Tahoma"/>
              </w:rPr>
            </w:pPr>
            <w:r w:rsidRPr="004B208C">
              <w:rPr>
                <w:rFonts w:ascii="Tahoma" w:hAnsi="Tahoma" w:cs="Tahoma"/>
              </w:rPr>
              <w:t>EA e EA Sub</w:t>
            </w:r>
          </w:p>
        </w:tc>
        <w:tc>
          <w:tcPr>
            <w:tcW w:w="342" w:type="dxa"/>
            <w:tcBorders>
              <w:left w:val="single" w:sz="18" w:space="0" w:color="auto"/>
              <w:right w:val="single" w:sz="18" w:space="0" w:color="auto"/>
            </w:tcBorders>
            <w:textDirection w:val="btLr"/>
            <w:vAlign w:val="center"/>
          </w:tcPr>
          <w:p w:rsidR="00913A0A" w:rsidRPr="004B208C" w:rsidRDefault="00913A0A" w:rsidP="00472778">
            <w:pPr>
              <w:pStyle w:val="TableVerticalText"/>
              <w:widowControl w:val="0"/>
              <w:rPr>
                <w:rFonts w:ascii="Tahoma" w:hAnsi="Tahoma" w:cs="Tahoma"/>
              </w:rPr>
            </w:pPr>
            <w:r w:rsidRPr="004B208C">
              <w:rPr>
                <w:rFonts w:ascii="Tahoma" w:hAnsi="Tahoma" w:cs="Tahoma"/>
              </w:rPr>
              <w:t>OV / OVS</w:t>
            </w:r>
          </w:p>
        </w:tc>
        <w:tc>
          <w:tcPr>
            <w:tcW w:w="630" w:type="dxa"/>
            <w:textDirection w:val="btLr"/>
            <w:vAlign w:val="center"/>
          </w:tcPr>
          <w:p w:rsidR="00913A0A" w:rsidRPr="004B208C" w:rsidRDefault="00913A0A" w:rsidP="00472778">
            <w:pPr>
              <w:pStyle w:val="TableVerticalText"/>
              <w:widowControl w:val="0"/>
              <w:spacing w:before="120"/>
              <w:rPr>
                <w:rFonts w:ascii="Tahoma" w:hAnsi="Tahoma" w:cs="Tahoma"/>
              </w:rPr>
            </w:pPr>
            <w:r w:rsidRPr="004B208C">
              <w:rPr>
                <w:rFonts w:ascii="Tahoma" w:hAnsi="Tahoma" w:cs="Tahoma"/>
              </w:rPr>
              <w:t>EES / OVS -ES</w:t>
            </w:r>
          </w:p>
        </w:tc>
        <w:tc>
          <w:tcPr>
            <w:tcW w:w="477" w:type="dxa"/>
            <w:textDirection w:val="btLr"/>
            <w:vAlign w:val="center"/>
          </w:tcPr>
          <w:p w:rsidR="00913A0A" w:rsidRPr="004B208C" w:rsidRDefault="00913A0A" w:rsidP="00472778">
            <w:pPr>
              <w:pStyle w:val="TableVerticalText"/>
              <w:widowControl w:val="0"/>
              <w:rPr>
                <w:rFonts w:ascii="Tahoma" w:hAnsi="Tahoma" w:cs="Tahoma"/>
              </w:rPr>
            </w:pPr>
            <w:r w:rsidRPr="004B208C">
              <w:rPr>
                <w:rFonts w:ascii="Tahoma" w:hAnsi="Tahoma" w:cs="Tahoma"/>
              </w:rPr>
              <w:t>Mínimo de Licenças Open</w:t>
            </w:r>
          </w:p>
        </w:tc>
        <w:tc>
          <w:tcPr>
            <w:tcW w:w="335" w:type="dxa"/>
            <w:textDirection w:val="btLr"/>
            <w:vAlign w:val="center"/>
          </w:tcPr>
          <w:p w:rsidR="00913A0A" w:rsidRPr="004B208C" w:rsidRDefault="00913A0A" w:rsidP="00472778">
            <w:pPr>
              <w:pStyle w:val="TableVerticalText"/>
              <w:widowControl w:val="0"/>
              <w:rPr>
                <w:rFonts w:ascii="Tahoma" w:hAnsi="Tahoma" w:cs="Tahoma"/>
              </w:rPr>
            </w:pPr>
            <w:r w:rsidRPr="004B208C">
              <w:rPr>
                <w:rFonts w:ascii="Tahoma" w:hAnsi="Tahoma" w:cs="Tahoma"/>
              </w:rPr>
              <w:t>SCE</w:t>
            </w:r>
          </w:p>
        </w:tc>
      </w:tr>
      <w:tr w:rsidR="00913A0A" w:rsidRPr="004B208C" w:rsidTr="008B1045">
        <w:trPr>
          <w:cantSplit/>
          <w:trHeight w:val="271"/>
          <w:tblHeader/>
        </w:trPr>
        <w:tc>
          <w:tcPr>
            <w:tcW w:w="2371" w:type="dxa"/>
            <w:vMerge w:val="restart"/>
            <w:tcBorders>
              <w:top w:val="nil"/>
              <w:left w:val="nil"/>
            </w:tcBorders>
          </w:tcPr>
          <w:p w:rsidR="00913A0A" w:rsidRPr="004B208C" w:rsidRDefault="00913A0A">
            <w:pPr>
              <w:widowControl w:val="0"/>
              <w:rPr>
                <w:rFonts w:cs="Tahoma"/>
                <w:b/>
              </w:rPr>
            </w:pPr>
          </w:p>
        </w:tc>
        <w:tc>
          <w:tcPr>
            <w:tcW w:w="429" w:type="dxa"/>
            <w:vMerge w:val="restart"/>
          </w:tcPr>
          <w:p w:rsidR="00913A0A" w:rsidRPr="004B208C" w:rsidRDefault="00913A0A">
            <w:pPr>
              <w:keepNext/>
              <w:widowControl w:val="0"/>
              <w:spacing w:before="200" w:after="120"/>
              <w:jc w:val="center"/>
              <w:outlineLvl w:val="0"/>
              <w:rPr>
                <w:rFonts w:cs="Tahoma"/>
                <w:b/>
                <w:color w:val="0000FF"/>
                <w:sz w:val="10"/>
              </w:rPr>
            </w:pPr>
            <w:r w:rsidRPr="004B208C">
              <w:rPr>
                <w:rFonts w:cs="Tahoma"/>
                <w:b/>
                <w:color w:val="0000FF"/>
                <w:sz w:val="10"/>
              </w:rPr>
              <w:t>(Ctrl + clique)</w:t>
            </w:r>
          </w:p>
        </w:tc>
        <w:tc>
          <w:tcPr>
            <w:tcW w:w="429" w:type="dxa"/>
            <w:vMerge w:val="restart"/>
          </w:tcPr>
          <w:p w:rsidR="00913A0A" w:rsidRPr="004B208C" w:rsidRDefault="00913A0A">
            <w:pPr>
              <w:widowControl w:val="0"/>
              <w:rPr>
                <w:rFonts w:cs="Tahoma"/>
              </w:rPr>
            </w:pPr>
          </w:p>
        </w:tc>
        <w:tc>
          <w:tcPr>
            <w:tcW w:w="429" w:type="dxa"/>
            <w:vMerge w:val="restart"/>
            <w:tcBorders>
              <w:right w:val="single" w:sz="18" w:space="0" w:color="auto"/>
            </w:tcBorders>
          </w:tcPr>
          <w:p w:rsidR="00913A0A" w:rsidRPr="004B208C" w:rsidRDefault="00913A0A">
            <w:pPr>
              <w:widowControl w:val="0"/>
              <w:rPr>
                <w:rFonts w:cs="Tahoma"/>
              </w:rPr>
            </w:pPr>
          </w:p>
        </w:tc>
        <w:tc>
          <w:tcPr>
            <w:tcW w:w="429" w:type="dxa"/>
            <w:vMerge w:val="restart"/>
            <w:tcBorders>
              <w:left w:val="single" w:sz="18" w:space="0" w:color="auto"/>
            </w:tcBorders>
            <w:vAlign w:val="center"/>
          </w:tcPr>
          <w:p w:rsidR="00913A0A" w:rsidRPr="004B208C" w:rsidRDefault="00913A0A">
            <w:pPr>
              <w:pStyle w:val="TableHeadingsRed"/>
              <w:widowControl w:val="0"/>
              <w:rPr>
                <w:rFonts w:ascii="Tahoma" w:hAnsi="Tahoma" w:cs="Tahoma"/>
              </w:rPr>
            </w:pPr>
            <w:r w:rsidRPr="004B208C">
              <w:rPr>
                <w:rFonts w:ascii="Tahoma" w:hAnsi="Tahoma" w:cs="Tahoma"/>
              </w:rPr>
              <w:t>L</w:t>
            </w:r>
          </w:p>
        </w:tc>
        <w:tc>
          <w:tcPr>
            <w:tcW w:w="1287" w:type="dxa"/>
            <w:gridSpan w:val="3"/>
            <w:vAlign w:val="center"/>
          </w:tcPr>
          <w:p w:rsidR="00913A0A" w:rsidRPr="004B208C" w:rsidRDefault="00913A0A">
            <w:pPr>
              <w:pStyle w:val="TableHeadingsGreen"/>
              <w:widowControl w:val="0"/>
              <w:rPr>
                <w:rFonts w:ascii="Tahoma" w:hAnsi="Tahoma" w:cs="Tahoma"/>
              </w:rPr>
            </w:pPr>
            <w:r w:rsidRPr="004B208C">
              <w:rPr>
                <w:rFonts w:ascii="Tahoma" w:hAnsi="Tahoma" w:cs="Tahoma"/>
              </w:rPr>
              <w:t>L&amp;SA</w:t>
            </w:r>
          </w:p>
        </w:tc>
        <w:tc>
          <w:tcPr>
            <w:tcW w:w="1287" w:type="dxa"/>
            <w:gridSpan w:val="3"/>
            <w:tcBorders>
              <w:right w:val="single" w:sz="18" w:space="0" w:color="auto"/>
            </w:tcBorders>
            <w:vAlign w:val="center"/>
          </w:tcPr>
          <w:p w:rsidR="00913A0A" w:rsidRPr="004B208C" w:rsidRDefault="00913A0A">
            <w:pPr>
              <w:pStyle w:val="TableHeadingsBlue"/>
              <w:widowControl w:val="0"/>
              <w:rPr>
                <w:rFonts w:ascii="Tahoma" w:hAnsi="Tahoma" w:cs="Tahoma"/>
              </w:rPr>
            </w:pPr>
            <w:r w:rsidRPr="004B208C">
              <w:rPr>
                <w:rFonts w:ascii="Tahoma" w:hAnsi="Tahoma" w:cs="Tahoma"/>
              </w:rPr>
              <w:t>SA</w:t>
            </w:r>
          </w:p>
        </w:tc>
        <w:tc>
          <w:tcPr>
            <w:tcW w:w="429" w:type="dxa"/>
            <w:vMerge w:val="restart"/>
            <w:tcBorders>
              <w:left w:val="single" w:sz="18" w:space="0" w:color="auto"/>
            </w:tcBorders>
            <w:vAlign w:val="center"/>
          </w:tcPr>
          <w:p w:rsidR="00913A0A" w:rsidRPr="004B208C" w:rsidRDefault="00913A0A">
            <w:pPr>
              <w:pStyle w:val="TableHeadingsRed"/>
              <w:widowControl w:val="0"/>
              <w:rPr>
                <w:rFonts w:ascii="Tahoma" w:hAnsi="Tahoma" w:cs="Tahoma"/>
              </w:rPr>
            </w:pPr>
            <w:r w:rsidRPr="004B208C">
              <w:rPr>
                <w:rFonts w:ascii="Tahoma" w:hAnsi="Tahoma" w:cs="Tahoma"/>
              </w:rPr>
              <w:t>L</w:t>
            </w:r>
          </w:p>
        </w:tc>
        <w:tc>
          <w:tcPr>
            <w:tcW w:w="429" w:type="dxa"/>
            <w:vAlign w:val="center"/>
          </w:tcPr>
          <w:p w:rsidR="00913A0A" w:rsidRPr="004B208C" w:rsidRDefault="00913A0A">
            <w:pPr>
              <w:pStyle w:val="TableHeadingsGreen"/>
              <w:widowControl w:val="0"/>
              <w:rPr>
                <w:rFonts w:ascii="Tahoma" w:hAnsi="Tahoma" w:cs="Tahoma"/>
              </w:rPr>
            </w:pPr>
            <w:r w:rsidRPr="004B208C">
              <w:rPr>
                <w:rFonts w:ascii="Tahoma" w:hAnsi="Tahoma" w:cs="Tahoma"/>
              </w:rPr>
              <w:t>L&amp;SA</w:t>
            </w:r>
          </w:p>
        </w:tc>
        <w:tc>
          <w:tcPr>
            <w:tcW w:w="429" w:type="dxa"/>
            <w:vMerge w:val="restart"/>
            <w:tcBorders>
              <w:right w:val="single" w:sz="18" w:space="0" w:color="auto"/>
            </w:tcBorders>
            <w:vAlign w:val="center"/>
          </w:tcPr>
          <w:p w:rsidR="00913A0A" w:rsidRPr="004B208C" w:rsidRDefault="00913A0A">
            <w:pPr>
              <w:pStyle w:val="TableHeadingsBlue"/>
              <w:widowControl w:val="0"/>
              <w:rPr>
                <w:rFonts w:ascii="Tahoma" w:hAnsi="Tahoma" w:cs="Tahoma"/>
              </w:rPr>
            </w:pPr>
            <w:r w:rsidRPr="004B208C">
              <w:rPr>
                <w:rFonts w:ascii="Tahoma" w:hAnsi="Tahoma" w:cs="Tahoma"/>
              </w:rPr>
              <w:t>SA</w:t>
            </w:r>
          </w:p>
        </w:tc>
        <w:tc>
          <w:tcPr>
            <w:tcW w:w="541" w:type="dxa"/>
            <w:vMerge w:val="restart"/>
            <w:tcBorders>
              <w:left w:val="single" w:sz="18" w:space="0" w:color="auto"/>
            </w:tcBorders>
          </w:tcPr>
          <w:p w:rsidR="00913A0A" w:rsidRPr="004B208C" w:rsidRDefault="00913A0A" w:rsidP="00097B90">
            <w:pPr>
              <w:widowControl w:val="0"/>
              <w:rPr>
                <w:rFonts w:cs="Tahoma"/>
              </w:rPr>
            </w:pPr>
          </w:p>
        </w:tc>
        <w:tc>
          <w:tcPr>
            <w:tcW w:w="378" w:type="dxa"/>
            <w:vMerge w:val="restart"/>
            <w:tcBorders>
              <w:right w:val="single" w:sz="18" w:space="0" w:color="auto"/>
            </w:tcBorders>
          </w:tcPr>
          <w:p w:rsidR="00913A0A" w:rsidRPr="004B208C" w:rsidRDefault="00913A0A">
            <w:pPr>
              <w:widowControl w:val="0"/>
              <w:rPr>
                <w:rFonts w:cs="Tahoma"/>
              </w:rPr>
            </w:pPr>
          </w:p>
        </w:tc>
        <w:tc>
          <w:tcPr>
            <w:tcW w:w="342" w:type="dxa"/>
            <w:vMerge w:val="restart"/>
            <w:tcBorders>
              <w:left w:val="single" w:sz="18" w:space="0" w:color="auto"/>
              <w:right w:val="single" w:sz="18" w:space="0" w:color="auto"/>
            </w:tcBorders>
          </w:tcPr>
          <w:p w:rsidR="00913A0A" w:rsidRPr="004B208C" w:rsidRDefault="00913A0A">
            <w:pPr>
              <w:widowControl w:val="0"/>
              <w:rPr>
                <w:rFonts w:cs="Tahoma"/>
              </w:rPr>
            </w:pPr>
          </w:p>
        </w:tc>
        <w:tc>
          <w:tcPr>
            <w:tcW w:w="630" w:type="dxa"/>
            <w:vMerge w:val="restart"/>
          </w:tcPr>
          <w:p w:rsidR="00913A0A" w:rsidRPr="004B208C" w:rsidRDefault="00913A0A">
            <w:pPr>
              <w:widowControl w:val="0"/>
              <w:rPr>
                <w:rFonts w:cs="Tahoma"/>
              </w:rPr>
            </w:pPr>
          </w:p>
        </w:tc>
        <w:tc>
          <w:tcPr>
            <w:tcW w:w="477" w:type="dxa"/>
            <w:vMerge w:val="restart"/>
          </w:tcPr>
          <w:p w:rsidR="00913A0A" w:rsidRPr="004B208C" w:rsidRDefault="00913A0A">
            <w:pPr>
              <w:widowControl w:val="0"/>
              <w:rPr>
                <w:rFonts w:cs="Tahoma"/>
              </w:rPr>
            </w:pPr>
          </w:p>
        </w:tc>
        <w:tc>
          <w:tcPr>
            <w:tcW w:w="335" w:type="dxa"/>
          </w:tcPr>
          <w:p w:rsidR="00913A0A" w:rsidRPr="004B208C" w:rsidRDefault="00913A0A">
            <w:pPr>
              <w:widowControl w:val="0"/>
              <w:rPr>
                <w:rFonts w:cs="Tahoma"/>
              </w:rPr>
            </w:pPr>
          </w:p>
        </w:tc>
      </w:tr>
      <w:tr w:rsidR="00913A0A" w:rsidRPr="004B208C" w:rsidTr="008B1045">
        <w:trPr>
          <w:cantSplit/>
          <w:trHeight w:val="262"/>
          <w:tblHeader/>
        </w:trPr>
        <w:tc>
          <w:tcPr>
            <w:tcW w:w="2371" w:type="dxa"/>
            <w:vMerge/>
            <w:tcBorders>
              <w:top w:val="single" w:sz="4" w:space="0" w:color="auto"/>
              <w:left w:val="nil"/>
              <w:bottom w:val="single" w:sz="4" w:space="0" w:color="auto"/>
            </w:tcBorders>
          </w:tcPr>
          <w:p w:rsidR="00913A0A" w:rsidRPr="004B208C" w:rsidRDefault="00913A0A">
            <w:pPr>
              <w:widowControl w:val="0"/>
              <w:rPr>
                <w:rFonts w:cs="Tahoma"/>
              </w:rPr>
            </w:pPr>
          </w:p>
        </w:tc>
        <w:tc>
          <w:tcPr>
            <w:tcW w:w="429" w:type="dxa"/>
            <w:vMerge/>
            <w:tcBorders>
              <w:bottom w:val="single" w:sz="4" w:space="0" w:color="auto"/>
            </w:tcBorders>
          </w:tcPr>
          <w:p w:rsidR="00913A0A" w:rsidRPr="004B208C" w:rsidRDefault="00913A0A">
            <w:pPr>
              <w:keepNext/>
              <w:widowControl w:val="0"/>
              <w:spacing w:before="200" w:after="120"/>
              <w:outlineLvl w:val="0"/>
              <w:rPr>
                <w:rFonts w:cs="Tahoma"/>
                <w:b/>
              </w:rPr>
            </w:pPr>
          </w:p>
        </w:tc>
        <w:tc>
          <w:tcPr>
            <w:tcW w:w="429" w:type="dxa"/>
            <w:vMerge/>
            <w:tcBorders>
              <w:bottom w:val="single" w:sz="4" w:space="0" w:color="auto"/>
            </w:tcBorders>
          </w:tcPr>
          <w:p w:rsidR="00913A0A" w:rsidRPr="004B208C" w:rsidRDefault="00913A0A">
            <w:pPr>
              <w:widowControl w:val="0"/>
              <w:rPr>
                <w:rFonts w:cs="Tahoma"/>
              </w:rPr>
            </w:pPr>
          </w:p>
        </w:tc>
        <w:tc>
          <w:tcPr>
            <w:tcW w:w="429" w:type="dxa"/>
            <w:vMerge/>
            <w:tcBorders>
              <w:bottom w:val="single" w:sz="4" w:space="0" w:color="auto"/>
              <w:right w:val="single" w:sz="18" w:space="0" w:color="auto"/>
            </w:tcBorders>
          </w:tcPr>
          <w:p w:rsidR="00913A0A" w:rsidRPr="004B208C" w:rsidRDefault="00913A0A">
            <w:pPr>
              <w:widowControl w:val="0"/>
              <w:rPr>
                <w:rFonts w:cs="Tahoma"/>
              </w:rPr>
            </w:pPr>
          </w:p>
        </w:tc>
        <w:tc>
          <w:tcPr>
            <w:tcW w:w="429" w:type="dxa"/>
            <w:vMerge/>
            <w:tcBorders>
              <w:left w:val="single" w:sz="18" w:space="0" w:color="auto"/>
              <w:bottom w:val="single" w:sz="4" w:space="0" w:color="auto"/>
            </w:tcBorders>
            <w:vAlign w:val="center"/>
          </w:tcPr>
          <w:p w:rsidR="00913A0A" w:rsidRPr="004B208C" w:rsidRDefault="00913A0A">
            <w:pPr>
              <w:widowControl w:val="0"/>
              <w:jc w:val="center"/>
              <w:rPr>
                <w:rFonts w:cs="Tahoma"/>
              </w:rPr>
            </w:pPr>
          </w:p>
        </w:tc>
        <w:tc>
          <w:tcPr>
            <w:tcW w:w="429" w:type="dxa"/>
            <w:tcBorders>
              <w:bottom w:val="single" w:sz="4" w:space="0" w:color="auto"/>
            </w:tcBorders>
            <w:vAlign w:val="center"/>
          </w:tcPr>
          <w:p w:rsidR="00913A0A" w:rsidRPr="004B208C" w:rsidRDefault="00913A0A">
            <w:pPr>
              <w:pStyle w:val="TableHeadingsGreen"/>
              <w:widowControl w:val="0"/>
              <w:rPr>
                <w:rFonts w:ascii="Tahoma" w:hAnsi="Tahoma" w:cs="Tahoma"/>
              </w:rPr>
            </w:pPr>
            <w:r w:rsidRPr="004B208C">
              <w:rPr>
                <w:rFonts w:ascii="Tahoma" w:hAnsi="Tahoma" w:cs="Tahoma"/>
              </w:rPr>
              <w:t>3An</w:t>
            </w:r>
          </w:p>
        </w:tc>
        <w:tc>
          <w:tcPr>
            <w:tcW w:w="429" w:type="dxa"/>
            <w:tcBorders>
              <w:bottom w:val="single" w:sz="4" w:space="0" w:color="auto"/>
            </w:tcBorders>
            <w:vAlign w:val="center"/>
          </w:tcPr>
          <w:p w:rsidR="00913A0A" w:rsidRPr="004B208C" w:rsidRDefault="00913A0A">
            <w:pPr>
              <w:pStyle w:val="TableHeadingsGreen"/>
              <w:widowControl w:val="0"/>
              <w:rPr>
                <w:rFonts w:ascii="Tahoma" w:hAnsi="Tahoma" w:cs="Tahoma"/>
              </w:rPr>
            </w:pPr>
            <w:r w:rsidRPr="004B208C">
              <w:rPr>
                <w:rFonts w:ascii="Tahoma" w:hAnsi="Tahoma" w:cs="Tahoma"/>
              </w:rPr>
              <w:t>2An</w:t>
            </w:r>
          </w:p>
        </w:tc>
        <w:tc>
          <w:tcPr>
            <w:tcW w:w="429" w:type="dxa"/>
            <w:tcBorders>
              <w:bottom w:val="single" w:sz="4" w:space="0" w:color="auto"/>
            </w:tcBorders>
            <w:vAlign w:val="center"/>
          </w:tcPr>
          <w:p w:rsidR="00913A0A" w:rsidRPr="004B208C" w:rsidRDefault="00913A0A">
            <w:pPr>
              <w:pStyle w:val="TableHeadingsGreen"/>
              <w:widowControl w:val="0"/>
              <w:rPr>
                <w:rFonts w:ascii="Tahoma" w:hAnsi="Tahoma" w:cs="Tahoma"/>
              </w:rPr>
            </w:pPr>
            <w:r w:rsidRPr="004B208C">
              <w:rPr>
                <w:rFonts w:ascii="Tahoma" w:hAnsi="Tahoma" w:cs="Tahoma"/>
              </w:rPr>
              <w:t>1An</w:t>
            </w:r>
          </w:p>
        </w:tc>
        <w:tc>
          <w:tcPr>
            <w:tcW w:w="429" w:type="dxa"/>
            <w:tcBorders>
              <w:bottom w:val="single" w:sz="4" w:space="0" w:color="auto"/>
            </w:tcBorders>
            <w:vAlign w:val="center"/>
          </w:tcPr>
          <w:p w:rsidR="00913A0A" w:rsidRPr="004B208C" w:rsidRDefault="00913A0A">
            <w:pPr>
              <w:pStyle w:val="TableHeadingsBlue"/>
              <w:widowControl w:val="0"/>
              <w:rPr>
                <w:rFonts w:ascii="Tahoma" w:hAnsi="Tahoma" w:cs="Tahoma"/>
              </w:rPr>
            </w:pPr>
            <w:r w:rsidRPr="004B208C">
              <w:rPr>
                <w:rFonts w:ascii="Tahoma" w:hAnsi="Tahoma" w:cs="Tahoma"/>
              </w:rPr>
              <w:t>3An</w:t>
            </w:r>
          </w:p>
        </w:tc>
        <w:tc>
          <w:tcPr>
            <w:tcW w:w="429" w:type="dxa"/>
            <w:tcBorders>
              <w:bottom w:val="single" w:sz="4" w:space="0" w:color="auto"/>
            </w:tcBorders>
            <w:vAlign w:val="center"/>
          </w:tcPr>
          <w:p w:rsidR="00913A0A" w:rsidRPr="004B208C" w:rsidRDefault="00913A0A">
            <w:pPr>
              <w:pStyle w:val="TableHeadingsBlue"/>
              <w:widowControl w:val="0"/>
              <w:rPr>
                <w:rFonts w:ascii="Tahoma" w:hAnsi="Tahoma" w:cs="Tahoma"/>
              </w:rPr>
            </w:pPr>
            <w:r w:rsidRPr="004B208C">
              <w:rPr>
                <w:rFonts w:ascii="Tahoma" w:hAnsi="Tahoma" w:cs="Tahoma"/>
              </w:rPr>
              <w:t>2An</w:t>
            </w:r>
          </w:p>
        </w:tc>
        <w:tc>
          <w:tcPr>
            <w:tcW w:w="429" w:type="dxa"/>
            <w:tcBorders>
              <w:bottom w:val="single" w:sz="4" w:space="0" w:color="auto"/>
              <w:right w:val="single" w:sz="18" w:space="0" w:color="auto"/>
            </w:tcBorders>
            <w:vAlign w:val="center"/>
          </w:tcPr>
          <w:p w:rsidR="00913A0A" w:rsidRPr="004B208C" w:rsidRDefault="00913A0A">
            <w:pPr>
              <w:pStyle w:val="TableHeadingsBlue"/>
              <w:widowControl w:val="0"/>
              <w:rPr>
                <w:rFonts w:ascii="Tahoma" w:hAnsi="Tahoma" w:cs="Tahoma"/>
              </w:rPr>
            </w:pPr>
            <w:r w:rsidRPr="004B208C">
              <w:rPr>
                <w:rFonts w:ascii="Tahoma" w:hAnsi="Tahoma" w:cs="Tahoma"/>
              </w:rPr>
              <w:t>1An</w:t>
            </w:r>
          </w:p>
        </w:tc>
        <w:tc>
          <w:tcPr>
            <w:tcW w:w="429" w:type="dxa"/>
            <w:vMerge/>
            <w:tcBorders>
              <w:left w:val="single" w:sz="18" w:space="0" w:color="auto"/>
              <w:bottom w:val="single" w:sz="4" w:space="0" w:color="auto"/>
            </w:tcBorders>
            <w:vAlign w:val="center"/>
          </w:tcPr>
          <w:p w:rsidR="00913A0A" w:rsidRPr="004B208C" w:rsidRDefault="00913A0A">
            <w:pPr>
              <w:widowControl w:val="0"/>
              <w:jc w:val="center"/>
              <w:rPr>
                <w:rFonts w:cs="Tahoma"/>
              </w:rPr>
            </w:pPr>
          </w:p>
        </w:tc>
        <w:tc>
          <w:tcPr>
            <w:tcW w:w="429" w:type="dxa"/>
            <w:tcBorders>
              <w:bottom w:val="single" w:sz="4" w:space="0" w:color="auto"/>
            </w:tcBorders>
            <w:vAlign w:val="center"/>
          </w:tcPr>
          <w:p w:rsidR="00913A0A" w:rsidRPr="004B208C" w:rsidRDefault="00913A0A">
            <w:pPr>
              <w:pStyle w:val="TableHeadingsGreen"/>
              <w:widowControl w:val="0"/>
              <w:rPr>
                <w:rFonts w:ascii="Tahoma" w:hAnsi="Tahoma" w:cs="Tahoma"/>
              </w:rPr>
            </w:pPr>
            <w:r w:rsidRPr="004B208C">
              <w:rPr>
                <w:rFonts w:ascii="Tahoma" w:hAnsi="Tahoma" w:cs="Tahoma"/>
              </w:rPr>
              <w:t>P</w:t>
            </w:r>
          </w:p>
        </w:tc>
        <w:tc>
          <w:tcPr>
            <w:tcW w:w="429" w:type="dxa"/>
            <w:vMerge/>
            <w:tcBorders>
              <w:bottom w:val="single" w:sz="4" w:space="0" w:color="auto"/>
              <w:right w:val="single" w:sz="18" w:space="0" w:color="auto"/>
            </w:tcBorders>
          </w:tcPr>
          <w:p w:rsidR="00913A0A" w:rsidRPr="004B208C" w:rsidRDefault="00913A0A">
            <w:pPr>
              <w:widowControl w:val="0"/>
              <w:rPr>
                <w:rFonts w:cs="Tahoma"/>
              </w:rPr>
            </w:pPr>
          </w:p>
        </w:tc>
        <w:tc>
          <w:tcPr>
            <w:tcW w:w="541" w:type="dxa"/>
            <w:vMerge/>
            <w:tcBorders>
              <w:left w:val="single" w:sz="18" w:space="0" w:color="auto"/>
              <w:bottom w:val="single" w:sz="4" w:space="0" w:color="auto"/>
            </w:tcBorders>
          </w:tcPr>
          <w:p w:rsidR="00913A0A" w:rsidRPr="004B208C" w:rsidRDefault="00913A0A">
            <w:pPr>
              <w:widowControl w:val="0"/>
              <w:rPr>
                <w:rFonts w:cs="Tahoma"/>
              </w:rPr>
            </w:pPr>
          </w:p>
        </w:tc>
        <w:tc>
          <w:tcPr>
            <w:tcW w:w="378" w:type="dxa"/>
            <w:vMerge/>
            <w:tcBorders>
              <w:bottom w:val="single" w:sz="4" w:space="0" w:color="auto"/>
              <w:right w:val="single" w:sz="18" w:space="0" w:color="auto"/>
            </w:tcBorders>
          </w:tcPr>
          <w:p w:rsidR="00913A0A" w:rsidRPr="004B208C" w:rsidRDefault="00913A0A">
            <w:pPr>
              <w:widowControl w:val="0"/>
              <w:rPr>
                <w:rFonts w:cs="Tahoma"/>
              </w:rPr>
            </w:pPr>
          </w:p>
        </w:tc>
        <w:tc>
          <w:tcPr>
            <w:tcW w:w="342" w:type="dxa"/>
            <w:vMerge/>
            <w:tcBorders>
              <w:left w:val="single" w:sz="18" w:space="0" w:color="auto"/>
              <w:bottom w:val="single" w:sz="4" w:space="0" w:color="auto"/>
              <w:right w:val="single" w:sz="18" w:space="0" w:color="auto"/>
            </w:tcBorders>
          </w:tcPr>
          <w:p w:rsidR="00913A0A" w:rsidRPr="004B208C" w:rsidRDefault="00913A0A">
            <w:pPr>
              <w:widowControl w:val="0"/>
              <w:rPr>
                <w:rFonts w:cs="Tahoma"/>
              </w:rPr>
            </w:pPr>
          </w:p>
        </w:tc>
        <w:tc>
          <w:tcPr>
            <w:tcW w:w="630" w:type="dxa"/>
            <w:vMerge/>
            <w:tcBorders>
              <w:bottom w:val="single" w:sz="4" w:space="0" w:color="auto"/>
            </w:tcBorders>
          </w:tcPr>
          <w:p w:rsidR="00913A0A" w:rsidRPr="004B208C" w:rsidRDefault="00913A0A">
            <w:pPr>
              <w:widowControl w:val="0"/>
              <w:rPr>
                <w:rFonts w:cs="Tahoma"/>
              </w:rPr>
            </w:pPr>
          </w:p>
        </w:tc>
        <w:tc>
          <w:tcPr>
            <w:tcW w:w="477" w:type="dxa"/>
            <w:vMerge/>
            <w:tcBorders>
              <w:bottom w:val="single" w:sz="4" w:space="0" w:color="auto"/>
            </w:tcBorders>
          </w:tcPr>
          <w:p w:rsidR="00913A0A" w:rsidRPr="004B208C" w:rsidRDefault="00913A0A">
            <w:pPr>
              <w:widowControl w:val="0"/>
              <w:rPr>
                <w:rFonts w:cs="Tahoma"/>
              </w:rPr>
            </w:pPr>
          </w:p>
        </w:tc>
        <w:tc>
          <w:tcPr>
            <w:tcW w:w="335" w:type="dxa"/>
            <w:tcBorders>
              <w:bottom w:val="single" w:sz="4" w:space="0" w:color="auto"/>
            </w:tcBorders>
          </w:tcPr>
          <w:p w:rsidR="00913A0A" w:rsidRPr="004B208C" w:rsidRDefault="00913A0A">
            <w:pPr>
              <w:widowControl w:val="0"/>
              <w:rPr>
                <w:rFonts w:cs="Tahoma"/>
              </w:rPr>
            </w:pPr>
          </w:p>
        </w:tc>
      </w:tr>
      <w:tr w:rsidR="008A0F85" w:rsidRPr="004B208C" w:rsidTr="008B1045">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16" w:name="_Toc336337843"/>
            <w:bookmarkStart w:id="17" w:name="_Toc370980975"/>
            <w:r w:rsidRPr="004B208C">
              <w:rPr>
                <w:rFonts w:ascii="Tahoma" w:hAnsi="Tahoma" w:cs="Tahoma"/>
                <w:sz w:val="14"/>
              </w:rPr>
              <w:t xml:space="preserve">Access </w:t>
            </w:r>
            <w:bookmarkEnd w:id="16"/>
            <w:r w:rsidRPr="004B208C">
              <w:rPr>
                <w:rFonts w:ascii="Tahoma" w:hAnsi="Tahoma" w:cs="Tahoma"/>
                <w:sz w:val="14"/>
              </w:rPr>
              <w:t>2013</w:t>
            </w:r>
            <w:bookmarkEnd w:id="17"/>
          </w:p>
        </w:tc>
        <w:tc>
          <w:tcPr>
            <w:tcW w:w="429" w:type="dxa"/>
            <w:tcBorders>
              <w:bottom w:val="single" w:sz="3" w:space="0" w:color="auto"/>
            </w:tcBorders>
            <w:shd w:val="clear" w:color="auto" w:fill="FABF8F"/>
            <w:vAlign w:val="center"/>
          </w:tcPr>
          <w:p w:rsidR="00913A0A" w:rsidRPr="003435FB" w:rsidRDefault="00913A0A">
            <w:pPr>
              <w:pStyle w:val="TableText"/>
              <w:widowControl w:val="0"/>
              <w:rPr>
                <w:rStyle w:val="EndnoteReference"/>
                <w:rFonts w:cs="Tahoma"/>
                <w:b w:val="0"/>
                <w:color w:val="0000FF"/>
                <w:sz w:val="13"/>
                <w:szCs w:val="13"/>
                <w:u w:val="single"/>
              </w:rPr>
            </w:pPr>
          </w:p>
        </w:tc>
        <w:tc>
          <w:tcPr>
            <w:tcW w:w="429" w:type="dxa"/>
            <w:tcBorders>
              <w:bottom w:val="single" w:sz="3" w:space="0" w:color="auto"/>
            </w:tcBorders>
            <w:shd w:val="clear" w:color="auto" w:fill="FABF8F"/>
            <w:vAlign w:val="center"/>
          </w:tcPr>
          <w:p w:rsidR="00913A0A" w:rsidRPr="004B208C" w:rsidRDefault="00913A0A" w:rsidP="004000C7">
            <w:pPr>
              <w:pStyle w:val="TableText"/>
              <w:widowControl w:val="0"/>
              <w:rPr>
                <w:rFonts w:ascii="Tahoma" w:hAnsi="Tahoma" w:cs="Tahoma"/>
                <w:color w:val="000000"/>
                <w:sz w:val="13"/>
              </w:rPr>
            </w:pPr>
            <w:r w:rsidRPr="004B208C">
              <w:rPr>
                <w:rFonts w:ascii="Tahoma" w:hAnsi="Tahoma" w:cs="Tahoma"/>
                <w:color w:val="000000"/>
                <w:sz w:val="13"/>
              </w:rPr>
              <w:t>10/12</w:t>
            </w:r>
          </w:p>
        </w:tc>
        <w:tc>
          <w:tcPr>
            <w:tcW w:w="429" w:type="dxa"/>
            <w:tcBorders>
              <w:bottom w:val="single" w:sz="3" w:space="0" w:color="auto"/>
              <w:right w:val="single" w:sz="15" w:space="0" w:color="auto"/>
            </w:tcBorders>
            <w:shd w:val="clear" w:color="auto" w:fill="FABF8F"/>
            <w:vAlign w:val="center"/>
          </w:tcPr>
          <w:p w:rsidR="00913A0A" w:rsidRPr="004B208C" w:rsidRDefault="00913A0A" w:rsidP="004B3534">
            <w:pPr>
              <w:pStyle w:val="TableText"/>
              <w:widowControl w:val="0"/>
              <w:rPr>
                <w:rFonts w:ascii="Tahoma" w:hAnsi="Tahoma" w:cs="Tahoma"/>
                <w:color w:val="000000"/>
                <w:sz w:val="13"/>
              </w:rPr>
            </w:pPr>
            <w:r w:rsidRPr="004B208C">
              <w:rPr>
                <w:rFonts w:ascii="Tahoma" w:hAnsi="Tahoma" w:cs="Tahoma"/>
                <w:color w:val="000000"/>
                <w:sz w:val="13"/>
              </w:rPr>
              <w:t>DT</w:t>
            </w:r>
          </w:p>
        </w:tc>
        <w:tc>
          <w:tcPr>
            <w:tcW w:w="429" w:type="dxa"/>
            <w:tcBorders>
              <w:left w:val="single" w:sz="15" w:space="0" w:color="auto"/>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3" w:space="0" w:color="auto"/>
              <w:right w:val="single" w:sz="15"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3" w:space="0" w:color="auto"/>
              <w:right w:val="single" w:sz="15"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5" w:space="0" w:color="auto"/>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78" w:type="dxa"/>
            <w:tcBorders>
              <w:bottom w:val="single" w:sz="3" w:space="0" w:color="auto"/>
              <w:right w:val="single" w:sz="15"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42" w:type="dxa"/>
            <w:tcBorders>
              <w:left w:val="single" w:sz="15" w:space="0" w:color="auto"/>
              <w:bottom w:val="single" w:sz="3" w:space="0" w:color="auto"/>
              <w:right w:val="single" w:sz="15"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3" w:space="0" w:color="auto"/>
            </w:tcBorders>
            <w:shd w:val="clear" w:color="auto" w:fill="FABF8F"/>
          </w:tcPr>
          <w:p w:rsidR="00913A0A" w:rsidRPr="004B208C" w:rsidRDefault="00913A0A" w:rsidP="004B3534">
            <w:pPr>
              <w:pStyle w:val="TableText"/>
              <w:widowControl w:val="0"/>
              <w:rPr>
                <w:rFonts w:ascii="Tahoma" w:hAnsi="Tahoma" w:cs="Tahoma"/>
                <w:sz w:val="13"/>
              </w:rPr>
            </w:pPr>
          </w:p>
        </w:tc>
        <w:tc>
          <w:tcPr>
            <w:tcW w:w="477" w:type="dxa"/>
            <w:tcBorders>
              <w:bottom w:val="single" w:sz="3"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3" w:space="0" w:color="auto"/>
            </w:tcBorders>
            <w:shd w:val="clear" w:color="auto" w:fill="FABF8F"/>
          </w:tcPr>
          <w:p w:rsidR="00913A0A" w:rsidRPr="004B208C" w:rsidRDefault="00913A0A" w:rsidP="004B3534">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FFFFF"/>
            <w:vAlign w:val="center"/>
          </w:tcPr>
          <w:p w:rsidR="00913A0A" w:rsidRPr="004B208C" w:rsidRDefault="00913A0A" w:rsidP="002378E5">
            <w:pPr>
              <w:pStyle w:val="ProductNames"/>
              <w:spacing w:beforeLines="20" w:before="48" w:afterLines="20" w:after="48"/>
              <w:rPr>
                <w:rFonts w:ascii="Tahoma" w:hAnsi="Tahoma" w:cs="Tahoma"/>
                <w:sz w:val="14"/>
              </w:rPr>
            </w:pPr>
            <w:bookmarkStart w:id="18" w:name="_Toc336337844"/>
            <w:bookmarkStart w:id="19" w:name="_Toc370980976"/>
            <w:r w:rsidRPr="004B208C">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913A0A" w:rsidRPr="003435FB" w:rsidRDefault="00913A0A">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FFFFF"/>
            <w:vAlign w:val="center"/>
          </w:tcPr>
          <w:p w:rsidR="00913A0A" w:rsidRPr="004B208C" w:rsidRDefault="00913A0A" w:rsidP="00080B33">
            <w:pPr>
              <w:pStyle w:val="TableText"/>
              <w:widowControl w:val="0"/>
              <w:rPr>
                <w:rFonts w:ascii="Tahoma" w:hAnsi="Tahoma" w:cs="Tahoma"/>
                <w:sz w:val="13"/>
              </w:rPr>
            </w:pPr>
            <w:r w:rsidRPr="004B208C">
              <w:rPr>
                <w:rFonts w:ascii="Tahoma" w:hAnsi="Tahoma" w:cs="Tahoma"/>
                <w:sz w:val="13"/>
              </w:rPr>
              <w:t>A</w:t>
            </w:r>
          </w:p>
        </w:tc>
        <w:tc>
          <w:tcPr>
            <w:tcW w:w="477" w:type="dxa"/>
            <w:tcBorders>
              <w:bottom w:val="single" w:sz="4" w:space="0" w:color="auto"/>
            </w:tcBorders>
            <w:shd w:val="clear" w:color="auto" w:fill="FFFFFF"/>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4" w:space="0" w:color="auto"/>
            </w:tcBorders>
            <w:shd w:val="clear" w:color="auto" w:fill="FFFFFF"/>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A</w:t>
            </w: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20" w:name="_Toc336337846"/>
            <w:bookmarkStart w:id="21" w:name="_Toc370980977"/>
            <w:r w:rsidRPr="004B208C">
              <w:rPr>
                <w:rFonts w:ascii="Tahoma" w:hAnsi="Tahoma" w:cs="Tahoma"/>
                <w:sz w:val="14"/>
              </w:rPr>
              <w:t xml:space="preserve">Excel </w:t>
            </w:r>
            <w:bookmarkEnd w:id="20"/>
            <w:r w:rsidRPr="004B208C">
              <w:rPr>
                <w:rFonts w:ascii="Tahoma" w:hAnsi="Tahoma" w:cs="Tahoma"/>
                <w:sz w:val="14"/>
              </w:rPr>
              <w:t>2013</w:t>
            </w:r>
            <w:bookmarkEnd w:id="21"/>
          </w:p>
        </w:tc>
        <w:tc>
          <w:tcPr>
            <w:tcW w:w="429" w:type="dxa"/>
            <w:tcBorders>
              <w:bottom w:val="single" w:sz="4" w:space="0" w:color="auto"/>
            </w:tcBorders>
            <w:shd w:val="clear" w:color="auto" w:fill="FABF8F"/>
            <w:vAlign w:val="center"/>
          </w:tcPr>
          <w:p w:rsidR="00913A0A" w:rsidRPr="003435FB"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4000C7">
            <w:pPr>
              <w:pStyle w:val="TableText"/>
              <w:widowControl w:val="0"/>
              <w:rPr>
                <w:rFonts w:ascii="Tahoma" w:hAnsi="Tahoma" w:cs="Tahoma"/>
                <w:color w:val="000000"/>
                <w:sz w:val="13"/>
              </w:rPr>
            </w:pPr>
            <w:r w:rsidRPr="004B208C">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color w:val="000000"/>
                <w:sz w:val="13"/>
              </w:rPr>
            </w:pPr>
            <w:r w:rsidRPr="004B208C">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080B33">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4B3534">
            <w:pPr>
              <w:pStyle w:val="TableText"/>
              <w:widowControl w:val="0"/>
              <w:rPr>
                <w:rFonts w:ascii="Tahoma" w:hAnsi="Tahoma" w:cs="Tahoma"/>
                <w:sz w:val="13"/>
              </w:rPr>
            </w:pPr>
          </w:p>
        </w:tc>
      </w:tr>
      <w:tr w:rsidR="00913A0A" w:rsidRPr="004B208C" w:rsidTr="008B1045">
        <w:trPr>
          <w:cantSplit/>
          <w:trHeight w:val="278"/>
        </w:trPr>
        <w:tc>
          <w:tcPr>
            <w:tcW w:w="2371" w:type="dxa"/>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22" w:name="_Toc336337847"/>
            <w:bookmarkStart w:id="23" w:name="_Toc370980978"/>
            <w:r w:rsidRPr="004B208C">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rsidR="00913A0A" w:rsidRPr="003435FB"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4B208C" w:rsidRDefault="00913A0A" w:rsidP="004000C7">
            <w:pPr>
              <w:pStyle w:val="TableText"/>
              <w:widowControl w:val="0"/>
              <w:rPr>
                <w:rFonts w:ascii="Tahoma" w:hAnsi="Tahoma" w:cs="Tahoma"/>
                <w:color w:val="000000"/>
                <w:sz w:val="13"/>
              </w:rPr>
            </w:pPr>
            <w:r w:rsidRPr="004B208C">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color w:val="000000"/>
                <w:sz w:val="13"/>
              </w:rPr>
            </w:pPr>
            <w:r w:rsidRPr="004B208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080B33">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4B3534">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24" w:name="_Toc336337850"/>
            <w:bookmarkStart w:id="25" w:name="_Toc370980979"/>
            <w:r w:rsidRPr="004B208C">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913A0A" w:rsidRPr="003435FB" w:rsidRDefault="00C70EF2" w:rsidP="00F9515B">
            <w:pPr>
              <w:pStyle w:val="TableText"/>
              <w:widowControl w:val="0"/>
              <w:rPr>
                <w:rStyle w:val="EndnoteReference"/>
                <w:rFonts w:cs="Tahoma"/>
                <w:b w:val="0"/>
                <w:color w:val="0000FF"/>
                <w:sz w:val="13"/>
                <w:szCs w:val="13"/>
                <w:u w:val="single"/>
              </w:rPr>
            </w:pPr>
            <w:hyperlink w:anchor="_1_Expression_Encoder" w:history="1">
              <w:r w:rsidR="00CF5A3E" w:rsidRPr="003435FB">
                <w:rPr>
                  <w:rStyle w:val="Hyperlink"/>
                  <w:rFonts w:cs="Tahoma"/>
                  <w:b/>
                  <w:sz w:val="13"/>
                  <w:szCs w:val="13"/>
                </w:rPr>
                <w:t>1</w:t>
              </w:r>
            </w:hyperlink>
          </w:p>
        </w:tc>
        <w:tc>
          <w:tcPr>
            <w:tcW w:w="429" w:type="dxa"/>
            <w:tcBorders>
              <w:bottom w:val="single" w:sz="4" w:space="0" w:color="auto"/>
            </w:tcBorders>
            <w:shd w:val="clear" w:color="auto" w:fill="FABF8F"/>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080B33">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F9515B">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F9515B">
            <w:pPr>
              <w:pStyle w:val="TableText"/>
              <w:widowControl w:val="0"/>
              <w:rPr>
                <w:rFonts w:ascii="Tahoma" w:hAnsi="Tahoma" w:cs="Tahoma"/>
                <w:sz w:val="13"/>
              </w:rPr>
            </w:pPr>
          </w:p>
        </w:tc>
      </w:tr>
      <w:tr w:rsidR="00913A0A" w:rsidRPr="004B208C" w:rsidTr="008B1045">
        <w:trPr>
          <w:cantSplit/>
          <w:trHeight w:val="287"/>
        </w:trPr>
        <w:tc>
          <w:tcPr>
            <w:tcW w:w="2371" w:type="dxa"/>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26" w:name="_Toc336337853"/>
            <w:bookmarkStart w:id="27" w:name="_Toc370980980"/>
            <w:r w:rsidRPr="004B208C">
              <w:rPr>
                <w:rFonts w:ascii="Tahoma" w:hAnsi="Tahoma" w:cs="Tahoma"/>
                <w:b w:val="0"/>
                <w:sz w:val="14"/>
              </w:rPr>
              <w:t>InfoPath</w:t>
            </w:r>
            <w:r w:rsidR="00172F11" w:rsidRPr="00172F11">
              <w:rPr>
                <w:rFonts w:ascii="Tahoma" w:hAnsi="Tahoma" w:cs="Tahoma"/>
                <w:b w:val="0"/>
                <w:sz w:val="14"/>
                <w:vertAlign w:val="superscript"/>
              </w:rPr>
              <w:t>®</w:t>
            </w:r>
            <w:r w:rsidRPr="004B208C">
              <w:rPr>
                <w:rFonts w:ascii="Tahoma" w:hAnsi="Tahoma" w:cs="Tahoma"/>
                <w:b w:val="0"/>
                <w:sz w:val="14"/>
              </w:rPr>
              <w:t xml:space="preserve"> </w:t>
            </w:r>
            <w:bookmarkEnd w:id="26"/>
            <w:r w:rsidRPr="004B208C">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913A0A" w:rsidRPr="003435FB"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080B33">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4B3534">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28" w:name="_Toc336337854"/>
            <w:bookmarkStart w:id="29" w:name="_Toc370980981"/>
            <w:r w:rsidRPr="004B208C">
              <w:rPr>
                <w:rFonts w:ascii="Tahoma" w:hAnsi="Tahoma" w:cs="Tahoma"/>
                <w:b w:val="0"/>
                <w:sz w:val="14"/>
              </w:rPr>
              <w:t xml:space="preserve">Lync </w:t>
            </w:r>
            <w:bookmarkEnd w:id="28"/>
            <w:r w:rsidRPr="004B208C">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913A0A" w:rsidRPr="003435FB" w:rsidRDefault="00913A0A">
            <w:pPr>
              <w:pStyle w:val="TableText"/>
              <w:widowControl w:val="0"/>
              <w:rPr>
                <w:rStyle w:val="EndnoteReference"/>
                <w:rFonts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080B33">
            <w:pPr>
              <w:pStyle w:val="TableText"/>
              <w:widowControl w:val="0"/>
              <w:rPr>
                <w:rFonts w:ascii="Tahoma" w:hAnsi="Tahoma" w:cs="Tahoma"/>
                <w:sz w:val="13"/>
              </w:rPr>
            </w:pPr>
            <w:r w:rsidRPr="004B208C">
              <w:rPr>
                <w:rFonts w:ascii="Tahoma" w:hAnsi="Tahoma" w:cs="Tahoma"/>
                <w:sz w:val="13"/>
              </w:rPr>
              <w:t>A,ST</w:t>
            </w:r>
          </w:p>
        </w:tc>
        <w:tc>
          <w:tcPr>
            <w:tcW w:w="477"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A</w:t>
            </w:r>
          </w:p>
        </w:tc>
      </w:tr>
      <w:tr w:rsidR="00913A0A" w:rsidRPr="004B208C" w:rsidTr="008B1045">
        <w:trPr>
          <w:cantSplit/>
          <w:trHeight w:val="287"/>
        </w:trPr>
        <w:tc>
          <w:tcPr>
            <w:tcW w:w="2371" w:type="dxa"/>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32" w:name="_Toc336337855"/>
            <w:bookmarkStart w:id="33" w:name="_Toc370980982"/>
            <w:r w:rsidRPr="004B208C">
              <w:rPr>
                <w:rFonts w:ascii="Tahoma" w:hAnsi="Tahoma" w:cs="Tahoma"/>
                <w:b w:val="0"/>
                <w:sz w:val="14"/>
              </w:rPr>
              <w:t>Lync para Mac 2011</w:t>
            </w:r>
            <w:bookmarkEnd w:id="32"/>
            <w:bookmarkEnd w:id="33"/>
          </w:p>
        </w:tc>
        <w:tc>
          <w:tcPr>
            <w:tcW w:w="429" w:type="dxa"/>
            <w:tcBorders>
              <w:bottom w:val="single" w:sz="4" w:space="0" w:color="auto"/>
            </w:tcBorders>
            <w:shd w:val="clear" w:color="auto" w:fill="auto"/>
            <w:vAlign w:val="center"/>
          </w:tcPr>
          <w:p w:rsidR="00913A0A" w:rsidRPr="003435FB" w:rsidRDefault="00C70EF2" w:rsidP="009832D3">
            <w:pPr>
              <w:pStyle w:val="TableText"/>
              <w:widowControl w:val="0"/>
              <w:rPr>
                <w:rStyle w:val="EndnoteReference"/>
                <w:rFonts w:cs="Tahoma"/>
                <w:b w:val="0"/>
                <w:color w:val="0000FF"/>
                <w:sz w:val="13"/>
                <w:szCs w:val="13"/>
                <w:u w:val="single"/>
              </w:rPr>
            </w:pPr>
            <w:hyperlink w:anchor="_2_Lync_for" w:history="1">
              <w:r w:rsidR="00CF5A3E" w:rsidRPr="003435FB">
                <w:rPr>
                  <w:rStyle w:val="Hyperlink"/>
                  <w:rFonts w:cs="Tahoma"/>
                  <w:b/>
                  <w:sz w:val="13"/>
                  <w:szCs w:val="13"/>
                </w:rPr>
                <w:t>2</w:t>
              </w:r>
            </w:hyperlink>
          </w:p>
        </w:tc>
        <w:tc>
          <w:tcPr>
            <w:tcW w:w="429" w:type="dxa"/>
            <w:tcBorders>
              <w:bottom w:val="single" w:sz="4" w:space="0" w:color="auto"/>
            </w:tcBorders>
            <w:shd w:val="clear" w:color="auto" w:fill="auto"/>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080B33">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703595">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703595">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70980983"/>
            <w:r w:rsidRPr="004B208C">
              <w:rPr>
                <w:rFonts w:ascii="Tahoma" w:hAnsi="Tahoma" w:cs="Tahoma"/>
                <w:b w:val="0"/>
                <w:sz w:val="14"/>
              </w:rPr>
              <w:t>MapPoint</w:t>
            </w:r>
            <w:r w:rsidR="00172F11" w:rsidRPr="00172F11">
              <w:rPr>
                <w:rFonts w:ascii="Tahoma" w:hAnsi="Tahoma" w:cs="Tahoma"/>
                <w:b w:val="0"/>
                <w:sz w:val="14"/>
                <w:vertAlign w:val="superscript"/>
              </w:rPr>
              <w:t>®</w:t>
            </w:r>
            <w:r w:rsidRPr="004B208C">
              <w:rPr>
                <w:rFonts w:ascii="Tahoma" w:hAnsi="Tahoma" w:cs="Tahoma"/>
                <w:b w:val="0"/>
                <w:sz w:val="14"/>
              </w:rPr>
              <w:t xml:space="preserve"> Fleet Edition </w:t>
            </w:r>
            <w:bookmarkEnd w:id="34"/>
            <w:r w:rsidRPr="004B208C">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rsidR="00913A0A" w:rsidRPr="003435FB"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10</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8</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6</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6</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4</w:t>
            </w:r>
          </w:p>
        </w:tc>
        <w:tc>
          <w:tcPr>
            <w:tcW w:w="541"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080B33">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A</w:t>
            </w:r>
          </w:p>
        </w:tc>
      </w:tr>
      <w:tr w:rsidR="00913A0A" w:rsidRPr="004B208C" w:rsidTr="008B1045">
        <w:trPr>
          <w:cantSplit/>
          <w:trHeight w:val="323"/>
        </w:trPr>
        <w:tc>
          <w:tcPr>
            <w:tcW w:w="2371" w:type="dxa"/>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70980984"/>
            <w:r w:rsidRPr="004B208C">
              <w:rPr>
                <w:rFonts w:ascii="Tahoma" w:hAnsi="Tahoma" w:cs="Tahoma"/>
                <w:b w:val="0"/>
                <w:sz w:val="14"/>
              </w:rPr>
              <w:t>MapPoint</w:t>
            </w:r>
            <w:r w:rsidR="00172F11" w:rsidRPr="00172F11">
              <w:rPr>
                <w:rFonts w:ascii="Tahoma" w:hAnsi="Tahoma" w:cs="Tahoma"/>
                <w:b w:val="0"/>
                <w:sz w:val="14"/>
                <w:vertAlign w:val="superscript"/>
              </w:rPr>
              <w:t>®</w:t>
            </w:r>
            <w:r w:rsidRPr="004B208C">
              <w:rPr>
                <w:rFonts w:ascii="Tahoma" w:hAnsi="Tahoma" w:cs="Tahoma"/>
                <w:b w:val="0"/>
                <w:sz w:val="14"/>
              </w:rPr>
              <w:t xml:space="preserve"> 2013 para Windows</w:t>
            </w:r>
            <w:bookmarkEnd w:id="37"/>
            <w:bookmarkEnd w:id="38"/>
            <w:bookmarkEnd w:id="39"/>
          </w:p>
        </w:tc>
        <w:tc>
          <w:tcPr>
            <w:tcW w:w="429" w:type="dxa"/>
            <w:tcBorders>
              <w:bottom w:val="single" w:sz="4" w:space="0" w:color="auto"/>
            </w:tcBorders>
            <w:shd w:val="clear" w:color="auto" w:fill="auto"/>
            <w:vAlign w:val="center"/>
          </w:tcPr>
          <w:p w:rsidR="00913A0A" w:rsidRPr="003435FB" w:rsidRDefault="00913A0A">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4B208C" w:rsidRDefault="00913A0A" w:rsidP="004000C7">
            <w:pPr>
              <w:pStyle w:val="TableText"/>
              <w:widowControl w:val="0"/>
              <w:rPr>
                <w:rFonts w:ascii="Tahoma" w:hAnsi="Tahoma" w:cs="Tahoma"/>
                <w:color w:val="000000"/>
                <w:sz w:val="13"/>
              </w:rPr>
            </w:pPr>
            <w:r w:rsidRPr="004B208C">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color w:val="000000"/>
                <w:sz w:val="13"/>
              </w:rPr>
            </w:pPr>
            <w:r w:rsidRPr="004B208C">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080B33">
            <w:pPr>
              <w:pStyle w:val="TableText"/>
              <w:widowControl w:val="0"/>
              <w:rPr>
                <w:rFonts w:ascii="Tahoma" w:hAnsi="Tahoma" w:cs="Tahoma"/>
                <w:sz w:val="13"/>
              </w:rPr>
            </w:pPr>
            <w:r w:rsidRPr="004B208C">
              <w:rPr>
                <w:rFonts w:ascii="Tahoma" w:hAnsi="Tahoma" w:cs="Tahoma"/>
                <w:sz w:val="13"/>
              </w:rPr>
              <w:t>A, AO, ST</w:t>
            </w:r>
          </w:p>
        </w:tc>
        <w:tc>
          <w:tcPr>
            <w:tcW w:w="477"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A</w:t>
            </w:r>
          </w:p>
        </w:tc>
      </w:tr>
      <w:tr w:rsidR="008A0F85" w:rsidRPr="004B208C" w:rsidTr="008B1045">
        <w:trPr>
          <w:cantSplit/>
          <w:trHeight w:val="269"/>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40" w:name="_Toc336337858"/>
            <w:bookmarkStart w:id="41" w:name="_Toc370980985"/>
            <w:r w:rsidRPr="004B208C">
              <w:rPr>
                <w:rFonts w:ascii="Tahoma" w:hAnsi="Tahoma" w:cs="Tahoma"/>
                <w:b w:val="0"/>
                <w:sz w:val="14"/>
              </w:rPr>
              <w:t>MSDN Operating Systems</w:t>
            </w:r>
            <w:bookmarkEnd w:id="40"/>
            <w:bookmarkEnd w:id="41"/>
          </w:p>
        </w:tc>
        <w:tc>
          <w:tcPr>
            <w:tcW w:w="429" w:type="dxa"/>
            <w:tcBorders>
              <w:bottom w:val="single" w:sz="4" w:space="0" w:color="auto"/>
            </w:tcBorders>
            <w:shd w:val="clear" w:color="auto" w:fill="FABF8F"/>
            <w:vAlign w:val="center"/>
          </w:tcPr>
          <w:p w:rsidR="00913A0A" w:rsidRPr="003435FB" w:rsidRDefault="00C70EF2" w:rsidP="009832D3">
            <w:pPr>
              <w:pStyle w:val="TableText"/>
              <w:widowControl w:val="0"/>
              <w:rPr>
                <w:rStyle w:val="EndnoteReference"/>
                <w:rFonts w:cs="Tahoma"/>
                <w:b w:val="0"/>
                <w:color w:val="0000FF"/>
                <w:sz w:val="13"/>
                <w:szCs w:val="13"/>
                <w:u w:val="single"/>
              </w:rPr>
            </w:pPr>
            <w:hyperlink w:anchor="_3_MSDN_Operating" w:history="1">
              <w:r w:rsidR="00CF5A3E" w:rsidRPr="003435FB">
                <w:rPr>
                  <w:rStyle w:val="Hyperlink"/>
                  <w:rFonts w:cs="Tahoma"/>
                  <w:b/>
                  <w:sz w:val="13"/>
                  <w:szCs w:val="13"/>
                </w:rPr>
                <w:t>3</w:t>
              </w:r>
            </w:hyperlink>
          </w:p>
        </w:tc>
        <w:tc>
          <w:tcPr>
            <w:tcW w:w="429" w:type="dxa"/>
            <w:tcBorders>
              <w:bottom w:val="single" w:sz="4" w:space="0" w:color="auto"/>
            </w:tcBorders>
            <w:shd w:val="clear" w:color="auto" w:fill="FABF8F"/>
            <w:vAlign w:val="center"/>
          </w:tcPr>
          <w:p w:rsidR="00913A0A" w:rsidRPr="004B208C" w:rsidRDefault="00913A0A" w:rsidP="004000C7">
            <w:pPr>
              <w:pStyle w:val="TableText"/>
              <w:rPr>
                <w:rFonts w:ascii="Tahoma" w:hAnsi="Tahoma" w:cs="Tahoma"/>
                <w:sz w:val="13"/>
              </w:rPr>
            </w:pPr>
            <w:r w:rsidRPr="004B208C">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5</w:t>
            </w:r>
          </w:p>
        </w:tc>
        <w:tc>
          <w:tcPr>
            <w:tcW w:w="429" w:type="dxa"/>
            <w:tcBorders>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4</w:t>
            </w:r>
          </w:p>
        </w:tc>
        <w:tc>
          <w:tcPr>
            <w:tcW w:w="429" w:type="dxa"/>
            <w:tcBorders>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4B3534">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080B33">
            <w:pPr>
              <w:pStyle w:val="TableText"/>
              <w:rPr>
                <w:rFonts w:ascii="Tahoma" w:hAnsi="Tahoma" w:cs="Tahoma"/>
                <w:sz w:val="13"/>
              </w:rPr>
            </w:pPr>
            <w:r w:rsidRPr="004B208C">
              <w:rPr>
                <w:rFonts w:ascii="Tahoma" w:hAnsi="Tahoma" w:cs="Tahoma"/>
                <w:sz w:val="13"/>
              </w:rPr>
              <w:t>A</w:t>
            </w:r>
          </w:p>
        </w:tc>
        <w:tc>
          <w:tcPr>
            <w:tcW w:w="477" w:type="dxa"/>
            <w:tcBorders>
              <w:bottom w:val="single" w:sz="4" w:space="0" w:color="auto"/>
            </w:tcBorders>
            <w:shd w:val="clear" w:color="auto" w:fill="FABF8F"/>
            <w:vAlign w:val="center"/>
          </w:tcPr>
          <w:p w:rsidR="00913A0A" w:rsidRPr="004B208C" w:rsidRDefault="00913A0A" w:rsidP="004B3534">
            <w:pPr>
              <w:pStyle w:val="TableText"/>
              <w:rPr>
                <w:rFonts w:ascii="Tahoma" w:hAnsi="Tahoma" w:cs="Tahoma"/>
              </w:rPr>
            </w:pPr>
            <w:r w:rsidRPr="004B208C">
              <w:rPr>
                <w:rFonts w:ascii="Tahoma" w:hAnsi="Tahoma" w:cs="Tahoma"/>
                <w:sz w:val="13"/>
              </w:rPr>
              <w:t>LO/SA/</w:t>
            </w:r>
          </w:p>
          <w:p w:rsidR="00913A0A" w:rsidRPr="004B208C" w:rsidRDefault="00913A0A" w:rsidP="004B3534">
            <w:pPr>
              <w:pStyle w:val="TableText"/>
              <w:rPr>
                <w:rFonts w:ascii="Tahoma" w:hAnsi="Tahoma" w:cs="Tahoma"/>
                <w:sz w:val="13"/>
              </w:rPr>
            </w:pPr>
            <w:r w:rsidRPr="004B208C">
              <w:rPr>
                <w:rFonts w:ascii="Tahoma" w:hAnsi="Tahoma" w:cs="Tahoma"/>
                <w:sz w:val="13"/>
              </w:rPr>
              <w:t>OV</w:t>
            </w:r>
          </w:p>
        </w:tc>
        <w:tc>
          <w:tcPr>
            <w:tcW w:w="335" w:type="dxa"/>
            <w:tcBorders>
              <w:bottom w:val="single" w:sz="4" w:space="0" w:color="auto"/>
            </w:tcBorders>
            <w:shd w:val="clear" w:color="auto" w:fill="FABF8F"/>
          </w:tcPr>
          <w:p w:rsidR="00913A0A" w:rsidRPr="004B208C" w:rsidRDefault="00913A0A" w:rsidP="004B3534">
            <w:pPr>
              <w:pStyle w:val="TableText"/>
              <w:rPr>
                <w:rFonts w:ascii="Tahoma" w:hAnsi="Tahoma" w:cs="Tahoma"/>
                <w:sz w:val="13"/>
              </w:rPr>
            </w:pPr>
          </w:p>
        </w:tc>
      </w:tr>
      <w:tr w:rsidR="00913A0A" w:rsidRPr="004B208C" w:rsidTr="008B1045">
        <w:trPr>
          <w:cantSplit/>
          <w:trHeight w:val="287"/>
        </w:trPr>
        <w:tc>
          <w:tcPr>
            <w:tcW w:w="2371" w:type="dxa"/>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42" w:name="_Toc370980986"/>
            <w:r w:rsidRPr="004B208C">
              <w:rPr>
                <w:rFonts w:ascii="Tahoma" w:hAnsi="Tahoma" w:cs="Tahoma"/>
                <w:b w:val="0"/>
                <w:sz w:val="14"/>
              </w:rPr>
              <w:t>Plataformas MSDN</w:t>
            </w:r>
            <w:bookmarkEnd w:id="42"/>
          </w:p>
        </w:tc>
        <w:tc>
          <w:tcPr>
            <w:tcW w:w="429" w:type="dxa"/>
            <w:tcBorders>
              <w:bottom w:val="single" w:sz="4" w:space="0" w:color="auto"/>
            </w:tcBorders>
            <w:shd w:val="clear" w:color="auto" w:fill="auto"/>
            <w:vAlign w:val="center"/>
          </w:tcPr>
          <w:p w:rsidR="00913A0A" w:rsidRPr="003435FB" w:rsidRDefault="00C70EF2" w:rsidP="009832D3">
            <w:pPr>
              <w:pStyle w:val="TableText"/>
              <w:widowControl w:val="0"/>
              <w:rPr>
                <w:rFonts w:cs="Tahoma"/>
              </w:rPr>
            </w:pPr>
            <w:hyperlink w:anchor="_4_MSDN_Platforms" w:history="1">
              <w:r w:rsidR="00CF5A3E" w:rsidRPr="003435FB">
                <w:rPr>
                  <w:rStyle w:val="Hyperlink"/>
                  <w:rFonts w:cs="Tahoma"/>
                  <w:b/>
                  <w:sz w:val="13"/>
                  <w:szCs w:val="13"/>
                </w:rPr>
                <w:t>4</w:t>
              </w:r>
            </w:hyperlink>
          </w:p>
        </w:tc>
        <w:tc>
          <w:tcPr>
            <w:tcW w:w="429" w:type="dxa"/>
            <w:tcBorders>
              <w:bottom w:val="single" w:sz="4" w:space="0" w:color="auto"/>
            </w:tcBorders>
            <w:shd w:val="clear" w:color="auto" w:fill="auto"/>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15</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12</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9</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9</w:t>
            </w: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6</w:t>
            </w:r>
          </w:p>
        </w:tc>
        <w:tc>
          <w:tcPr>
            <w:tcW w:w="541" w:type="dxa"/>
            <w:tcBorders>
              <w:left w:val="single" w:sz="18" w:space="0" w:color="auto"/>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Del="000365B0" w:rsidRDefault="00913A0A" w:rsidP="004B3534">
            <w:pPr>
              <w:pStyle w:val="TableText"/>
              <w:widowControl w:val="0"/>
              <w:rPr>
                <w:rFonts w:ascii="Tahoma" w:hAnsi="Tahoma" w:cs="Tahoma"/>
                <w:sz w:val="13"/>
              </w:rPr>
            </w:pPr>
            <w:r w:rsidRPr="004B208C">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080B33">
            <w:pPr>
              <w:pStyle w:val="TableText"/>
              <w:widowControl w:val="0"/>
              <w:rPr>
                <w:rFonts w:ascii="Tahoma" w:hAnsi="Tahoma" w:cs="Tahoma"/>
                <w:sz w:val="13"/>
              </w:rPr>
            </w:pPr>
            <w:r w:rsidRPr="004B208C">
              <w:rPr>
                <w:rFonts w:ascii="Tahoma" w:hAnsi="Tahoma" w:cs="Tahoma"/>
                <w:sz w:val="13"/>
              </w:rPr>
              <w:t>A, (somente EES)</w:t>
            </w:r>
          </w:p>
        </w:tc>
        <w:tc>
          <w:tcPr>
            <w:tcW w:w="477" w:type="dxa"/>
            <w:tcBorders>
              <w:bottom w:val="single" w:sz="4" w:space="0" w:color="auto"/>
            </w:tcBorders>
            <w:shd w:val="clear" w:color="auto" w:fill="auto"/>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LO/SA/OV</w:t>
            </w:r>
          </w:p>
        </w:tc>
        <w:tc>
          <w:tcPr>
            <w:tcW w:w="335" w:type="dxa"/>
            <w:tcBorders>
              <w:bottom w:val="single" w:sz="4" w:space="0" w:color="auto"/>
            </w:tcBorders>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STP</w:t>
            </w: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43" w:name="_Toc336337860"/>
            <w:bookmarkStart w:id="44" w:name="_Toc370980987"/>
            <w:r w:rsidRPr="004B208C">
              <w:rPr>
                <w:rFonts w:ascii="Tahoma" w:hAnsi="Tahoma" w:cs="Tahoma"/>
                <w:b w:val="0"/>
                <w:sz w:val="14"/>
              </w:rPr>
              <w:t xml:space="preserve">Office 365 Education A3 </w:t>
            </w:r>
            <w:r w:rsidR="003435FB">
              <w:rPr>
                <w:rFonts w:ascii="Tahoma" w:hAnsi="Tahoma" w:cs="Tahoma"/>
                <w:b w:val="0"/>
                <w:sz w:val="14"/>
              </w:rPr>
              <w:br/>
            </w:r>
            <w:r w:rsidRPr="004B208C">
              <w:rPr>
                <w:rFonts w:ascii="Tahoma" w:hAnsi="Tahoma" w:cs="Tahoma"/>
                <w:b w:val="0"/>
                <w:sz w:val="14"/>
              </w:rPr>
              <w:t>(SL de Usuário)</w:t>
            </w:r>
            <w:bookmarkEnd w:id="43"/>
            <w:bookmarkEnd w:id="44"/>
          </w:p>
        </w:tc>
        <w:tc>
          <w:tcPr>
            <w:tcW w:w="429" w:type="dxa"/>
            <w:tcBorders>
              <w:bottom w:val="single" w:sz="4" w:space="0" w:color="auto"/>
            </w:tcBorders>
            <w:shd w:val="clear" w:color="auto" w:fill="FABF8F"/>
            <w:vAlign w:val="center"/>
          </w:tcPr>
          <w:p w:rsidR="00913A0A" w:rsidRPr="003435FB" w:rsidRDefault="00C70EF2" w:rsidP="009832D3">
            <w:pPr>
              <w:pStyle w:val="TableText"/>
              <w:widowControl w:val="0"/>
              <w:rPr>
                <w:rFonts w:cs="Tahoma"/>
                <w:b/>
                <w:color w:val="0000FF"/>
                <w:sz w:val="13"/>
                <w:szCs w:val="13"/>
                <w:u w:val="single"/>
              </w:rPr>
            </w:pPr>
            <w:hyperlink w:anchor="_5_Office_365_1" w:history="1">
              <w:r w:rsidR="00CF5A3E" w:rsidRPr="003435FB">
                <w:rPr>
                  <w:rStyle w:val="Hyperlink"/>
                  <w:rFonts w:cs="Tahoma"/>
                  <w:b/>
                  <w:sz w:val="13"/>
                  <w:szCs w:val="13"/>
                </w:rPr>
                <w:t>5</w:t>
              </w:r>
            </w:hyperlink>
          </w:p>
        </w:tc>
        <w:tc>
          <w:tcPr>
            <w:tcW w:w="429" w:type="dxa"/>
            <w:tcBorders>
              <w:bottom w:val="single" w:sz="4" w:space="0" w:color="auto"/>
            </w:tcBorders>
            <w:shd w:val="clear" w:color="auto" w:fill="FABF8F"/>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rsidR="00913A0A" w:rsidRPr="004B208C" w:rsidDel="000365B0" w:rsidRDefault="00913A0A" w:rsidP="004B3534">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9578A2">
            <w:pPr>
              <w:pStyle w:val="TableText"/>
              <w:widowControl w:val="0"/>
              <w:rPr>
                <w:rFonts w:ascii="Tahoma" w:hAnsi="Tahoma" w:cs="Tahoma"/>
                <w:sz w:val="13"/>
              </w:rPr>
            </w:pPr>
            <w:r w:rsidRPr="004B208C">
              <w:rPr>
                <w:rFonts w:ascii="Tahoma" w:hAnsi="Tahoma" w:cs="Tahoma"/>
                <w:sz w:val="13"/>
              </w:rPr>
              <w:t>EOLS (Somente EES), A (OVS-ES)</w:t>
            </w:r>
          </w:p>
        </w:tc>
        <w:tc>
          <w:tcPr>
            <w:tcW w:w="477"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LO</w:t>
            </w:r>
          </w:p>
        </w:tc>
        <w:tc>
          <w:tcPr>
            <w:tcW w:w="335" w:type="dxa"/>
            <w:tcBorders>
              <w:bottom w:val="single" w:sz="4" w:space="0" w:color="auto"/>
            </w:tcBorders>
            <w:shd w:val="clear" w:color="auto" w:fill="FABF8F"/>
          </w:tcPr>
          <w:p w:rsidR="00913A0A" w:rsidRPr="004B208C" w:rsidRDefault="00913A0A" w:rsidP="004B3534">
            <w:pPr>
              <w:pStyle w:val="TableText"/>
              <w:widowControl w:val="0"/>
              <w:rPr>
                <w:rFonts w:ascii="Tahoma" w:hAnsi="Tahoma" w:cs="Tahoma"/>
                <w:sz w:val="13"/>
              </w:rPr>
            </w:pPr>
          </w:p>
        </w:tc>
      </w:tr>
      <w:tr w:rsidR="00913A0A" w:rsidRPr="004B208C" w:rsidTr="008B1045">
        <w:trPr>
          <w:cantSplit/>
          <w:trHeight w:val="287"/>
        </w:trPr>
        <w:tc>
          <w:tcPr>
            <w:tcW w:w="2371" w:type="dxa"/>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45" w:name="_Toc370980988"/>
            <w:r w:rsidRPr="004B208C">
              <w:rPr>
                <w:rFonts w:ascii="Tahoma" w:hAnsi="Tahoma" w:cs="Tahoma"/>
                <w:b w:val="0"/>
                <w:sz w:val="14"/>
              </w:rPr>
              <w:t xml:space="preserve">Office 365 Education A4 </w:t>
            </w:r>
            <w:r w:rsidR="003435FB">
              <w:rPr>
                <w:rFonts w:ascii="Tahoma" w:hAnsi="Tahoma" w:cs="Tahoma"/>
                <w:b w:val="0"/>
                <w:sz w:val="14"/>
              </w:rPr>
              <w:br/>
            </w:r>
            <w:r w:rsidRPr="004B208C">
              <w:rPr>
                <w:rFonts w:ascii="Tahoma" w:hAnsi="Tahoma" w:cs="Tahoma"/>
                <w:b w:val="0"/>
                <w:sz w:val="14"/>
              </w:rPr>
              <w:t>(SL de Usuário)</w:t>
            </w:r>
            <w:bookmarkEnd w:id="45"/>
          </w:p>
        </w:tc>
        <w:tc>
          <w:tcPr>
            <w:tcW w:w="429" w:type="dxa"/>
            <w:tcBorders>
              <w:bottom w:val="single" w:sz="4" w:space="0" w:color="auto"/>
            </w:tcBorders>
            <w:shd w:val="clear" w:color="auto" w:fill="auto"/>
            <w:vAlign w:val="center"/>
          </w:tcPr>
          <w:p w:rsidR="00913A0A" w:rsidRPr="003435FB" w:rsidRDefault="00C70EF2" w:rsidP="009578A2">
            <w:pPr>
              <w:pStyle w:val="TableText"/>
              <w:widowControl w:val="0"/>
              <w:rPr>
                <w:rFonts w:cs="Tahoma"/>
              </w:rPr>
            </w:pPr>
            <w:hyperlink w:anchor="_5_Office_365_1" w:history="1">
              <w:r w:rsidR="00CF5A3E" w:rsidRPr="003435FB">
                <w:rPr>
                  <w:rStyle w:val="Hyperlink"/>
                  <w:rFonts w:cs="Tahoma"/>
                  <w:b/>
                  <w:sz w:val="13"/>
                  <w:szCs w:val="13"/>
                </w:rPr>
                <w:t>5</w:t>
              </w:r>
            </w:hyperlink>
          </w:p>
        </w:tc>
        <w:tc>
          <w:tcPr>
            <w:tcW w:w="429" w:type="dxa"/>
            <w:tcBorders>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r w:rsidRPr="004B208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r w:rsidRPr="004B208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541" w:type="dxa"/>
            <w:tcBorders>
              <w:left w:val="single" w:sz="18" w:space="0" w:color="auto"/>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r w:rsidRPr="004B208C">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r w:rsidRPr="004B208C">
              <w:rPr>
                <w:rFonts w:ascii="Tahoma" w:hAnsi="Tahoma" w:cs="Tahoma"/>
                <w:sz w:val="13"/>
              </w:rPr>
              <w:t>EOLS (Somente EES)</w:t>
            </w:r>
          </w:p>
        </w:tc>
        <w:tc>
          <w:tcPr>
            <w:tcW w:w="477" w:type="dxa"/>
            <w:tcBorders>
              <w:bottom w:val="single" w:sz="4" w:space="0" w:color="auto"/>
            </w:tcBorders>
            <w:shd w:val="clear" w:color="auto" w:fill="auto"/>
            <w:vAlign w:val="center"/>
          </w:tcPr>
          <w:p w:rsidR="00913A0A" w:rsidRPr="004B208C" w:rsidRDefault="00913A0A" w:rsidP="009578A2">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9578A2">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46" w:name="_Toc370980989"/>
            <w:r w:rsidRPr="004B208C">
              <w:rPr>
                <w:rFonts w:ascii="Tahoma" w:hAnsi="Tahoma" w:cs="Tahoma"/>
                <w:b w:val="0"/>
                <w:sz w:val="14"/>
              </w:rPr>
              <w:t xml:space="preserve">Office 365 Midsize Business </w:t>
            </w:r>
            <w:r w:rsidR="003435FB">
              <w:rPr>
                <w:rFonts w:ascii="Tahoma" w:hAnsi="Tahoma" w:cs="Tahoma"/>
                <w:b w:val="0"/>
                <w:sz w:val="14"/>
              </w:rPr>
              <w:br/>
            </w:r>
            <w:r w:rsidRPr="004B208C">
              <w:rPr>
                <w:rFonts w:ascii="Tahoma" w:hAnsi="Tahoma" w:cs="Tahoma"/>
                <w:b w:val="0"/>
                <w:sz w:val="14"/>
              </w:rPr>
              <w:t>(SL de Usuário)</w:t>
            </w:r>
            <w:bookmarkEnd w:id="46"/>
          </w:p>
        </w:tc>
        <w:tc>
          <w:tcPr>
            <w:tcW w:w="429" w:type="dxa"/>
            <w:tcBorders>
              <w:bottom w:val="single" w:sz="4" w:space="0" w:color="auto"/>
            </w:tcBorders>
            <w:shd w:val="clear" w:color="auto" w:fill="FABF8F"/>
            <w:vAlign w:val="center"/>
          </w:tcPr>
          <w:p w:rsidR="00913A0A" w:rsidRPr="003435FB" w:rsidRDefault="00C70EF2" w:rsidP="009832D3">
            <w:pPr>
              <w:pStyle w:val="TableText"/>
              <w:widowControl w:val="0"/>
              <w:rPr>
                <w:rFonts w:cs="Tahoma"/>
                <w:b/>
                <w:sz w:val="13"/>
                <w:szCs w:val="13"/>
              </w:rPr>
            </w:pPr>
            <w:hyperlink w:anchor="_7_Office_365" w:history="1">
              <w:r w:rsidR="00CF5A3E" w:rsidRPr="003435FB">
                <w:rPr>
                  <w:rStyle w:val="Hyperlink"/>
                  <w:rFonts w:cs="Tahoma"/>
                  <w:b/>
                  <w:sz w:val="13"/>
                  <w:szCs w:val="13"/>
                </w:rPr>
                <w:t>6</w:t>
              </w:r>
            </w:hyperlink>
          </w:p>
        </w:tc>
        <w:tc>
          <w:tcPr>
            <w:tcW w:w="429" w:type="dxa"/>
            <w:tcBorders>
              <w:bottom w:val="single" w:sz="4" w:space="0" w:color="auto"/>
            </w:tcBorders>
            <w:shd w:val="clear" w:color="auto" w:fill="FABF8F"/>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CC19FC">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080B33">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4B3534">
            <w:pPr>
              <w:pStyle w:val="TableText"/>
              <w:widowControl w:val="0"/>
              <w:rPr>
                <w:rFonts w:ascii="Tahoma" w:hAnsi="Tahoma" w:cs="Tahoma"/>
                <w:sz w:val="13"/>
              </w:rPr>
            </w:pPr>
            <w:r w:rsidRPr="004B208C">
              <w:rPr>
                <w:rFonts w:ascii="Tahoma" w:hAnsi="Tahoma" w:cs="Tahoma"/>
                <w:sz w:val="13"/>
              </w:rPr>
              <w:t>LO/OV</w:t>
            </w:r>
          </w:p>
        </w:tc>
        <w:tc>
          <w:tcPr>
            <w:tcW w:w="335" w:type="dxa"/>
            <w:tcBorders>
              <w:bottom w:val="single" w:sz="4" w:space="0" w:color="auto"/>
            </w:tcBorders>
            <w:shd w:val="clear" w:color="auto" w:fill="FABF8F"/>
          </w:tcPr>
          <w:p w:rsidR="00913A0A" w:rsidRPr="004B208C" w:rsidRDefault="00913A0A" w:rsidP="004B3534">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FFFFF" w:themeFill="background1"/>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47" w:name="_Toc370980990"/>
            <w:r w:rsidRPr="004B208C">
              <w:rPr>
                <w:rFonts w:ascii="Tahoma" w:hAnsi="Tahoma" w:cs="Tahoma"/>
                <w:b w:val="0"/>
                <w:sz w:val="14"/>
              </w:rPr>
              <w:t>Complemento do Office 365 Enterprise E3, E4 (SL de Usuário)</w:t>
            </w:r>
            <w:bookmarkEnd w:id="47"/>
          </w:p>
        </w:tc>
        <w:tc>
          <w:tcPr>
            <w:tcW w:w="429" w:type="dxa"/>
            <w:tcBorders>
              <w:bottom w:val="single" w:sz="4" w:space="0" w:color="auto"/>
            </w:tcBorders>
            <w:shd w:val="clear" w:color="auto" w:fill="FFFFFF" w:themeFill="background1"/>
            <w:vAlign w:val="center"/>
          </w:tcPr>
          <w:p w:rsidR="00913A0A" w:rsidRPr="003435FB" w:rsidRDefault="00C70EF2" w:rsidP="009832D3">
            <w:pPr>
              <w:pStyle w:val="TableText"/>
              <w:widowControl w:val="0"/>
              <w:rPr>
                <w:rFonts w:cs="Tahoma"/>
                <w:b/>
                <w:sz w:val="13"/>
                <w:szCs w:val="13"/>
              </w:rPr>
            </w:pPr>
            <w:hyperlink w:anchor="_7_Add-on_User" w:history="1">
              <w:r w:rsidR="00CF5A3E" w:rsidRPr="003435FB">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913A0A" w:rsidRPr="004B208C" w:rsidRDefault="00913A0A" w:rsidP="004000C7">
            <w:pPr>
              <w:pStyle w:val="TableText"/>
              <w:widowControl w:val="0"/>
              <w:rPr>
                <w:rFonts w:ascii="Tahoma" w:hAnsi="Tahoma" w:cs="Tahoma"/>
                <w:sz w:val="13"/>
              </w:rPr>
            </w:pPr>
            <w:r w:rsidRPr="004B208C">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541" w:type="dxa"/>
            <w:tcBorders>
              <w:left w:val="single" w:sz="18" w:space="0" w:color="auto"/>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themeFill="background1"/>
            <w:vAlign w:val="center"/>
          </w:tcPr>
          <w:p w:rsidR="00913A0A" w:rsidRPr="004B208C" w:rsidRDefault="00913A0A" w:rsidP="00CC19FC">
            <w:pPr>
              <w:pStyle w:val="TableText"/>
              <w:widowControl w:val="0"/>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rsidR="00913A0A" w:rsidRPr="004B208C" w:rsidRDefault="00913A0A" w:rsidP="00080B33">
            <w:pPr>
              <w:pStyle w:val="TableText"/>
              <w:widowControl w:val="0"/>
              <w:rPr>
                <w:rFonts w:ascii="Tahoma" w:hAnsi="Tahoma" w:cs="Tahoma"/>
                <w:sz w:val="13"/>
              </w:rPr>
            </w:pPr>
          </w:p>
        </w:tc>
        <w:tc>
          <w:tcPr>
            <w:tcW w:w="477" w:type="dxa"/>
            <w:tcBorders>
              <w:bottom w:val="single" w:sz="4" w:space="0" w:color="auto"/>
            </w:tcBorders>
            <w:shd w:val="clear" w:color="auto" w:fill="FFFFFF" w:themeFill="background1"/>
            <w:vAlign w:val="center"/>
          </w:tcPr>
          <w:p w:rsidR="00913A0A" w:rsidRPr="004B208C" w:rsidRDefault="00913A0A" w:rsidP="004B3534">
            <w:pPr>
              <w:pStyle w:val="TableText"/>
              <w:widowControl w:val="0"/>
              <w:rPr>
                <w:rFonts w:ascii="Tahoma" w:hAnsi="Tahoma" w:cs="Tahoma"/>
                <w:sz w:val="13"/>
              </w:rPr>
            </w:pPr>
          </w:p>
        </w:tc>
        <w:tc>
          <w:tcPr>
            <w:tcW w:w="335" w:type="dxa"/>
            <w:tcBorders>
              <w:bottom w:val="single" w:sz="4" w:space="0" w:color="auto"/>
            </w:tcBorders>
            <w:shd w:val="clear" w:color="auto" w:fill="FFFFFF" w:themeFill="background1"/>
          </w:tcPr>
          <w:p w:rsidR="00913A0A" w:rsidRPr="004B208C" w:rsidRDefault="00913A0A" w:rsidP="004B3534">
            <w:pPr>
              <w:pStyle w:val="TableText"/>
              <w:widowControl w:val="0"/>
              <w:rPr>
                <w:rFonts w:ascii="Tahoma" w:hAnsi="Tahoma" w:cs="Tahoma"/>
                <w:sz w:val="13"/>
              </w:rPr>
            </w:pPr>
          </w:p>
        </w:tc>
      </w:tr>
      <w:tr w:rsidR="000956ED" w:rsidRPr="004B208C" w:rsidTr="008B1045">
        <w:trPr>
          <w:cantSplit/>
          <w:trHeight w:val="287"/>
        </w:trPr>
        <w:tc>
          <w:tcPr>
            <w:tcW w:w="2371" w:type="dxa"/>
            <w:tcBorders>
              <w:bottom w:val="single" w:sz="4" w:space="0" w:color="auto"/>
            </w:tcBorders>
            <w:shd w:val="clear" w:color="auto" w:fill="FABF8F"/>
            <w:vAlign w:val="center"/>
          </w:tcPr>
          <w:p w:rsidR="000956ED" w:rsidRPr="004B208C" w:rsidRDefault="000956ED" w:rsidP="002378E5">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70980991"/>
            <w:r w:rsidRPr="004B208C">
              <w:rPr>
                <w:rFonts w:ascii="Tahoma" w:hAnsi="Tahoma" w:cs="Tahoma"/>
                <w:b w:val="0"/>
                <w:sz w:val="14"/>
              </w:rPr>
              <w:t xml:space="preserve">Office 365 Enterprise E3 </w:t>
            </w:r>
            <w:r w:rsidR="003435FB">
              <w:rPr>
                <w:rFonts w:ascii="Tahoma" w:hAnsi="Tahoma" w:cs="Tahoma"/>
                <w:b w:val="0"/>
                <w:sz w:val="14"/>
              </w:rPr>
              <w:br/>
            </w:r>
            <w:r w:rsidRPr="004B208C">
              <w:rPr>
                <w:rFonts w:ascii="Tahoma" w:hAnsi="Tahoma" w:cs="Tahoma"/>
                <w:b w:val="0"/>
                <w:sz w:val="14"/>
              </w:rPr>
              <w:t>(SL de Usuário)</w:t>
            </w:r>
            <w:bookmarkEnd w:id="48"/>
            <w:bookmarkEnd w:id="49"/>
            <w:bookmarkEnd w:id="50"/>
          </w:p>
        </w:tc>
        <w:tc>
          <w:tcPr>
            <w:tcW w:w="429" w:type="dxa"/>
            <w:tcBorders>
              <w:bottom w:val="single" w:sz="4" w:space="0" w:color="auto"/>
            </w:tcBorders>
            <w:shd w:val="clear" w:color="auto" w:fill="FABF8F"/>
            <w:vAlign w:val="center"/>
          </w:tcPr>
          <w:p w:rsidR="000956ED" w:rsidRPr="003435FB" w:rsidRDefault="00C70EF2" w:rsidP="00B0065F">
            <w:pPr>
              <w:pStyle w:val="TableText"/>
              <w:widowControl w:val="0"/>
              <w:rPr>
                <w:rFonts w:cs="Tahoma"/>
                <w:b/>
                <w:color w:val="0000FF"/>
                <w:sz w:val="13"/>
                <w:szCs w:val="13"/>
                <w:u w:val="single"/>
              </w:rPr>
            </w:pPr>
            <w:hyperlink w:anchor="_7_Office_365_1" w:history="1">
              <w:r w:rsidR="00CF5A3E" w:rsidRPr="003435FB">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0956ED" w:rsidRPr="004B208C" w:rsidRDefault="000956ED" w:rsidP="004000C7">
            <w:pPr>
              <w:pStyle w:val="TableText"/>
              <w:widowControl w:val="0"/>
              <w:rPr>
                <w:rFonts w:ascii="Tahoma" w:hAnsi="Tahoma" w:cs="Tahoma"/>
                <w:sz w:val="13"/>
              </w:rPr>
            </w:pPr>
            <w:r w:rsidRPr="004B208C">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r w:rsidRPr="004B208C">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r w:rsidRPr="004B208C">
              <w:rPr>
                <w:rFonts w:ascii="Tahoma" w:hAnsi="Tahoma" w:cs="Tahoma"/>
                <w:sz w:val="13"/>
              </w:rPr>
              <w:t>EOLS</w:t>
            </w:r>
          </w:p>
        </w:tc>
        <w:tc>
          <w:tcPr>
            <w:tcW w:w="342" w:type="dxa"/>
            <w:tcBorders>
              <w:left w:val="single" w:sz="18" w:space="0" w:color="auto"/>
              <w:bottom w:val="single" w:sz="4" w:space="0" w:color="auto"/>
              <w:right w:val="single" w:sz="18"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0956ED" w:rsidRPr="004B208C" w:rsidRDefault="000956ED" w:rsidP="00080B33">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0956ED" w:rsidRPr="004B208C" w:rsidRDefault="000956ED" w:rsidP="004B3534">
            <w:pPr>
              <w:pStyle w:val="TableText"/>
              <w:widowControl w:val="0"/>
              <w:rPr>
                <w:rFonts w:ascii="Tahoma" w:hAnsi="Tahoma" w:cs="Tahoma"/>
                <w:sz w:val="13"/>
              </w:rPr>
            </w:pPr>
            <w:r w:rsidRPr="004B208C">
              <w:rPr>
                <w:rFonts w:ascii="Tahoma" w:hAnsi="Tahoma" w:cs="Tahoma"/>
                <w:sz w:val="13"/>
              </w:rPr>
              <w:t>LO/OV</w:t>
            </w:r>
          </w:p>
        </w:tc>
        <w:tc>
          <w:tcPr>
            <w:tcW w:w="335" w:type="dxa"/>
            <w:tcBorders>
              <w:bottom w:val="single" w:sz="4" w:space="0" w:color="auto"/>
            </w:tcBorders>
            <w:shd w:val="clear" w:color="auto" w:fill="FABF8F"/>
          </w:tcPr>
          <w:p w:rsidR="000956ED" w:rsidRPr="004B208C" w:rsidRDefault="000956ED" w:rsidP="004B3534">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FFFFF" w:themeFill="background1"/>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51" w:name="_Toc370980992"/>
            <w:r w:rsidRPr="004B208C">
              <w:rPr>
                <w:rFonts w:ascii="Tahoma" w:hAnsi="Tahoma" w:cs="Tahoma"/>
                <w:b w:val="0"/>
                <w:sz w:val="14"/>
              </w:rPr>
              <w:t xml:space="preserve">Office 365 Enterprise E4 </w:t>
            </w:r>
            <w:r w:rsidR="003435FB">
              <w:rPr>
                <w:rFonts w:ascii="Tahoma" w:hAnsi="Tahoma" w:cs="Tahoma"/>
                <w:b w:val="0"/>
                <w:sz w:val="14"/>
              </w:rPr>
              <w:br/>
            </w:r>
            <w:r w:rsidRPr="004B208C">
              <w:rPr>
                <w:rFonts w:ascii="Tahoma" w:hAnsi="Tahoma" w:cs="Tahoma"/>
                <w:b w:val="0"/>
                <w:sz w:val="14"/>
              </w:rPr>
              <w:t>(SL de Usuário)</w:t>
            </w:r>
            <w:bookmarkEnd w:id="51"/>
          </w:p>
        </w:tc>
        <w:tc>
          <w:tcPr>
            <w:tcW w:w="429" w:type="dxa"/>
            <w:tcBorders>
              <w:bottom w:val="single" w:sz="4" w:space="0" w:color="auto"/>
            </w:tcBorders>
            <w:shd w:val="clear" w:color="auto" w:fill="FFFFFF" w:themeFill="background1"/>
            <w:vAlign w:val="center"/>
          </w:tcPr>
          <w:p w:rsidR="00913A0A" w:rsidRPr="003435FB" w:rsidRDefault="00C70EF2" w:rsidP="00D55AB9">
            <w:pPr>
              <w:pStyle w:val="TableText"/>
              <w:widowControl w:val="0"/>
              <w:rPr>
                <w:rFonts w:cs="Tahoma"/>
              </w:rPr>
            </w:pPr>
            <w:hyperlink w:anchor="_7_Office_365_1" w:history="1">
              <w:r w:rsidR="00CF5A3E" w:rsidRPr="003435FB">
                <w:rPr>
                  <w:rStyle w:val="Hyperlink"/>
                  <w:rFonts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541" w:type="dxa"/>
            <w:tcBorders>
              <w:left w:val="single" w:sz="18" w:space="0" w:color="auto"/>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EOLS</w:t>
            </w:r>
          </w:p>
        </w:tc>
        <w:tc>
          <w:tcPr>
            <w:tcW w:w="342"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630"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477" w:type="dxa"/>
            <w:tcBorders>
              <w:bottom w:val="single" w:sz="4" w:space="0" w:color="auto"/>
            </w:tcBorders>
            <w:shd w:val="clear" w:color="auto" w:fill="FFFFFF" w:themeFill="background1"/>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shd w:val="clear" w:color="auto" w:fill="FFFFFF" w:themeFill="background1"/>
          </w:tcPr>
          <w:p w:rsidR="00913A0A" w:rsidRPr="004B208C" w:rsidRDefault="00913A0A" w:rsidP="00D55AB9">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52" w:name="_Toc370980993"/>
            <w:r w:rsidRPr="004B208C">
              <w:rPr>
                <w:rFonts w:ascii="Tahoma" w:hAnsi="Tahoma" w:cs="Tahoma"/>
                <w:b w:val="0"/>
                <w:sz w:val="14"/>
              </w:rPr>
              <w:t>Complemento do Office 365 Government G3, G4 (SL de Usuário)</w:t>
            </w:r>
            <w:bookmarkEnd w:id="52"/>
          </w:p>
        </w:tc>
        <w:tc>
          <w:tcPr>
            <w:tcW w:w="429" w:type="dxa"/>
            <w:tcBorders>
              <w:bottom w:val="single" w:sz="4" w:space="0" w:color="auto"/>
            </w:tcBorders>
            <w:shd w:val="clear" w:color="auto" w:fill="FABF8F"/>
            <w:vAlign w:val="center"/>
          </w:tcPr>
          <w:p w:rsidR="00913A0A" w:rsidRPr="003435FB" w:rsidRDefault="00C70EF2" w:rsidP="00D55AB9">
            <w:pPr>
              <w:pStyle w:val="TableText"/>
              <w:widowControl w:val="0"/>
              <w:rPr>
                <w:rFonts w:cs="Tahoma"/>
              </w:rPr>
            </w:pPr>
            <w:hyperlink w:anchor="_7_Add-on_User" w:history="1">
              <w:r w:rsidR="00CF5A3E" w:rsidRPr="003435FB">
                <w:rPr>
                  <w:rStyle w:val="Hyperlink"/>
                  <w:rFonts w:cs="Tahoma"/>
                  <w:b/>
                  <w:sz w:val="13"/>
                  <w:szCs w:val="13"/>
                </w:rPr>
                <w:t>7</w:t>
              </w:r>
            </w:hyperlink>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widowControl w:val="0"/>
              <w:rPr>
                <w:rFonts w:ascii="Tahoma" w:hAnsi="Tahoma" w:cs="Tahoma"/>
                <w:sz w:val="13"/>
              </w:rPr>
            </w:pPr>
          </w:p>
        </w:tc>
      </w:tr>
      <w:tr w:rsidR="00913A0A" w:rsidRPr="004B208C" w:rsidTr="008B1045">
        <w:trPr>
          <w:cantSplit/>
          <w:trHeight w:val="287"/>
        </w:trPr>
        <w:tc>
          <w:tcPr>
            <w:tcW w:w="2371" w:type="dxa"/>
            <w:tcBorders>
              <w:bottom w:val="single" w:sz="4" w:space="0" w:color="auto"/>
            </w:tcBorders>
            <w:shd w:val="clear" w:color="auto" w:fill="auto"/>
            <w:vAlign w:val="center"/>
          </w:tcPr>
          <w:p w:rsidR="00913A0A" w:rsidRPr="004B208C" w:rsidRDefault="00913A0A" w:rsidP="003435FB">
            <w:pPr>
              <w:pStyle w:val="Heading2"/>
              <w:spacing w:beforeLines="20" w:before="48" w:afterLines="20" w:after="48"/>
              <w:ind w:left="0"/>
              <w:rPr>
                <w:rFonts w:ascii="Tahoma" w:hAnsi="Tahoma" w:cs="Tahoma"/>
                <w:b w:val="0"/>
                <w:sz w:val="14"/>
              </w:rPr>
            </w:pPr>
            <w:bookmarkStart w:id="53" w:name="_Toc291024474"/>
            <w:bookmarkStart w:id="54" w:name="_Toc336337863"/>
            <w:bookmarkStart w:id="55" w:name="_Toc370980994"/>
            <w:r w:rsidRPr="004B208C">
              <w:rPr>
                <w:rFonts w:ascii="Tahoma" w:hAnsi="Tahoma" w:cs="Tahoma"/>
                <w:b w:val="0"/>
                <w:sz w:val="14"/>
              </w:rPr>
              <w:t xml:space="preserve">Office 365 </w:t>
            </w:r>
            <w:bookmarkEnd w:id="53"/>
            <w:bookmarkEnd w:id="54"/>
            <w:r w:rsidRPr="004B208C">
              <w:rPr>
                <w:rFonts w:ascii="Tahoma" w:hAnsi="Tahoma" w:cs="Tahoma"/>
                <w:b w:val="0"/>
                <w:sz w:val="14"/>
              </w:rPr>
              <w:t>Government G3—G4 (SL</w:t>
            </w:r>
            <w:r w:rsidR="003435FB">
              <w:rPr>
                <w:rFonts w:ascii="Tahoma" w:hAnsi="Tahoma" w:cs="Tahoma"/>
                <w:b w:val="0"/>
                <w:sz w:val="14"/>
              </w:rPr>
              <w:t> </w:t>
            </w:r>
            <w:r w:rsidRPr="004B208C">
              <w:rPr>
                <w:rFonts w:ascii="Tahoma" w:hAnsi="Tahoma" w:cs="Tahoma"/>
                <w:b w:val="0"/>
                <w:sz w:val="14"/>
              </w:rPr>
              <w:t>de Usuário)</w:t>
            </w:r>
            <w:bookmarkEnd w:id="55"/>
          </w:p>
        </w:tc>
        <w:tc>
          <w:tcPr>
            <w:tcW w:w="429" w:type="dxa"/>
            <w:tcBorders>
              <w:bottom w:val="single" w:sz="4" w:space="0" w:color="auto"/>
            </w:tcBorders>
            <w:shd w:val="clear" w:color="auto" w:fill="auto"/>
            <w:vAlign w:val="center"/>
          </w:tcPr>
          <w:p w:rsidR="00913A0A" w:rsidRPr="003435FB" w:rsidRDefault="00C70EF2" w:rsidP="00D55AB9">
            <w:pPr>
              <w:pStyle w:val="TableText"/>
              <w:widowControl w:val="0"/>
              <w:rPr>
                <w:rFonts w:cs="Tahoma"/>
                <w:b/>
                <w:color w:val="0000FF"/>
                <w:sz w:val="13"/>
                <w:szCs w:val="13"/>
                <w:u w:val="single"/>
              </w:rPr>
            </w:pPr>
            <w:hyperlink w:anchor="_77_SharePoint_Online" w:history="1">
              <w:r w:rsidR="00CF5A3E" w:rsidRPr="003435FB">
                <w:rPr>
                  <w:rStyle w:val="Hyperlink"/>
                  <w:rFonts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 xml:space="preserve">EOLS </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630"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D55AB9">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56" w:name="_Toc370980995"/>
            <w:r w:rsidRPr="004B208C">
              <w:rPr>
                <w:rFonts w:ascii="Tahoma" w:hAnsi="Tahoma" w:cs="Tahoma"/>
                <w:b w:val="0"/>
                <w:sz w:val="14"/>
              </w:rPr>
              <w:t>Direitos de Uso Comercial do Office Home and Student RT 2013</w:t>
            </w:r>
            <w:bookmarkEnd w:id="56"/>
          </w:p>
        </w:tc>
        <w:tc>
          <w:tcPr>
            <w:tcW w:w="429" w:type="dxa"/>
            <w:tcBorders>
              <w:bottom w:val="single" w:sz="4" w:space="0" w:color="auto"/>
            </w:tcBorders>
            <w:shd w:val="clear" w:color="auto" w:fill="FABF8F"/>
            <w:vAlign w:val="center"/>
          </w:tcPr>
          <w:p w:rsidR="00913A0A" w:rsidRPr="003435FB" w:rsidRDefault="00913A0A" w:rsidP="00D55AB9">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widowControl w:val="0"/>
              <w:rPr>
                <w:rFonts w:ascii="Tahoma" w:hAnsi="Tahoma" w:cs="Tahoma"/>
                <w:sz w:val="13"/>
              </w:rPr>
            </w:pPr>
          </w:p>
        </w:tc>
      </w:tr>
      <w:tr w:rsidR="00913A0A" w:rsidRPr="004B208C" w:rsidTr="008B1045">
        <w:trPr>
          <w:cantSplit/>
          <w:trHeight w:val="287"/>
        </w:trPr>
        <w:tc>
          <w:tcPr>
            <w:tcW w:w="2371" w:type="dxa"/>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57" w:name="_Toc336337865"/>
            <w:bookmarkStart w:id="58" w:name="_Toc370980996"/>
            <w:r w:rsidRPr="004B208C">
              <w:rPr>
                <w:rFonts w:ascii="Tahoma" w:hAnsi="Tahoma" w:cs="Tahoma"/>
                <w:b w:val="0"/>
                <w:sz w:val="14"/>
              </w:rPr>
              <w:t>Office para Mac Standard 2011</w:t>
            </w:r>
            <w:bookmarkEnd w:id="57"/>
            <w:bookmarkEnd w:id="58"/>
            <w:r w:rsidRPr="004B208C">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8_Office_for" w:history="1">
              <w:r w:rsidR="00CF5A3E" w:rsidRPr="003435FB">
                <w:rPr>
                  <w:rStyle w:val="Hyperlink"/>
                  <w:rFonts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5</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E</w:t>
            </w:r>
          </w:p>
        </w:tc>
        <w:tc>
          <w:tcPr>
            <w:tcW w:w="477"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D55AB9">
            <w:pPr>
              <w:pStyle w:val="TableText"/>
              <w:widowControl w:val="0"/>
              <w:rPr>
                <w:rFonts w:ascii="Tahoma" w:hAnsi="Tahoma" w:cs="Tahoma"/>
                <w:sz w:val="13"/>
              </w:rPr>
            </w:pPr>
          </w:p>
        </w:tc>
      </w:tr>
      <w:tr w:rsidR="008A0F85" w:rsidRPr="004B208C" w:rsidTr="008B1045">
        <w:trPr>
          <w:cantSplit/>
          <w:trHeight w:val="287"/>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70980997"/>
            <w:bookmarkEnd w:id="59"/>
            <w:r w:rsidRPr="004B208C">
              <w:rPr>
                <w:rFonts w:ascii="Tahoma" w:hAnsi="Tahoma" w:cs="Tahoma"/>
                <w:b w:val="0"/>
                <w:sz w:val="14"/>
              </w:rPr>
              <w:t xml:space="preserve">Pacote Multilíngue do Office </w:t>
            </w:r>
            <w:bookmarkEnd w:id="60"/>
            <w:r w:rsidRPr="004B208C">
              <w:rPr>
                <w:rFonts w:ascii="Tahoma" w:hAnsi="Tahoma" w:cs="Tahoma"/>
                <w:b w:val="0"/>
                <w:sz w:val="14"/>
              </w:rPr>
              <w:t>2013</w:t>
            </w:r>
            <w:bookmarkEnd w:id="61"/>
          </w:p>
        </w:tc>
        <w:tc>
          <w:tcPr>
            <w:tcW w:w="429" w:type="dxa"/>
            <w:tcBorders>
              <w:bottom w:val="single" w:sz="4" w:space="0" w:color="auto"/>
            </w:tcBorders>
            <w:shd w:val="clear" w:color="auto" w:fill="FABF8F"/>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9_Office_Multi-Language" w:history="1">
              <w:r w:rsidR="00CF5A3E" w:rsidRPr="003435FB">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630"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A</w:t>
            </w:r>
          </w:p>
        </w:tc>
        <w:tc>
          <w:tcPr>
            <w:tcW w:w="477"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A</w:t>
            </w:r>
          </w:p>
        </w:tc>
      </w:tr>
      <w:tr w:rsidR="00913A0A" w:rsidRPr="004B208C" w:rsidTr="008B1045">
        <w:trPr>
          <w:cantSplit/>
          <w:trHeight w:val="422"/>
        </w:trPr>
        <w:tc>
          <w:tcPr>
            <w:tcW w:w="2371" w:type="dxa"/>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62" w:name="_Toc336337867"/>
            <w:bookmarkStart w:id="63" w:name="_Toc370980998"/>
            <w:r w:rsidRPr="004B208C">
              <w:rPr>
                <w:rFonts w:ascii="Tahoma" w:hAnsi="Tahoma" w:cs="Tahoma"/>
                <w:sz w:val="14"/>
              </w:rPr>
              <w:t xml:space="preserve">Office Professional Plus </w:t>
            </w:r>
            <w:bookmarkEnd w:id="62"/>
            <w:r w:rsidRPr="004B208C">
              <w:rPr>
                <w:rFonts w:ascii="Tahoma" w:hAnsi="Tahoma" w:cs="Tahoma"/>
                <w:sz w:val="14"/>
              </w:rPr>
              <w:t>2013</w:t>
            </w:r>
            <w:bookmarkEnd w:id="63"/>
          </w:p>
        </w:tc>
        <w:tc>
          <w:tcPr>
            <w:tcW w:w="429" w:type="dxa"/>
            <w:tcBorders>
              <w:bottom w:val="single" w:sz="4" w:space="0" w:color="auto"/>
            </w:tcBorders>
            <w:shd w:val="clear" w:color="auto" w:fill="auto"/>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10_Office_Professional" w:history="1">
              <w:r w:rsidR="00CF5A3E" w:rsidRPr="003435FB">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5</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E</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E, P</w:t>
            </w:r>
          </w:p>
        </w:tc>
        <w:tc>
          <w:tcPr>
            <w:tcW w:w="630"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E,ST</w:t>
            </w:r>
          </w:p>
        </w:tc>
        <w:tc>
          <w:tcPr>
            <w:tcW w:w="477"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D55AB9">
            <w:pPr>
              <w:pStyle w:val="TableText"/>
              <w:widowControl w:val="0"/>
              <w:rPr>
                <w:rFonts w:ascii="Tahoma" w:hAnsi="Tahoma" w:cs="Tahoma"/>
                <w:sz w:val="13"/>
              </w:rPr>
            </w:pPr>
          </w:p>
        </w:tc>
      </w:tr>
      <w:tr w:rsidR="008A0F85" w:rsidRPr="004B208C" w:rsidTr="008B1045">
        <w:trPr>
          <w:cantSplit/>
          <w:trHeight w:val="278"/>
        </w:trPr>
        <w:tc>
          <w:tcPr>
            <w:tcW w:w="2371" w:type="dxa"/>
            <w:tcBorders>
              <w:bottom w:val="single" w:sz="4" w:space="0" w:color="auto"/>
            </w:tcBorders>
            <w:shd w:val="clear" w:color="auto" w:fill="FABF8F"/>
            <w:vAlign w:val="center"/>
          </w:tcPr>
          <w:p w:rsidR="00913A0A" w:rsidRPr="004B208C" w:rsidRDefault="00913A0A" w:rsidP="002378E5">
            <w:pPr>
              <w:pStyle w:val="Heading3"/>
              <w:spacing w:beforeLines="20" w:before="48" w:afterLines="20" w:after="48"/>
              <w:rPr>
                <w:rFonts w:ascii="Tahoma" w:hAnsi="Tahoma" w:cs="Tahoma"/>
                <w:b w:val="0"/>
                <w:sz w:val="14"/>
              </w:rPr>
            </w:pPr>
            <w:bookmarkStart w:id="64" w:name="_Toc336337868"/>
            <w:bookmarkStart w:id="65" w:name="_Toc370980999"/>
            <w:r w:rsidRPr="004B208C">
              <w:rPr>
                <w:rFonts w:ascii="Tahoma" w:hAnsi="Tahoma" w:cs="Tahoma"/>
                <w:b w:val="0"/>
                <w:sz w:val="14"/>
              </w:rPr>
              <w:t xml:space="preserve">Office Standard </w:t>
            </w:r>
            <w:bookmarkEnd w:id="64"/>
            <w:r w:rsidRPr="004B208C">
              <w:rPr>
                <w:rFonts w:ascii="Tahoma" w:hAnsi="Tahoma" w:cs="Tahoma"/>
                <w:b w:val="0"/>
                <w:sz w:val="14"/>
              </w:rPr>
              <w:t>2013</w:t>
            </w:r>
            <w:bookmarkEnd w:id="65"/>
            <w:r w:rsidRPr="004B208C">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11_Office_Standard" w:history="1">
              <w:r w:rsidR="00CF5A3E" w:rsidRPr="003435FB">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b/>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5</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widowControl w:val="0"/>
              <w:rPr>
                <w:rFonts w:ascii="Tahoma" w:hAnsi="Tahoma" w:cs="Tahoma"/>
                <w:sz w:val="13"/>
              </w:rPr>
            </w:pPr>
          </w:p>
        </w:tc>
      </w:tr>
      <w:tr w:rsidR="000956ED" w:rsidRPr="004B208C" w:rsidTr="008B1045">
        <w:trPr>
          <w:cantSplit/>
          <w:trHeight w:val="305"/>
        </w:trPr>
        <w:tc>
          <w:tcPr>
            <w:tcW w:w="2371" w:type="dxa"/>
            <w:tcBorders>
              <w:bottom w:val="single" w:sz="4" w:space="0" w:color="auto"/>
            </w:tcBorders>
            <w:shd w:val="clear" w:color="auto" w:fill="auto"/>
          </w:tcPr>
          <w:p w:rsidR="000956ED" w:rsidRPr="004B208C" w:rsidRDefault="000956ED" w:rsidP="002378E5">
            <w:pPr>
              <w:pStyle w:val="Heading2"/>
              <w:spacing w:beforeLines="20" w:before="48" w:afterLines="20" w:after="48"/>
              <w:ind w:left="0"/>
              <w:rPr>
                <w:rFonts w:ascii="Tahoma" w:hAnsi="Tahoma" w:cs="Tahoma"/>
                <w:b w:val="0"/>
                <w:sz w:val="14"/>
              </w:rPr>
            </w:pPr>
            <w:bookmarkStart w:id="66" w:name="_Toc336337869"/>
            <w:bookmarkStart w:id="67" w:name="_Toc370981000"/>
            <w:r w:rsidRPr="004B208C">
              <w:rPr>
                <w:rFonts w:ascii="Tahoma" w:hAnsi="Tahoma" w:cs="Tahoma"/>
                <w:b w:val="0"/>
                <w:sz w:val="14"/>
              </w:rPr>
              <w:t>Office 365 ProPlus (SL de Usuário)</w:t>
            </w:r>
            <w:bookmarkEnd w:id="66"/>
            <w:bookmarkEnd w:id="67"/>
          </w:p>
        </w:tc>
        <w:tc>
          <w:tcPr>
            <w:tcW w:w="429" w:type="dxa"/>
            <w:tcBorders>
              <w:bottom w:val="single" w:sz="4" w:space="0" w:color="auto"/>
            </w:tcBorders>
            <w:shd w:val="clear" w:color="auto" w:fill="auto"/>
          </w:tcPr>
          <w:p w:rsidR="000956ED" w:rsidRPr="003435FB" w:rsidRDefault="00C70EF2" w:rsidP="00D55AB9">
            <w:pPr>
              <w:pStyle w:val="TableText"/>
              <w:widowControl w:val="0"/>
              <w:spacing w:before="120"/>
              <w:rPr>
                <w:rFonts w:cs="Tahoma"/>
                <w:b/>
                <w:color w:val="0000FF"/>
                <w:sz w:val="13"/>
                <w:szCs w:val="13"/>
                <w:u w:val="single"/>
              </w:rPr>
            </w:pPr>
            <w:hyperlink w:anchor="_12_Office_365" w:history="1">
              <w:r w:rsidR="00CF5A3E" w:rsidRPr="003435FB">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0956ED" w:rsidRPr="004B208C" w:rsidRDefault="000956ED" w:rsidP="00D55AB9">
            <w:pPr>
              <w:pStyle w:val="TableText"/>
              <w:rPr>
                <w:rFonts w:ascii="Tahoma" w:hAnsi="Tahoma" w:cs="Tahoma"/>
                <w:sz w:val="13"/>
              </w:rPr>
            </w:pPr>
            <w:r w:rsidRPr="004B208C">
              <w:rPr>
                <w:rFonts w:ascii="Tahoma" w:hAnsi="Tahoma" w:cs="Tahoma"/>
                <w:sz w:val="13"/>
              </w:rPr>
              <w:t>06/11</w:t>
            </w:r>
          </w:p>
        </w:tc>
        <w:tc>
          <w:tcPr>
            <w:tcW w:w="429" w:type="dxa"/>
            <w:tcBorders>
              <w:bottom w:val="single" w:sz="4" w:space="0" w:color="auto"/>
              <w:right w:val="single" w:sz="18" w:space="0" w:color="auto"/>
            </w:tcBorders>
            <w:shd w:val="clear" w:color="auto" w:fill="auto"/>
          </w:tcPr>
          <w:p w:rsidR="000956ED" w:rsidRPr="004B208C" w:rsidRDefault="000956ED"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0956ED" w:rsidRPr="004B208C"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4B208C"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4B208C"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4B208C"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4B208C" w:rsidRDefault="000956ED" w:rsidP="00D55AB9">
            <w:pPr>
              <w:pStyle w:val="TableText"/>
              <w:rPr>
                <w:rFonts w:ascii="Tahoma" w:hAnsi="Tahoma" w:cs="Tahoma"/>
                <w:sz w:val="13"/>
              </w:rPr>
            </w:pPr>
          </w:p>
        </w:tc>
        <w:tc>
          <w:tcPr>
            <w:tcW w:w="429" w:type="dxa"/>
            <w:tcBorders>
              <w:bottom w:val="single" w:sz="4" w:space="0" w:color="auto"/>
            </w:tcBorders>
            <w:shd w:val="clear" w:color="auto" w:fill="auto"/>
          </w:tcPr>
          <w:p w:rsidR="000956ED" w:rsidRPr="004B208C" w:rsidRDefault="000956ED"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0956ED" w:rsidRPr="004B208C" w:rsidRDefault="000956ED"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tcPr>
          <w:p w:rsidR="000956ED" w:rsidRPr="004B208C" w:rsidRDefault="000956ED" w:rsidP="00D55AB9">
            <w:pPr>
              <w:pStyle w:val="TableText"/>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auto"/>
          </w:tcPr>
          <w:p w:rsidR="000956ED" w:rsidRPr="004B208C" w:rsidRDefault="000956ED"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0956ED" w:rsidRPr="004B208C" w:rsidRDefault="000956ED" w:rsidP="00D55AB9">
            <w:pPr>
              <w:pStyle w:val="TableText"/>
              <w:rPr>
                <w:rFonts w:ascii="Tahoma" w:hAnsi="Tahoma" w:cs="Tahoma"/>
                <w:sz w:val="13"/>
              </w:rPr>
            </w:pPr>
            <w:r w:rsidRPr="004B208C">
              <w:rPr>
                <w:rFonts w:ascii="Tahoma" w:hAnsi="Tahoma" w:cs="Tahoma"/>
                <w:sz w:val="13"/>
              </w:rPr>
              <w:t>E, S</w:t>
            </w:r>
          </w:p>
        </w:tc>
        <w:tc>
          <w:tcPr>
            <w:tcW w:w="342" w:type="dxa"/>
            <w:tcBorders>
              <w:left w:val="single" w:sz="18" w:space="0" w:color="auto"/>
              <w:bottom w:val="single" w:sz="4" w:space="0" w:color="auto"/>
              <w:right w:val="single" w:sz="18" w:space="0" w:color="auto"/>
            </w:tcBorders>
            <w:shd w:val="clear" w:color="auto" w:fill="auto"/>
          </w:tcPr>
          <w:p w:rsidR="000956ED" w:rsidRPr="004B208C" w:rsidRDefault="000956ED"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0956ED" w:rsidRPr="004B208C" w:rsidRDefault="000956ED" w:rsidP="00D55AB9">
            <w:pPr>
              <w:pStyle w:val="TableText"/>
              <w:rPr>
                <w:rFonts w:ascii="Tahoma" w:hAnsi="Tahoma" w:cs="Tahoma"/>
                <w:sz w:val="13"/>
              </w:rPr>
            </w:pPr>
          </w:p>
        </w:tc>
        <w:tc>
          <w:tcPr>
            <w:tcW w:w="477" w:type="dxa"/>
            <w:tcBorders>
              <w:bottom w:val="single" w:sz="4" w:space="0" w:color="auto"/>
            </w:tcBorders>
            <w:shd w:val="clear" w:color="auto" w:fill="auto"/>
          </w:tcPr>
          <w:p w:rsidR="000956ED" w:rsidRPr="004B208C" w:rsidRDefault="000956ED" w:rsidP="00D55AB9">
            <w:pPr>
              <w:pStyle w:val="TableText"/>
              <w:rPr>
                <w:rFonts w:ascii="Tahoma" w:hAnsi="Tahoma" w:cs="Tahoma"/>
                <w:sz w:val="13"/>
              </w:rPr>
            </w:pPr>
            <w:r w:rsidRPr="004B208C">
              <w:rPr>
                <w:rFonts w:ascii="Tahoma" w:hAnsi="Tahoma" w:cs="Tahoma"/>
                <w:sz w:val="13"/>
              </w:rPr>
              <w:t>LO/OV</w:t>
            </w:r>
          </w:p>
        </w:tc>
        <w:tc>
          <w:tcPr>
            <w:tcW w:w="335" w:type="dxa"/>
            <w:tcBorders>
              <w:bottom w:val="single" w:sz="4" w:space="0" w:color="auto"/>
            </w:tcBorders>
          </w:tcPr>
          <w:p w:rsidR="000956ED" w:rsidRPr="004B208C" w:rsidRDefault="000956ED" w:rsidP="00D55AB9">
            <w:pPr>
              <w:pStyle w:val="TableText"/>
              <w:rPr>
                <w:rFonts w:ascii="Tahoma" w:hAnsi="Tahoma" w:cs="Tahoma"/>
                <w:sz w:val="13"/>
              </w:rPr>
            </w:pPr>
          </w:p>
        </w:tc>
      </w:tr>
      <w:tr w:rsidR="008A0F85" w:rsidRPr="004B208C" w:rsidTr="008B1045">
        <w:trPr>
          <w:cantSplit/>
          <w:trHeight w:val="305"/>
        </w:trPr>
        <w:tc>
          <w:tcPr>
            <w:tcW w:w="2371" w:type="dxa"/>
            <w:tcBorders>
              <w:bottom w:val="single" w:sz="4" w:space="0" w:color="auto"/>
            </w:tcBorders>
            <w:shd w:val="clear" w:color="auto" w:fill="FABF8F"/>
            <w:vAlign w:val="center"/>
          </w:tcPr>
          <w:p w:rsidR="00913A0A" w:rsidRPr="004B208C" w:rsidRDefault="00913A0A" w:rsidP="003435FB">
            <w:pPr>
              <w:pStyle w:val="Heading2"/>
              <w:spacing w:beforeLines="20" w:before="48" w:afterLines="20" w:after="48"/>
              <w:ind w:left="0"/>
              <w:rPr>
                <w:rFonts w:ascii="Tahoma" w:hAnsi="Tahoma" w:cs="Tahoma"/>
                <w:b w:val="0"/>
                <w:sz w:val="14"/>
              </w:rPr>
            </w:pPr>
            <w:bookmarkStart w:id="68" w:name="_Toc370981001"/>
            <w:r w:rsidRPr="004B208C">
              <w:rPr>
                <w:rFonts w:ascii="Tahoma" w:hAnsi="Tahoma" w:cs="Tahoma"/>
                <w:b w:val="0"/>
                <w:sz w:val="14"/>
              </w:rPr>
              <w:lastRenderedPageBreak/>
              <w:t>Office 365 ProPlus SA Transition (SL</w:t>
            </w:r>
            <w:r w:rsidR="003435FB">
              <w:rPr>
                <w:rFonts w:ascii="Tahoma" w:hAnsi="Tahoma" w:cs="Tahoma"/>
                <w:b w:val="0"/>
                <w:sz w:val="14"/>
              </w:rPr>
              <w:t> </w:t>
            </w:r>
            <w:r w:rsidRPr="004B208C">
              <w:rPr>
                <w:rFonts w:ascii="Tahoma" w:hAnsi="Tahoma" w:cs="Tahoma"/>
                <w:b w:val="0"/>
                <w:sz w:val="14"/>
              </w:rPr>
              <w:t>de Usuário)</w:t>
            </w:r>
            <w:bookmarkEnd w:id="68"/>
          </w:p>
        </w:tc>
        <w:tc>
          <w:tcPr>
            <w:tcW w:w="429" w:type="dxa"/>
            <w:tcBorders>
              <w:bottom w:val="single" w:sz="4" w:space="0" w:color="auto"/>
            </w:tcBorders>
            <w:shd w:val="clear" w:color="auto" w:fill="FABF8F"/>
            <w:vAlign w:val="center"/>
          </w:tcPr>
          <w:p w:rsidR="00913A0A" w:rsidRPr="003435FB" w:rsidRDefault="00C70EF2" w:rsidP="00D55AB9">
            <w:pPr>
              <w:pStyle w:val="TableText"/>
              <w:widowControl w:val="0"/>
              <w:rPr>
                <w:rFonts w:cs="Tahoma"/>
                <w:b/>
                <w:color w:val="0000FF"/>
                <w:sz w:val="13"/>
                <w:szCs w:val="13"/>
                <w:u w:val="single"/>
              </w:rPr>
            </w:pPr>
            <w:hyperlink w:anchor="_12_Office_365" w:history="1">
              <w:r w:rsidR="00CF5A3E" w:rsidRPr="003435FB">
                <w:rPr>
                  <w:rStyle w:val="Hyperlink"/>
                  <w:rFonts w:cs="Tahoma"/>
                  <w:b/>
                  <w:sz w:val="13"/>
                  <w:szCs w:val="13"/>
                </w:rPr>
                <w:t>13</w:t>
              </w:r>
            </w:hyperlink>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E, S</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r>
      <w:tr w:rsidR="00913A0A" w:rsidRPr="004B208C" w:rsidTr="008B1045">
        <w:trPr>
          <w:cantSplit/>
          <w:trHeight w:val="305"/>
        </w:trPr>
        <w:tc>
          <w:tcPr>
            <w:tcW w:w="2371" w:type="dxa"/>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69" w:name="_Toc336337870"/>
            <w:bookmarkStart w:id="70" w:name="_Toc370981002"/>
            <w:r w:rsidRPr="004B208C">
              <w:rPr>
                <w:rFonts w:ascii="Tahoma" w:hAnsi="Tahoma" w:cs="Tahoma"/>
                <w:b w:val="0"/>
                <w:sz w:val="14"/>
              </w:rPr>
              <w:t>Assinatura A do Office Professional Plus (SL de Usuário)</w:t>
            </w:r>
            <w:bookmarkEnd w:id="69"/>
            <w:bookmarkEnd w:id="70"/>
          </w:p>
        </w:tc>
        <w:tc>
          <w:tcPr>
            <w:tcW w:w="429" w:type="dxa"/>
            <w:tcBorders>
              <w:bottom w:val="single" w:sz="4" w:space="0" w:color="auto"/>
            </w:tcBorders>
            <w:shd w:val="clear" w:color="auto" w:fill="auto"/>
            <w:vAlign w:val="center"/>
          </w:tcPr>
          <w:p w:rsidR="00913A0A" w:rsidRPr="003435FB" w:rsidRDefault="00913A0A" w:rsidP="00D55AB9">
            <w:pPr>
              <w:pStyle w:val="TableText"/>
              <w:widowControl w:val="0"/>
              <w:rPr>
                <w:rFonts w:cs="Tahoma"/>
                <w:color w:val="0000FF"/>
                <w:sz w:val="13"/>
                <w:szCs w:val="13"/>
                <w:u w:val="single"/>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E</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E (Somente EES), A (OVS-ES)</w:t>
            </w: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LO</w:t>
            </w: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p>
        </w:tc>
      </w:tr>
      <w:tr w:rsidR="008A0F85" w:rsidRPr="004B208C" w:rsidTr="008B1045">
        <w:trPr>
          <w:cantSplit/>
          <w:trHeight w:val="305"/>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71" w:name="_Toc336337873"/>
            <w:bookmarkStart w:id="72" w:name="_Toc370981003"/>
            <w:r w:rsidRPr="004B208C">
              <w:rPr>
                <w:rFonts w:ascii="Tahoma" w:hAnsi="Tahoma" w:cs="Tahoma"/>
                <w:b w:val="0"/>
                <w:sz w:val="14"/>
              </w:rPr>
              <w:t>OneNote</w:t>
            </w:r>
            <w:r w:rsidR="00172F11" w:rsidRPr="00172F11">
              <w:rPr>
                <w:rFonts w:ascii="Tahoma" w:hAnsi="Tahoma" w:cs="Tahoma"/>
                <w:b w:val="0"/>
                <w:sz w:val="14"/>
                <w:vertAlign w:val="superscript"/>
              </w:rPr>
              <w:t>®</w:t>
            </w:r>
            <w:r w:rsidRPr="004B208C">
              <w:rPr>
                <w:rFonts w:ascii="Tahoma" w:hAnsi="Tahoma" w:cs="Tahoma"/>
                <w:b w:val="0"/>
                <w:sz w:val="14"/>
              </w:rPr>
              <w:t xml:space="preserve"> </w:t>
            </w:r>
            <w:bookmarkEnd w:id="71"/>
            <w:r w:rsidRPr="004B208C">
              <w:rPr>
                <w:rFonts w:ascii="Tahoma" w:hAnsi="Tahoma" w:cs="Tahoma"/>
                <w:b w:val="0"/>
                <w:sz w:val="14"/>
              </w:rPr>
              <w:t>2013</w:t>
            </w:r>
            <w:bookmarkEnd w:id="72"/>
          </w:p>
        </w:tc>
        <w:tc>
          <w:tcPr>
            <w:tcW w:w="429" w:type="dxa"/>
            <w:tcBorders>
              <w:bottom w:val="single" w:sz="4" w:space="0" w:color="auto"/>
            </w:tcBorders>
            <w:shd w:val="clear" w:color="auto" w:fill="FABF8F"/>
            <w:vAlign w:val="center"/>
          </w:tcPr>
          <w:p w:rsidR="00913A0A" w:rsidRPr="003435FB" w:rsidRDefault="00913A0A" w:rsidP="00D55AB9">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r>
      <w:tr w:rsidR="00913A0A" w:rsidRPr="004B208C" w:rsidTr="008B1045">
        <w:trPr>
          <w:cantSplit/>
          <w:trHeight w:val="350"/>
        </w:trPr>
        <w:tc>
          <w:tcPr>
            <w:tcW w:w="2371" w:type="dxa"/>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73" w:name="_Toc336337874"/>
            <w:bookmarkStart w:id="74" w:name="_Toc370981004"/>
            <w:r w:rsidRPr="004B208C">
              <w:rPr>
                <w:rFonts w:ascii="Tahoma" w:hAnsi="Tahoma" w:cs="Tahoma"/>
                <w:b w:val="0"/>
                <w:sz w:val="14"/>
              </w:rPr>
              <w:t>Outlook</w:t>
            </w:r>
            <w:r w:rsidR="00172F11" w:rsidRPr="00172F11">
              <w:rPr>
                <w:rFonts w:ascii="Tahoma" w:hAnsi="Tahoma" w:cs="Tahoma"/>
                <w:b w:val="0"/>
                <w:sz w:val="14"/>
                <w:vertAlign w:val="superscript"/>
              </w:rPr>
              <w:t>®</w:t>
            </w:r>
            <w:r w:rsidRPr="004B208C">
              <w:rPr>
                <w:rFonts w:ascii="Tahoma" w:hAnsi="Tahoma" w:cs="Tahoma"/>
                <w:b w:val="0"/>
                <w:sz w:val="14"/>
              </w:rPr>
              <w:t xml:space="preserve"> </w:t>
            </w:r>
            <w:bookmarkEnd w:id="73"/>
            <w:r w:rsidRPr="004B208C">
              <w:rPr>
                <w:rFonts w:ascii="Tahoma" w:hAnsi="Tahoma" w:cs="Tahoma"/>
                <w:b w:val="0"/>
                <w:sz w:val="14"/>
              </w:rPr>
              <w:t>2013</w:t>
            </w:r>
            <w:bookmarkEnd w:id="74"/>
          </w:p>
        </w:tc>
        <w:tc>
          <w:tcPr>
            <w:tcW w:w="429" w:type="dxa"/>
            <w:tcBorders>
              <w:bottom w:val="single" w:sz="4" w:space="0" w:color="auto"/>
            </w:tcBorders>
            <w:shd w:val="clear" w:color="auto" w:fill="auto"/>
            <w:vAlign w:val="center"/>
          </w:tcPr>
          <w:p w:rsidR="00913A0A" w:rsidRPr="003435FB" w:rsidRDefault="00913A0A" w:rsidP="00D55AB9">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p>
        </w:tc>
      </w:tr>
      <w:tr w:rsidR="008A0F85" w:rsidRPr="004B208C" w:rsidTr="008B1045">
        <w:trPr>
          <w:cantSplit/>
          <w:trHeight w:val="305"/>
        </w:trPr>
        <w:tc>
          <w:tcPr>
            <w:tcW w:w="2371" w:type="dxa"/>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6"/>
                <w:szCs w:val="16"/>
              </w:rPr>
            </w:pPr>
            <w:bookmarkStart w:id="75" w:name="_Toc336337875"/>
            <w:bookmarkStart w:id="76" w:name="_Toc370981005"/>
            <w:r w:rsidRPr="004B208C">
              <w:rPr>
                <w:rFonts w:ascii="Tahoma" w:hAnsi="Tahoma" w:cs="Tahoma"/>
                <w:b w:val="0"/>
                <w:sz w:val="14"/>
                <w:szCs w:val="16"/>
              </w:rPr>
              <w:t xml:space="preserve">Outlook </w:t>
            </w:r>
            <w:bookmarkEnd w:id="75"/>
            <w:r w:rsidRPr="004B208C">
              <w:rPr>
                <w:rFonts w:ascii="Tahoma" w:hAnsi="Tahoma" w:cs="Tahoma"/>
                <w:b w:val="0"/>
                <w:sz w:val="14"/>
                <w:szCs w:val="16"/>
              </w:rPr>
              <w:t>para Mac 2011</w:t>
            </w:r>
            <w:bookmarkEnd w:id="76"/>
          </w:p>
        </w:tc>
        <w:tc>
          <w:tcPr>
            <w:tcW w:w="429" w:type="dxa"/>
            <w:tcBorders>
              <w:bottom w:val="single" w:sz="4" w:space="0" w:color="auto"/>
            </w:tcBorders>
            <w:shd w:val="clear" w:color="auto" w:fill="FABF8F"/>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13_Outlook_for" w:history="1">
              <w:r w:rsidR="00CF5A3E" w:rsidRPr="003435FB">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widowControl w:val="0"/>
              <w:rPr>
                <w:rFonts w:ascii="Tahoma" w:hAnsi="Tahoma" w:cs="Tahoma"/>
                <w:sz w:val="13"/>
              </w:rPr>
            </w:pPr>
          </w:p>
        </w:tc>
      </w:tr>
      <w:tr w:rsidR="00913A0A" w:rsidRPr="004B208C" w:rsidTr="008B1045">
        <w:trPr>
          <w:cantSplit/>
          <w:trHeight w:val="305"/>
        </w:trPr>
        <w:tc>
          <w:tcPr>
            <w:tcW w:w="2371" w:type="dxa"/>
            <w:tcBorders>
              <w:bottom w:val="single" w:sz="4" w:space="0" w:color="auto"/>
            </w:tcBorders>
            <w:shd w:val="clear" w:color="auto" w:fill="auto"/>
            <w:vAlign w:val="center"/>
          </w:tcPr>
          <w:p w:rsidR="00913A0A" w:rsidRPr="004B208C" w:rsidRDefault="00913A0A" w:rsidP="002378E5">
            <w:pPr>
              <w:pStyle w:val="Heading3"/>
              <w:spacing w:beforeLines="20" w:before="48" w:afterLines="20" w:after="48"/>
              <w:rPr>
                <w:rFonts w:ascii="Tahoma" w:hAnsi="Tahoma" w:cs="Tahoma"/>
                <w:b w:val="0"/>
                <w:sz w:val="14"/>
              </w:rPr>
            </w:pPr>
            <w:bookmarkStart w:id="77" w:name="_Toc370981006"/>
            <w:r w:rsidRPr="004B208C">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rsidR="00913A0A" w:rsidRPr="003435FB" w:rsidRDefault="00913A0A"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widowControl w:val="0"/>
              <w:rPr>
                <w:rFonts w:ascii="Tahoma" w:hAnsi="Tahoma" w:cs="Tahoma"/>
                <w:sz w:val="13"/>
              </w:rPr>
            </w:pPr>
          </w:p>
        </w:tc>
        <w:tc>
          <w:tcPr>
            <w:tcW w:w="335" w:type="dxa"/>
            <w:tcBorders>
              <w:bottom w:val="single" w:sz="4" w:space="0" w:color="auto"/>
            </w:tcBorders>
          </w:tcPr>
          <w:p w:rsidR="00913A0A" w:rsidRPr="004B208C" w:rsidRDefault="00913A0A" w:rsidP="00D55AB9">
            <w:pPr>
              <w:pStyle w:val="TableText"/>
              <w:widowControl w:val="0"/>
              <w:rPr>
                <w:rFonts w:ascii="Tahoma" w:hAnsi="Tahoma" w:cs="Tahoma"/>
                <w:sz w:val="13"/>
              </w:rPr>
            </w:pPr>
          </w:p>
        </w:tc>
      </w:tr>
      <w:tr w:rsidR="008A0F85" w:rsidRPr="004B208C" w:rsidTr="008B1045">
        <w:trPr>
          <w:cantSplit/>
          <w:trHeight w:val="145"/>
        </w:trPr>
        <w:tc>
          <w:tcPr>
            <w:tcW w:w="2371" w:type="dxa"/>
            <w:tcBorders>
              <w:bottom w:val="single" w:sz="4" w:space="0" w:color="auto"/>
            </w:tcBorders>
            <w:shd w:val="clear" w:color="auto" w:fill="FABF8F"/>
          </w:tcPr>
          <w:p w:rsidR="00913A0A" w:rsidRPr="004B208C" w:rsidRDefault="00913A0A" w:rsidP="002378E5">
            <w:pPr>
              <w:pStyle w:val="Heading3"/>
              <w:spacing w:beforeLines="20" w:before="48" w:afterLines="20" w:after="48"/>
              <w:rPr>
                <w:rFonts w:ascii="Tahoma" w:hAnsi="Tahoma" w:cs="Tahoma"/>
                <w:b w:val="0"/>
                <w:sz w:val="14"/>
              </w:rPr>
            </w:pPr>
            <w:bookmarkStart w:id="78" w:name="_Toc336337878"/>
            <w:bookmarkStart w:id="79" w:name="_Toc370981007"/>
            <w:r w:rsidRPr="004B208C">
              <w:rPr>
                <w:rFonts w:ascii="Tahoma" w:hAnsi="Tahoma" w:cs="Tahoma"/>
                <w:b w:val="0"/>
                <w:sz w:val="14"/>
              </w:rPr>
              <w:t>PowerPoint para Mac 2011</w:t>
            </w:r>
            <w:bookmarkEnd w:id="78"/>
            <w:bookmarkEnd w:id="79"/>
          </w:p>
        </w:tc>
        <w:tc>
          <w:tcPr>
            <w:tcW w:w="429" w:type="dxa"/>
            <w:tcBorders>
              <w:bottom w:val="single" w:sz="4" w:space="0" w:color="auto"/>
            </w:tcBorders>
            <w:shd w:val="clear" w:color="auto" w:fill="FABF8F"/>
            <w:vAlign w:val="center"/>
          </w:tcPr>
          <w:p w:rsidR="00913A0A" w:rsidRPr="003435FB" w:rsidRDefault="00913A0A"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2378E5">
            <w:pPr>
              <w:pStyle w:val="Heading3"/>
              <w:spacing w:beforeLines="20" w:before="48" w:afterLines="20" w:after="48"/>
              <w:rPr>
                <w:rFonts w:ascii="Tahoma" w:hAnsi="Tahoma" w:cs="Tahoma"/>
                <w:b w:val="0"/>
                <w:sz w:val="14"/>
              </w:rPr>
            </w:pPr>
            <w:bookmarkStart w:id="80" w:name="_Toc336337879"/>
            <w:bookmarkStart w:id="81" w:name="_Toc370981008"/>
            <w:r w:rsidRPr="004B208C">
              <w:rPr>
                <w:rFonts w:ascii="Tahoma" w:hAnsi="Tahoma" w:cs="Tahoma"/>
                <w:b w:val="0"/>
                <w:sz w:val="14"/>
              </w:rPr>
              <w:t>Project Standard</w:t>
            </w:r>
            <w:bookmarkEnd w:id="80"/>
            <w:r w:rsidRPr="004B208C">
              <w:rPr>
                <w:rFonts w:ascii="Tahoma" w:hAnsi="Tahoma" w:cs="Tahoma"/>
                <w:b w:val="0"/>
                <w:sz w:val="14"/>
              </w:rPr>
              <w:t xml:space="preserve"> 2013</w:t>
            </w:r>
            <w:bookmarkEnd w:id="81"/>
            <w:r w:rsidRPr="004B208C">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3435FB" w:rsidRDefault="00913A0A"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5</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4</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r w:rsidRPr="004B208C">
              <w:rPr>
                <w:rFonts w:ascii="Tahoma" w:hAnsi="Tahoma" w:cs="Tahoma"/>
                <w:sz w:val="13"/>
              </w:rPr>
              <w:t>A</w:t>
            </w:r>
          </w:p>
        </w:tc>
      </w:tr>
      <w:tr w:rsidR="008A0F85" w:rsidRPr="004B208C" w:rsidTr="008B1045">
        <w:trPr>
          <w:cantSplit/>
          <w:trHeight w:val="145"/>
        </w:trPr>
        <w:tc>
          <w:tcPr>
            <w:tcW w:w="2371" w:type="dxa"/>
            <w:tcBorders>
              <w:bottom w:val="single" w:sz="4" w:space="0" w:color="auto"/>
            </w:tcBorders>
            <w:shd w:val="clear" w:color="auto" w:fill="FABF8F"/>
          </w:tcPr>
          <w:p w:rsidR="00913A0A" w:rsidRPr="004B208C" w:rsidRDefault="00913A0A" w:rsidP="002378E5">
            <w:pPr>
              <w:pStyle w:val="Heading3"/>
              <w:spacing w:beforeLines="20" w:before="48" w:afterLines="20" w:after="48"/>
              <w:rPr>
                <w:rFonts w:ascii="Tahoma" w:hAnsi="Tahoma" w:cs="Tahoma"/>
                <w:b w:val="0"/>
                <w:sz w:val="14"/>
              </w:rPr>
            </w:pPr>
            <w:bookmarkStart w:id="82" w:name="_Toc336337880"/>
            <w:bookmarkStart w:id="83" w:name="_Toc370981009"/>
            <w:r w:rsidRPr="004B208C">
              <w:rPr>
                <w:rFonts w:ascii="Tahoma" w:hAnsi="Tahoma" w:cs="Tahoma"/>
                <w:b w:val="0"/>
                <w:sz w:val="14"/>
              </w:rPr>
              <w:t>Project Professional 2013</w:t>
            </w:r>
            <w:bookmarkEnd w:id="82"/>
            <w:bookmarkEnd w:id="83"/>
            <w:r w:rsidRPr="004B208C">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14_Project_Professional" w:history="1">
              <w:r w:rsidR="00CF5A3E" w:rsidRPr="003435FB">
                <w:rPr>
                  <w:rStyle w:val="Hyperlink"/>
                  <w:rFonts w:cs="Tahoma"/>
                  <w:b/>
                  <w:sz w:val="13"/>
                  <w:szCs w:val="13"/>
                </w:rPr>
                <w:t>15</w:t>
              </w:r>
            </w:hyperlink>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10</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8</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4</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szCs w:val="13"/>
              </w:rPr>
            </w:pPr>
            <w:r w:rsidRPr="004B208C">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 AO, ST</w:t>
            </w: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r w:rsidRPr="004B208C">
              <w:rPr>
                <w:rFonts w:ascii="Tahoma" w:hAnsi="Tahoma" w:cs="Tahoma"/>
                <w:sz w:val="13"/>
              </w:rPr>
              <w:t>A</w:t>
            </w: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2378E5">
            <w:pPr>
              <w:pStyle w:val="Heading3"/>
              <w:spacing w:beforeLines="20" w:before="48" w:afterLines="20" w:after="48"/>
              <w:rPr>
                <w:rFonts w:ascii="Tahoma" w:hAnsi="Tahoma" w:cs="Tahoma"/>
                <w:b w:val="0"/>
                <w:sz w:val="14"/>
              </w:rPr>
            </w:pPr>
            <w:bookmarkStart w:id="84" w:name="_Toc370981010"/>
            <w:r w:rsidRPr="004B208C">
              <w:rPr>
                <w:rFonts w:ascii="Tahoma" w:hAnsi="Tahoma" w:cs="Tahoma"/>
                <w:b w:val="0"/>
                <w:sz w:val="14"/>
              </w:rPr>
              <w:t>Project Pro para Office 365</w:t>
            </w:r>
            <w:bookmarkEnd w:id="84"/>
            <w:r w:rsidR="00172F11">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3435FB" w:rsidRDefault="00C70EF2" w:rsidP="00D55AB9">
            <w:pPr>
              <w:pStyle w:val="TableText"/>
              <w:widowControl w:val="0"/>
              <w:rPr>
                <w:rFonts w:cs="Tahoma"/>
                <w:b/>
                <w:color w:val="0000FF"/>
                <w:sz w:val="13"/>
                <w:szCs w:val="13"/>
                <w:u w:val="single"/>
              </w:rPr>
            </w:pPr>
            <w:hyperlink w:anchor="_15_Project_Pro" w:history="1">
              <w:r w:rsidR="00CF5A3E" w:rsidRPr="003435FB">
                <w:rPr>
                  <w:rStyle w:val="Hyperlink"/>
                  <w:rFonts w:cs="Tahoma"/>
                  <w:b/>
                  <w:sz w:val="13"/>
                  <w:szCs w:val="13"/>
                </w:rPr>
                <w:t>16</w:t>
              </w:r>
            </w:hyperlink>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r w:rsidRPr="004B208C">
              <w:rPr>
                <w:rFonts w:ascii="Tahoma" w:hAnsi="Tahoma" w:cs="Tahoma"/>
                <w:sz w:val="13"/>
              </w:rPr>
              <w:t>A</w:t>
            </w:r>
          </w:p>
        </w:tc>
      </w:tr>
      <w:tr w:rsidR="008A0F85" w:rsidRPr="004B208C" w:rsidTr="008B1045">
        <w:trPr>
          <w:cantSplit/>
          <w:trHeight w:val="145"/>
        </w:trPr>
        <w:tc>
          <w:tcPr>
            <w:tcW w:w="2371" w:type="dxa"/>
            <w:tcBorders>
              <w:bottom w:val="single" w:sz="4" w:space="0" w:color="auto"/>
            </w:tcBorders>
            <w:shd w:val="clear" w:color="auto" w:fill="FABF8F"/>
          </w:tcPr>
          <w:p w:rsidR="00913A0A" w:rsidRPr="004B208C" w:rsidRDefault="00913A0A" w:rsidP="002378E5">
            <w:pPr>
              <w:pStyle w:val="Heading3"/>
              <w:spacing w:beforeLines="20" w:before="48" w:afterLines="20" w:after="48"/>
              <w:rPr>
                <w:rFonts w:ascii="Tahoma" w:hAnsi="Tahoma" w:cs="Tahoma"/>
                <w:b w:val="0"/>
                <w:sz w:val="14"/>
              </w:rPr>
            </w:pPr>
            <w:bookmarkStart w:id="85" w:name="_Toc370981011"/>
            <w:r w:rsidRPr="004B208C">
              <w:rPr>
                <w:rFonts w:ascii="Tahoma" w:hAnsi="Tahoma" w:cs="Tahoma"/>
                <w:b w:val="0"/>
                <w:sz w:val="14"/>
              </w:rPr>
              <w:t>Project Pro para Office 365 A</w:t>
            </w:r>
            <w:bookmarkEnd w:id="85"/>
          </w:p>
        </w:tc>
        <w:tc>
          <w:tcPr>
            <w:tcW w:w="429" w:type="dxa"/>
            <w:tcBorders>
              <w:bottom w:val="single" w:sz="4" w:space="0" w:color="auto"/>
            </w:tcBorders>
            <w:shd w:val="clear" w:color="auto" w:fill="FABF8F"/>
            <w:vAlign w:val="center"/>
          </w:tcPr>
          <w:p w:rsidR="00913A0A" w:rsidRPr="003435FB" w:rsidRDefault="00913A0A" w:rsidP="00D55AB9">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 ST (Somente EES)</w:t>
            </w: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r w:rsidRPr="004B208C">
              <w:rPr>
                <w:rFonts w:ascii="Tahoma" w:hAnsi="Tahoma" w:cs="Tahoma"/>
                <w:sz w:val="13"/>
              </w:rPr>
              <w:t>A</w:t>
            </w: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2378E5">
            <w:pPr>
              <w:pStyle w:val="Heading3"/>
              <w:spacing w:beforeLines="20" w:before="48" w:afterLines="20" w:after="48"/>
              <w:rPr>
                <w:rFonts w:ascii="Tahoma" w:hAnsi="Tahoma" w:cs="Tahoma"/>
                <w:b w:val="0"/>
                <w:sz w:val="14"/>
              </w:rPr>
            </w:pPr>
            <w:bookmarkStart w:id="86" w:name="_Toc370981012"/>
            <w:r w:rsidRPr="004B208C">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rsidR="00913A0A" w:rsidRPr="003435FB" w:rsidRDefault="00913A0A" w:rsidP="00D55AB9">
            <w:pPr>
              <w:pStyle w:val="TableText"/>
              <w:widowControl w:val="0"/>
              <w:rPr>
                <w:rFonts w:cs="Tahoma"/>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913A0A" w:rsidRPr="004B208C" w:rsidDel="00527D48" w:rsidRDefault="00913A0A" w:rsidP="00D55AB9">
            <w:pPr>
              <w:pStyle w:val="TableText"/>
              <w:spacing w:before="60" w:after="6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r w:rsidRPr="004B208C">
              <w:rPr>
                <w:rFonts w:ascii="Tahoma" w:hAnsi="Tahoma" w:cs="Tahoma"/>
                <w:sz w:val="13"/>
                <w:szCs w:val="13"/>
              </w:rPr>
              <w:t>1</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p>
        </w:tc>
      </w:tr>
      <w:tr w:rsidR="008A0F85" w:rsidRPr="004B208C" w:rsidTr="008B1045">
        <w:trPr>
          <w:cantSplit/>
          <w:trHeight w:val="145"/>
        </w:trPr>
        <w:tc>
          <w:tcPr>
            <w:tcW w:w="2371" w:type="dxa"/>
            <w:tcBorders>
              <w:bottom w:val="single" w:sz="4" w:space="0" w:color="auto"/>
            </w:tcBorders>
            <w:shd w:val="clear" w:color="auto" w:fill="FABF8F"/>
          </w:tcPr>
          <w:p w:rsidR="00913A0A" w:rsidRPr="004B208C" w:rsidRDefault="00913A0A" w:rsidP="002378E5">
            <w:pPr>
              <w:pStyle w:val="Heading3"/>
              <w:spacing w:beforeLines="20" w:before="48" w:afterLines="20" w:after="48"/>
              <w:rPr>
                <w:rFonts w:ascii="Tahoma" w:hAnsi="Tahoma" w:cs="Tahoma"/>
                <w:b w:val="0"/>
                <w:sz w:val="14"/>
              </w:rPr>
            </w:pPr>
            <w:bookmarkStart w:id="88" w:name="_Toc336337882"/>
            <w:bookmarkStart w:id="89" w:name="_Toc370981013"/>
            <w:r w:rsidRPr="004B208C">
              <w:rPr>
                <w:rFonts w:ascii="Tahoma" w:hAnsi="Tahoma" w:cs="Tahoma"/>
                <w:b w:val="0"/>
                <w:sz w:val="14"/>
              </w:rPr>
              <w:t xml:space="preserve">Direitos de Locação para Office </w:t>
            </w:r>
            <w:bookmarkEnd w:id="88"/>
            <w:r w:rsidRPr="004B208C">
              <w:rPr>
                <w:rFonts w:ascii="Tahoma" w:hAnsi="Tahoma" w:cs="Tahoma"/>
                <w:b w:val="0"/>
                <w:sz w:val="14"/>
              </w:rPr>
              <w:t>Standard</w:t>
            </w:r>
            <w:bookmarkEnd w:id="89"/>
          </w:p>
        </w:tc>
        <w:tc>
          <w:tcPr>
            <w:tcW w:w="429" w:type="dxa"/>
            <w:tcBorders>
              <w:bottom w:val="single" w:sz="4" w:space="0" w:color="auto"/>
            </w:tcBorders>
            <w:shd w:val="clear" w:color="auto" w:fill="FABF8F"/>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16_Rental_Rights" w:history="1">
              <w:r w:rsidR="00CF5A3E" w:rsidRPr="003435FB">
                <w:rPr>
                  <w:rStyle w:val="Hyperlink"/>
                  <w:rFonts w:cs="Tahoma"/>
                  <w:b/>
                  <w:sz w:val="13"/>
                  <w:szCs w:val="13"/>
                </w:rPr>
                <w:t>17</w:t>
              </w:r>
            </w:hyperlink>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2378E5">
            <w:pPr>
              <w:pStyle w:val="Heading3"/>
              <w:spacing w:beforeLines="20" w:before="48" w:afterLines="20" w:after="48"/>
              <w:rPr>
                <w:rFonts w:ascii="Tahoma" w:hAnsi="Tahoma" w:cs="Tahoma"/>
                <w:b w:val="0"/>
                <w:sz w:val="14"/>
              </w:rPr>
            </w:pPr>
            <w:bookmarkStart w:id="90" w:name="_Toc370981014"/>
            <w:r w:rsidRPr="004B208C">
              <w:rPr>
                <w:rFonts w:ascii="Tahoma" w:hAnsi="Tahoma" w:cs="Tahoma"/>
                <w:b w:val="0"/>
                <w:sz w:val="14"/>
              </w:rPr>
              <w:t>Direitos de Locação para Office Professional Plus</w:t>
            </w:r>
            <w:bookmarkEnd w:id="90"/>
          </w:p>
        </w:tc>
        <w:tc>
          <w:tcPr>
            <w:tcW w:w="429" w:type="dxa"/>
            <w:tcBorders>
              <w:bottom w:val="single" w:sz="4" w:space="0" w:color="auto"/>
            </w:tcBorders>
            <w:shd w:val="clear" w:color="auto" w:fill="auto"/>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16_Rental_Rights" w:history="1">
              <w:r w:rsidR="00CF5A3E" w:rsidRPr="003435FB">
                <w:rPr>
                  <w:rStyle w:val="Hyperlink"/>
                  <w:rFonts w:cs="Tahoma"/>
                  <w:b/>
                  <w:sz w:val="13"/>
                  <w:szCs w:val="13"/>
                </w:rPr>
                <w:t>17</w:t>
              </w:r>
            </w:hyperlink>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p>
        </w:tc>
      </w:tr>
      <w:tr w:rsidR="008A0F85" w:rsidRPr="004B208C" w:rsidTr="008B1045">
        <w:trPr>
          <w:cantSplit/>
          <w:trHeight w:val="145"/>
        </w:trPr>
        <w:tc>
          <w:tcPr>
            <w:tcW w:w="2371" w:type="dxa"/>
            <w:tcBorders>
              <w:bottom w:val="single" w:sz="4" w:space="0" w:color="auto"/>
            </w:tcBorders>
            <w:shd w:val="clear" w:color="auto" w:fill="FABF8F"/>
          </w:tcPr>
          <w:p w:rsidR="00913A0A" w:rsidRPr="004B208C" w:rsidRDefault="00913A0A" w:rsidP="002378E5">
            <w:pPr>
              <w:pStyle w:val="Heading3"/>
              <w:spacing w:beforeLines="20" w:before="48" w:afterLines="20" w:after="48"/>
              <w:rPr>
                <w:rFonts w:ascii="Tahoma" w:hAnsi="Tahoma" w:cs="Tahoma"/>
                <w:b w:val="0"/>
                <w:sz w:val="14"/>
              </w:rPr>
            </w:pPr>
            <w:bookmarkStart w:id="91" w:name="_Toc336337884"/>
            <w:bookmarkStart w:id="92" w:name="_Toc370981015"/>
            <w:r w:rsidRPr="004B208C">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rsidR="00913A0A" w:rsidRPr="003435FB" w:rsidRDefault="00913A0A"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A,ST</w:t>
            </w: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2378E5">
            <w:pPr>
              <w:pStyle w:val="Heading3"/>
              <w:spacing w:beforeLines="20" w:before="48" w:afterLines="20" w:after="48"/>
              <w:rPr>
                <w:rFonts w:ascii="Tahoma" w:hAnsi="Tahoma" w:cs="Tahoma"/>
                <w:b w:val="0"/>
                <w:sz w:val="14"/>
              </w:rPr>
            </w:pPr>
            <w:bookmarkStart w:id="93" w:name="_Toc336337886"/>
            <w:bookmarkStart w:id="94" w:name="_Toc370981016"/>
            <w:r w:rsidRPr="004B208C">
              <w:rPr>
                <w:rFonts w:ascii="Tahoma" w:hAnsi="Tahoma" w:cs="Tahoma"/>
                <w:b w:val="0"/>
                <w:sz w:val="14"/>
              </w:rPr>
              <w:t>Visio</w:t>
            </w:r>
            <w:r w:rsidR="00172F11" w:rsidRPr="00172F11">
              <w:rPr>
                <w:rFonts w:ascii="Tahoma" w:hAnsi="Tahoma" w:cs="Tahoma"/>
                <w:b w:val="0"/>
                <w:sz w:val="14"/>
                <w:vertAlign w:val="superscript"/>
              </w:rPr>
              <w:t>®</w:t>
            </w:r>
            <w:r w:rsidRPr="004B208C">
              <w:rPr>
                <w:rFonts w:ascii="Tahoma" w:hAnsi="Tahoma" w:cs="Tahoma"/>
                <w:b w:val="0"/>
                <w:sz w:val="14"/>
              </w:rPr>
              <w:t xml:space="preserve"> 2013 Professional</w:t>
            </w:r>
            <w:bookmarkEnd w:id="93"/>
            <w:bookmarkEnd w:id="94"/>
            <w:r w:rsidR="00172F11">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17_Visio_Professional" w:history="1">
              <w:r w:rsidR="00CF5A3E" w:rsidRPr="003435FB">
                <w:rPr>
                  <w:rStyle w:val="Hyperlink"/>
                  <w:rFonts w:cs="Tahoma"/>
                  <w:b/>
                  <w:sz w:val="13"/>
                  <w:szCs w:val="13"/>
                </w:rPr>
                <w:t>18</w:t>
              </w:r>
            </w:hyperlink>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5</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4</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p>
        </w:tc>
      </w:tr>
      <w:tr w:rsidR="008A0F85" w:rsidRPr="004B208C" w:rsidTr="008B1045">
        <w:trPr>
          <w:cantSplit/>
          <w:trHeight w:val="145"/>
        </w:trPr>
        <w:tc>
          <w:tcPr>
            <w:tcW w:w="2371" w:type="dxa"/>
            <w:tcBorders>
              <w:bottom w:val="single" w:sz="4" w:space="0" w:color="auto"/>
            </w:tcBorders>
            <w:shd w:val="clear" w:color="auto" w:fill="FABF8F"/>
          </w:tcPr>
          <w:p w:rsidR="00913A0A" w:rsidRPr="004B208C" w:rsidRDefault="00913A0A" w:rsidP="002378E5">
            <w:pPr>
              <w:pStyle w:val="Heading3"/>
              <w:spacing w:beforeLines="20" w:before="48" w:afterLines="20" w:after="48"/>
              <w:rPr>
                <w:rFonts w:ascii="Tahoma" w:hAnsi="Tahoma" w:cs="Tahoma"/>
                <w:b w:val="0"/>
                <w:sz w:val="14"/>
              </w:rPr>
            </w:pPr>
            <w:bookmarkStart w:id="95" w:name="_Toc336337887"/>
            <w:bookmarkStart w:id="96" w:name="_Toc370981017"/>
            <w:r w:rsidRPr="004B208C">
              <w:rPr>
                <w:rFonts w:ascii="Tahoma" w:hAnsi="Tahoma" w:cs="Tahoma"/>
                <w:b w:val="0"/>
                <w:sz w:val="14"/>
              </w:rPr>
              <w:t>Visio</w:t>
            </w:r>
            <w:r w:rsidR="00172F11" w:rsidRPr="00172F11">
              <w:rPr>
                <w:rFonts w:ascii="Tahoma" w:hAnsi="Tahoma" w:cs="Tahoma"/>
                <w:b w:val="0"/>
                <w:sz w:val="14"/>
                <w:vertAlign w:val="superscript"/>
              </w:rPr>
              <w:t>®</w:t>
            </w:r>
            <w:r w:rsidRPr="004B208C">
              <w:rPr>
                <w:rFonts w:ascii="Tahoma" w:hAnsi="Tahoma" w:cs="Tahoma"/>
                <w:b w:val="0"/>
                <w:sz w:val="14"/>
              </w:rPr>
              <w:t xml:space="preserve"> 2013 Standard</w:t>
            </w:r>
            <w:bookmarkEnd w:id="95"/>
            <w:bookmarkEnd w:id="96"/>
            <w:r w:rsidRPr="004B208C">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3435FB" w:rsidRDefault="00913A0A"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2378E5">
            <w:pPr>
              <w:pStyle w:val="ProductNames"/>
              <w:spacing w:beforeLines="20" w:before="48" w:afterLines="20" w:after="48"/>
              <w:rPr>
                <w:rFonts w:ascii="Tahoma" w:hAnsi="Tahoma" w:cs="Tahoma"/>
                <w:sz w:val="14"/>
              </w:rPr>
            </w:pPr>
            <w:bookmarkStart w:id="97" w:name="_Toc370981018"/>
            <w:r w:rsidRPr="004B208C">
              <w:rPr>
                <w:rFonts w:ascii="Tahoma" w:hAnsi="Tahoma" w:cs="Tahoma"/>
                <w:sz w:val="14"/>
              </w:rPr>
              <w:t>Visio Pro para Office 365</w:t>
            </w:r>
            <w:bookmarkEnd w:id="97"/>
          </w:p>
        </w:tc>
        <w:tc>
          <w:tcPr>
            <w:tcW w:w="429" w:type="dxa"/>
            <w:tcBorders>
              <w:bottom w:val="single" w:sz="4" w:space="0" w:color="auto"/>
            </w:tcBorders>
            <w:shd w:val="clear" w:color="auto" w:fill="auto"/>
            <w:vAlign w:val="center"/>
          </w:tcPr>
          <w:p w:rsidR="00913A0A" w:rsidRPr="003435FB" w:rsidRDefault="00C70EF2" w:rsidP="00D55AB9">
            <w:pPr>
              <w:pStyle w:val="TableText"/>
              <w:widowControl w:val="0"/>
              <w:rPr>
                <w:rStyle w:val="EndnoteReference"/>
                <w:rFonts w:cs="Tahoma"/>
                <w:b w:val="0"/>
                <w:color w:val="0000FF"/>
                <w:sz w:val="13"/>
                <w:szCs w:val="13"/>
                <w:u w:val="single"/>
              </w:rPr>
            </w:pPr>
            <w:hyperlink w:anchor="_18_Visio_Pro" w:history="1">
              <w:r w:rsidR="00CF5A3E" w:rsidRPr="003435FB">
                <w:rPr>
                  <w:rStyle w:val="Hyperlink"/>
                  <w:rFonts w:cs="Tahoma"/>
                  <w:b/>
                  <w:sz w:val="13"/>
                  <w:szCs w:val="13"/>
                </w:rPr>
                <w:t>19</w:t>
              </w:r>
            </w:hyperlink>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p>
        </w:tc>
      </w:tr>
      <w:tr w:rsidR="008A0F85" w:rsidRPr="004B208C" w:rsidTr="008B1045">
        <w:trPr>
          <w:cantSplit/>
          <w:trHeight w:val="145"/>
        </w:trPr>
        <w:tc>
          <w:tcPr>
            <w:tcW w:w="2371" w:type="dxa"/>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98" w:name="_Toc370981019"/>
            <w:r w:rsidRPr="004B208C">
              <w:rPr>
                <w:rFonts w:ascii="Tahoma" w:hAnsi="Tahoma" w:cs="Tahoma"/>
                <w:sz w:val="14"/>
              </w:rPr>
              <w:t>Visio Pro para Office 365 A</w:t>
            </w:r>
            <w:bookmarkEnd w:id="98"/>
          </w:p>
        </w:tc>
        <w:tc>
          <w:tcPr>
            <w:tcW w:w="429" w:type="dxa"/>
            <w:tcBorders>
              <w:bottom w:val="single" w:sz="4" w:space="0" w:color="auto"/>
            </w:tcBorders>
            <w:shd w:val="clear" w:color="auto" w:fill="FABF8F"/>
            <w:vAlign w:val="center"/>
          </w:tcPr>
          <w:p w:rsidR="00913A0A" w:rsidRPr="003435FB" w:rsidRDefault="00913A0A"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 ST (Somente EES)</w:t>
            </w: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2378E5">
            <w:pPr>
              <w:pStyle w:val="ProductNames"/>
              <w:spacing w:beforeLines="20" w:before="48" w:afterLines="20" w:after="48"/>
              <w:rPr>
                <w:rFonts w:ascii="Tahoma" w:hAnsi="Tahoma" w:cs="Tahoma"/>
                <w:sz w:val="14"/>
              </w:rPr>
            </w:pPr>
            <w:bookmarkStart w:id="99" w:name="_Toc336337889"/>
            <w:bookmarkStart w:id="100" w:name="_Toc370981020"/>
            <w:r w:rsidRPr="004B208C">
              <w:rPr>
                <w:rFonts w:ascii="Tahoma" w:hAnsi="Tahoma" w:cs="Tahoma"/>
                <w:sz w:val="14"/>
              </w:rPr>
              <w:t>Visual Studio</w:t>
            </w:r>
            <w:r w:rsidR="00172F11" w:rsidRPr="00172F11">
              <w:rPr>
                <w:rFonts w:ascii="Tahoma" w:hAnsi="Tahoma" w:cs="Tahoma"/>
                <w:sz w:val="14"/>
                <w:vertAlign w:val="superscript"/>
              </w:rPr>
              <w:t>®</w:t>
            </w:r>
            <w:r w:rsidRPr="004B208C">
              <w:rPr>
                <w:rFonts w:ascii="Tahoma" w:hAnsi="Tahoma" w:cs="Tahoma"/>
                <w:sz w:val="14"/>
              </w:rPr>
              <w:t xml:space="preserve"> Professional </w:t>
            </w:r>
            <w:bookmarkEnd w:id="99"/>
            <w:r w:rsidRPr="004B208C">
              <w:rPr>
                <w:rFonts w:ascii="Tahoma" w:hAnsi="Tahoma" w:cs="Tahoma"/>
                <w:sz w:val="14"/>
              </w:rPr>
              <w:t>2013</w:t>
            </w:r>
            <w:bookmarkEnd w:id="100"/>
          </w:p>
        </w:tc>
        <w:tc>
          <w:tcPr>
            <w:tcW w:w="429" w:type="dxa"/>
            <w:tcBorders>
              <w:bottom w:val="single" w:sz="4" w:space="0" w:color="auto"/>
            </w:tcBorders>
            <w:shd w:val="clear" w:color="auto" w:fill="auto"/>
            <w:vAlign w:val="center"/>
          </w:tcPr>
          <w:p w:rsidR="00913A0A" w:rsidRPr="003435FB" w:rsidRDefault="00C70EF2" w:rsidP="00D55AB9">
            <w:pPr>
              <w:pStyle w:val="TableText"/>
              <w:widowControl w:val="0"/>
              <w:rPr>
                <w:rFonts w:cs="Tahoma"/>
                <w:b/>
                <w:color w:val="0000FF"/>
                <w:sz w:val="13"/>
                <w:szCs w:val="13"/>
                <w:u w:val="single"/>
              </w:rPr>
            </w:pPr>
            <w:hyperlink w:anchor="_19_Visual_Studio" w:history="1">
              <w:r w:rsidR="00CF5A3E" w:rsidRPr="003435FB">
                <w:rPr>
                  <w:rStyle w:val="Hyperlink"/>
                  <w:rFonts w:cs="Tahoma"/>
                  <w:b/>
                  <w:sz w:val="13"/>
                  <w:szCs w:val="13"/>
                </w:rPr>
                <w:t>20</w:t>
              </w:r>
            </w:hyperlink>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before="120" w:after="12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p>
        </w:tc>
      </w:tr>
      <w:tr w:rsidR="008A0F85" w:rsidRPr="004B208C" w:rsidTr="008B1045">
        <w:trPr>
          <w:cantSplit/>
          <w:trHeight w:val="145"/>
        </w:trPr>
        <w:tc>
          <w:tcPr>
            <w:tcW w:w="2371" w:type="dxa"/>
            <w:tcBorders>
              <w:bottom w:val="single" w:sz="4" w:space="0" w:color="auto"/>
            </w:tcBorders>
            <w:shd w:val="clear" w:color="auto" w:fill="FABF8F"/>
          </w:tcPr>
          <w:p w:rsidR="00913A0A" w:rsidRPr="004B208C" w:rsidRDefault="00913A0A" w:rsidP="003435FB">
            <w:pPr>
              <w:pStyle w:val="ProductNames"/>
              <w:spacing w:beforeLines="20" w:before="48" w:afterLines="20" w:after="48"/>
              <w:rPr>
                <w:rFonts w:ascii="Tahoma" w:hAnsi="Tahoma" w:cs="Tahoma"/>
                <w:sz w:val="14"/>
              </w:rPr>
            </w:pPr>
            <w:bookmarkStart w:id="101" w:name="_Toc336337890"/>
            <w:bookmarkStart w:id="102" w:name="_Toc370981021"/>
            <w:r w:rsidRPr="004B208C">
              <w:rPr>
                <w:rFonts w:ascii="Tahoma" w:hAnsi="Tahoma" w:cs="Tahoma"/>
                <w:sz w:val="14"/>
              </w:rPr>
              <w:t>Visual Studio</w:t>
            </w:r>
            <w:r w:rsidR="00172F11" w:rsidRPr="00172F11">
              <w:rPr>
                <w:rFonts w:ascii="Tahoma" w:hAnsi="Tahoma" w:cs="Tahoma"/>
                <w:sz w:val="14"/>
                <w:vertAlign w:val="superscript"/>
              </w:rPr>
              <w:t>®</w:t>
            </w:r>
            <w:r w:rsidRPr="004B208C">
              <w:rPr>
                <w:rFonts w:ascii="Tahoma" w:hAnsi="Tahoma" w:cs="Tahoma"/>
                <w:sz w:val="14"/>
              </w:rPr>
              <w:t xml:space="preserve"> Professional 2013 com</w:t>
            </w:r>
            <w:r w:rsidR="003435FB">
              <w:rPr>
                <w:rFonts w:ascii="Tahoma" w:hAnsi="Tahoma" w:cs="Tahoma"/>
                <w:sz w:val="14"/>
              </w:rPr>
              <w:t> </w:t>
            </w:r>
            <w:r w:rsidRPr="004B208C">
              <w:rPr>
                <w:rFonts w:ascii="Tahoma" w:hAnsi="Tahoma" w:cs="Tahoma"/>
                <w:sz w:val="14"/>
              </w:rPr>
              <w:t>MSDN</w:t>
            </w:r>
            <w:bookmarkEnd w:id="101"/>
            <w:bookmarkEnd w:id="102"/>
            <w:r w:rsidRPr="004B208C">
              <w:rPr>
                <w:rFonts w:ascii="Tahoma" w:hAnsi="Tahoma" w:cs="Tahoma"/>
                <w:sz w:val="14"/>
              </w:rPr>
              <w:t xml:space="preserve"> </w:t>
            </w:r>
          </w:p>
        </w:tc>
        <w:tc>
          <w:tcPr>
            <w:tcW w:w="429" w:type="dxa"/>
            <w:tcBorders>
              <w:bottom w:val="single" w:sz="4" w:space="0" w:color="auto"/>
            </w:tcBorders>
            <w:shd w:val="clear" w:color="auto" w:fill="FABF8F"/>
            <w:vAlign w:val="center"/>
          </w:tcPr>
          <w:p w:rsidR="00913A0A" w:rsidRPr="00CB1C95" w:rsidRDefault="00C70EF2" w:rsidP="00D55AB9">
            <w:pPr>
              <w:pStyle w:val="TableText"/>
              <w:widowControl w:val="0"/>
              <w:rPr>
                <w:rStyle w:val="EndnoteReference"/>
                <w:rFonts w:cs="Tahoma"/>
                <w:b w:val="0"/>
                <w:color w:val="0000FF"/>
                <w:sz w:val="13"/>
                <w:szCs w:val="13"/>
                <w:u w:val="single"/>
              </w:rPr>
            </w:pPr>
            <w:hyperlink w:anchor="_20_Visual_Studio" w:history="1">
              <w:r w:rsidR="00CF5A3E" w:rsidRPr="00CB1C95">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rPr>
            </w:pPr>
            <w:r w:rsidRPr="004B208C">
              <w:rPr>
                <w:rFonts w:ascii="Tahoma" w:hAnsi="Tahoma" w:cs="Tahoma"/>
                <w:sz w:val="13"/>
              </w:rPr>
              <w:t>LO/SA/</w:t>
            </w:r>
          </w:p>
          <w:p w:rsidR="00913A0A" w:rsidRPr="004B208C" w:rsidRDefault="00913A0A" w:rsidP="00D55AB9">
            <w:pPr>
              <w:pStyle w:val="TableText"/>
              <w:rPr>
                <w:rFonts w:ascii="Tahoma" w:hAnsi="Tahoma" w:cs="Tahoma"/>
                <w:sz w:val="13"/>
              </w:rPr>
            </w:pPr>
            <w:r w:rsidRPr="004B208C">
              <w:rPr>
                <w:rFonts w:ascii="Tahoma" w:hAnsi="Tahoma" w:cs="Tahoma"/>
                <w:sz w:val="13"/>
              </w:rPr>
              <w:t>OV</w:t>
            </w: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r w:rsidRPr="004B208C">
              <w:rPr>
                <w:rFonts w:ascii="Tahoma" w:hAnsi="Tahoma" w:cs="Tahoma"/>
                <w:sz w:val="13"/>
              </w:rPr>
              <w:t>A</w:t>
            </w: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3435FB">
            <w:pPr>
              <w:pStyle w:val="Heading2"/>
              <w:spacing w:beforeLines="20" w:before="48" w:afterLines="20" w:after="48"/>
              <w:ind w:left="0"/>
              <w:rPr>
                <w:rFonts w:ascii="Tahoma" w:hAnsi="Tahoma" w:cs="Tahoma"/>
                <w:b w:val="0"/>
                <w:sz w:val="14"/>
              </w:rPr>
            </w:pPr>
            <w:bookmarkStart w:id="103" w:name="_Toc336337891"/>
            <w:bookmarkStart w:id="104" w:name="_Toc370981022"/>
            <w:r w:rsidRPr="004B208C">
              <w:rPr>
                <w:rFonts w:ascii="Tahoma" w:hAnsi="Tahoma" w:cs="Tahoma"/>
                <w:b w:val="0"/>
                <w:sz w:val="14"/>
              </w:rPr>
              <w:t>Visual Studio</w:t>
            </w:r>
            <w:r w:rsidR="00172F11" w:rsidRPr="00172F11">
              <w:rPr>
                <w:rFonts w:ascii="Tahoma" w:hAnsi="Tahoma" w:cs="Tahoma"/>
                <w:sz w:val="14"/>
                <w:vertAlign w:val="superscript"/>
              </w:rPr>
              <w:t>®</w:t>
            </w:r>
            <w:r w:rsidRPr="004B208C">
              <w:rPr>
                <w:rFonts w:ascii="Tahoma" w:hAnsi="Tahoma" w:cs="Tahoma"/>
                <w:b w:val="0"/>
                <w:sz w:val="14"/>
              </w:rPr>
              <w:t xml:space="preserve"> Premium 2013 com</w:t>
            </w:r>
            <w:r w:rsidR="003435FB">
              <w:rPr>
                <w:rFonts w:ascii="Tahoma" w:hAnsi="Tahoma" w:cs="Tahoma"/>
                <w:b w:val="0"/>
                <w:sz w:val="14"/>
              </w:rPr>
              <w:t> </w:t>
            </w:r>
            <w:r w:rsidRPr="004B208C">
              <w:rPr>
                <w:rFonts w:ascii="Tahoma" w:hAnsi="Tahoma" w:cs="Tahoma"/>
                <w:b w:val="0"/>
                <w:sz w:val="14"/>
              </w:rPr>
              <w:t>MSDN</w:t>
            </w:r>
            <w:bookmarkEnd w:id="103"/>
            <w:bookmarkEnd w:id="104"/>
          </w:p>
        </w:tc>
        <w:tc>
          <w:tcPr>
            <w:tcW w:w="429" w:type="dxa"/>
            <w:tcBorders>
              <w:bottom w:val="single" w:sz="4" w:space="0" w:color="auto"/>
            </w:tcBorders>
            <w:shd w:val="clear" w:color="auto" w:fill="auto"/>
            <w:vAlign w:val="center"/>
          </w:tcPr>
          <w:p w:rsidR="00913A0A" w:rsidRPr="00CB1C95" w:rsidRDefault="00C70EF2" w:rsidP="00D55AB9">
            <w:pPr>
              <w:pStyle w:val="TableText"/>
              <w:widowControl w:val="0"/>
              <w:rPr>
                <w:rFonts w:cs="Tahoma"/>
                <w:b/>
                <w:sz w:val="13"/>
                <w:szCs w:val="13"/>
                <w:u w:val="single"/>
              </w:rPr>
            </w:pPr>
            <w:hyperlink w:anchor="_21_Visual_Studio" w:history="1">
              <w:r w:rsidR="00CF5A3E" w:rsidRPr="00CB1C95">
                <w:rPr>
                  <w:rStyle w:val="Hyperlink"/>
                  <w:rFonts w:cs="Tahoma"/>
                  <w:b/>
                  <w:sz w:val="13"/>
                  <w:szCs w:val="13"/>
                </w:rPr>
                <w:t>22</w:t>
              </w:r>
            </w:hyperlink>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40</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32</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24</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24</w:t>
            </w: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16</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rPr>
            </w:pPr>
            <w:r w:rsidRPr="004B208C">
              <w:rPr>
                <w:rFonts w:ascii="Tahoma" w:hAnsi="Tahoma" w:cs="Tahoma"/>
                <w:sz w:val="13"/>
              </w:rPr>
              <w:t>LO/SA/</w:t>
            </w:r>
          </w:p>
          <w:p w:rsidR="00913A0A" w:rsidRPr="004B208C" w:rsidRDefault="00913A0A" w:rsidP="00D55AB9">
            <w:pPr>
              <w:pStyle w:val="TableText"/>
              <w:rPr>
                <w:rFonts w:ascii="Tahoma" w:hAnsi="Tahoma" w:cs="Tahoma"/>
                <w:sz w:val="13"/>
              </w:rPr>
            </w:pPr>
            <w:r w:rsidRPr="004B208C">
              <w:rPr>
                <w:rFonts w:ascii="Tahoma" w:hAnsi="Tahoma" w:cs="Tahoma"/>
                <w:sz w:val="13"/>
              </w:rPr>
              <w:t>OV</w:t>
            </w: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r w:rsidRPr="004B208C">
              <w:rPr>
                <w:rFonts w:ascii="Tahoma" w:hAnsi="Tahoma" w:cs="Tahoma"/>
                <w:sz w:val="13"/>
              </w:rPr>
              <w:t>STP</w:t>
            </w:r>
          </w:p>
        </w:tc>
      </w:tr>
      <w:tr w:rsidR="008A0F85" w:rsidRPr="004B208C" w:rsidTr="008B1045">
        <w:trPr>
          <w:cantSplit/>
          <w:trHeight w:val="145"/>
        </w:trPr>
        <w:tc>
          <w:tcPr>
            <w:tcW w:w="2371" w:type="dxa"/>
            <w:tcBorders>
              <w:bottom w:val="single" w:sz="4" w:space="0" w:color="auto"/>
            </w:tcBorders>
            <w:shd w:val="clear" w:color="auto" w:fill="FABF8F"/>
          </w:tcPr>
          <w:p w:rsidR="00913A0A" w:rsidRPr="004B208C" w:rsidRDefault="00913A0A" w:rsidP="003435FB">
            <w:pPr>
              <w:pStyle w:val="Heading2"/>
              <w:spacing w:beforeLines="20" w:before="48" w:afterLines="20" w:after="48"/>
              <w:ind w:left="0"/>
              <w:rPr>
                <w:rFonts w:ascii="Tahoma" w:hAnsi="Tahoma" w:cs="Tahoma"/>
                <w:b w:val="0"/>
                <w:sz w:val="14"/>
              </w:rPr>
            </w:pPr>
            <w:bookmarkStart w:id="105" w:name="_Toc336337892"/>
            <w:bookmarkStart w:id="106" w:name="_Toc370981023"/>
            <w:r w:rsidRPr="004B208C">
              <w:rPr>
                <w:rFonts w:ascii="Tahoma" w:hAnsi="Tahoma" w:cs="Tahoma"/>
                <w:b w:val="0"/>
                <w:sz w:val="14"/>
              </w:rPr>
              <w:t>Visual Studio</w:t>
            </w:r>
            <w:r w:rsidR="00172F11" w:rsidRPr="00172F11">
              <w:rPr>
                <w:rFonts w:ascii="Tahoma" w:hAnsi="Tahoma" w:cs="Tahoma"/>
                <w:sz w:val="14"/>
                <w:vertAlign w:val="superscript"/>
              </w:rPr>
              <w:t>®</w:t>
            </w:r>
            <w:r w:rsidRPr="004B208C">
              <w:rPr>
                <w:rFonts w:ascii="Tahoma" w:hAnsi="Tahoma" w:cs="Tahoma"/>
                <w:b w:val="0"/>
                <w:sz w:val="14"/>
              </w:rPr>
              <w:t xml:space="preserve"> Ultimate 2013 com</w:t>
            </w:r>
            <w:r w:rsidR="003435FB">
              <w:rPr>
                <w:rFonts w:ascii="Tahoma" w:hAnsi="Tahoma" w:cs="Tahoma"/>
                <w:b w:val="0"/>
                <w:sz w:val="14"/>
              </w:rPr>
              <w:t> </w:t>
            </w:r>
            <w:r w:rsidRPr="004B208C">
              <w:rPr>
                <w:rFonts w:ascii="Tahoma" w:hAnsi="Tahoma" w:cs="Tahoma"/>
                <w:b w:val="0"/>
                <w:sz w:val="14"/>
              </w:rPr>
              <w:t>MSDN</w:t>
            </w:r>
            <w:bookmarkEnd w:id="105"/>
            <w:bookmarkEnd w:id="106"/>
          </w:p>
        </w:tc>
        <w:tc>
          <w:tcPr>
            <w:tcW w:w="429" w:type="dxa"/>
            <w:tcBorders>
              <w:bottom w:val="single" w:sz="4" w:space="0" w:color="auto"/>
            </w:tcBorders>
            <w:shd w:val="clear" w:color="auto" w:fill="FABF8F"/>
            <w:vAlign w:val="center"/>
          </w:tcPr>
          <w:p w:rsidR="00913A0A" w:rsidRPr="00CB1C95" w:rsidRDefault="00C70EF2" w:rsidP="00D55AB9">
            <w:pPr>
              <w:pStyle w:val="TableText"/>
              <w:widowControl w:val="0"/>
              <w:rPr>
                <w:rFonts w:cs="Tahoma"/>
                <w:b/>
                <w:sz w:val="13"/>
                <w:szCs w:val="13"/>
                <w:u w:val="single"/>
              </w:rPr>
            </w:pPr>
            <w:hyperlink w:anchor="_22_Visual_Studio" w:history="1">
              <w:r w:rsidR="00CF5A3E" w:rsidRPr="00CB1C95">
                <w:rPr>
                  <w:rStyle w:val="Hyperlink"/>
                  <w:rFonts w:cs="Tahoma"/>
                  <w:b/>
                  <w:sz w:val="13"/>
                  <w:szCs w:val="13"/>
                </w:rPr>
                <w:t>23</w:t>
              </w:r>
            </w:hyperlink>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85</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68</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51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51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34</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rPr>
            </w:pPr>
            <w:r w:rsidRPr="004B208C">
              <w:rPr>
                <w:rFonts w:ascii="Tahoma" w:hAnsi="Tahoma" w:cs="Tahoma"/>
                <w:sz w:val="13"/>
              </w:rPr>
              <w:t>LO/SA/</w:t>
            </w:r>
          </w:p>
          <w:p w:rsidR="00913A0A" w:rsidRPr="004B208C" w:rsidRDefault="00913A0A" w:rsidP="00D55AB9">
            <w:pPr>
              <w:pStyle w:val="TableText"/>
              <w:rPr>
                <w:rFonts w:ascii="Tahoma" w:hAnsi="Tahoma" w:cs="Tahoma"/>
                <w:sz w:val="13"/>
              </w:rPr>
            </w:pPr>
            <w:r w:rsidRPr="004B208C">
              <w:rPr>
                <w:rFonts w:ascii="Tahoma" w:hAnsi="Tahoma" w:cs="Tahoma"/>
                <w:sz w:val="13"/>
              </w:rPr>
              <w:t>OV</w:t>
            </w: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r w:rsidRPr="004B208C">
              <w:rPr>
                <w:rFonts w:ascii="Tahoma" w:hAnsi="Tahoma" w:cs="Tahoma"/>
                <w:sz w:val="13"/>
              </w:rPr>
              <w:t>STP</w:t>
            </w:r>
          </w:p>
        </w:tc>
      </w:tr>
      <w:tr w:rsidR="00913A0A" w:rsidRPr="004B208C" w:rsidTr="008B1045">
        <w:trPr>
          <w:cantSplit/>
          <w:trHeight w:val="145"/>
        </w:trPr>
        <w:tc>
          <w:tcPr>
            <w:tcW w:w="2371" w:type="dxa"/>
            <w:tcBorders>
              <w:bottom w:val="single" w:sz="4" w:space="0" w:color="auto"/>
            </w:tcBorders>
            <w:shd w:val="clear" w:color="auto" w:fill="auto"/>
          </w:tcPr>
          <w:p w:rsidR="00913A0A" w:rsidRPr="004B208C" w:rsidRDefault="00913A0A" w:rsidP="002378E5">
            <w:pPr>
              <w:pStyle w:val="Heading2"/>
              <w:spacing w:beforeLines="20" w:before="48" w:afterLines="20" w:after="48"/>
              <w:ind w:left="0"/>
              <w:rPr>
                <w:rFonts w:ascii="Tahoma" w:hAnsi="Tahoma" w:cs="Tahoma"/>
                <w:b w:val="0"/>
                <w:sz w:val="14"/>
              </w:rPr>
            </w:pPr>
            <w:bookmarkStart w:id="107" w:name="_Toc336337893"/>
            <w:bookmarkStart w:id="108" w:name="_Toc370981024"/>
            <w:r w:rsidRPr="004B208C">
              <w:rPr>
                <w:rFonts w:ascii="Tahoma" w:hAnsi="Tahoma" w:cs="Tahoma"/>
                <w:b w:val="0"/>
                <w:sz w:val="14"/>
              </w:rPr>
              <w:t>Visual Studio</w:t>
            </w:r>
            <w:r w:rsidR="00172F11" w:rsidRPr="00172F11">
              <w:rPr>
                <w:rFonts w:ascii="Tahoma" w:hAnsi="Tahoma" w:cs="Tahoma"/>
                <w:sz w:val="14"/>
                <w:vertAlign w:val="superscript"/>
              </w:rPr>
              <w:t>®</w:t>
            </w:r>
            <w:r w:rsidRPr="004B208C">
              <w:rPr>
                <w:rFonts w:ascii="Tahoma" w:hAnsi="Tahoma" w:cs="Tahoma"/>
                <w:b w:val="0"/>
                <w:sz w:val="14"/>
              </w:rPr>
              <w:t xml:space="preserve"> Test Professional 2013 com MSDN</w:t>
            </w:r>
            <w:bookmarkEnd w:id="107"/>
            <w:bookmarkEnd w:id="108"/>
          </w:p>
        </w:tc>
        <w:tc>
          <w:tcPr>
            <w:tcW w:w="429" w:type="dxa"/>
            <w:tcBorders>
              <w:bottom w:val="single" w:sz="4" w:space="0" w:color="auto"/>
            </w:tcBorders>
            <w:shd w:val="clear" w:color="auto" w:fill="auto"/>
            <w:vAlign w:val="center"/>
          </w:tcPr>
          <w:p w:rsidR="00913A0A" w:rsidRPr="00CB1C95" w:rsidRDefault="00C70EF2" w:rsidP="00D55AB9">
            <w:pPr>
              <w:pStyle w:val="TableText"/>
              <w:widowControl w:val="0"/>
              <w:rPr>
                <w:rFonts w:cs="Tahoma"/>
                <w:b/>
                <w:sz w:val="13"/>
                <w:szCs w:val="13"/>
                <w:u w:val="single"/>
              </w:rPr>
            </w:pPr>
            <w:hyperlink w:anchor="_23_Visual_Studio" w:history="1">
              <w:r w:rsidR="00CF5A3E" w:rsidRPr="00CB1C95">
                <w:rPr>
                  <w:rStyle w:val="Hyperlink"/>
                  <w:rFonts w:cs="Tahoma"/>
                  <w:b/>
                  <w:sz w:val="13"/>
                  <w:szCs w:val="13"/>
                </w:rPr>
                <w:t>24</w:t>
              </w:r>
            </w:hyperlink>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15</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9</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9</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6</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 S</w:t>
            </w: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A</w:t>
            </w: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rPr>
            </w:pPr>
            <w:r w:rsidRPr="004B208C">
              <w:rPr>
                <w:rFonts w:ascii="Tahoma" w:hAnsi="Tahoma" w:cs="Tahoma"/>
                <w:sz w:val="13"/>
              </w:rPr>
              <w:t>LO/SA/</w:t>
            </w:r>
          </w:p>
          <w:p w:rsidR="00913A0A" w:rsidRPr="004B208C" w:rsidRDefault="00913A0A" w:rsidP="00D55AB9">
            <w:pPr>
              <w:pStyle w:val="TableText"/>
              <w:rPr>
                <w:rFonts w:ascii="Tahoma" w:hAnsi="Tahoma" w:cs="Tahoma"/>
                <w:sz w:val="13"/>
              </w:rPr>
            </w:pPr>
            <w:r w:rsidRPr="004B208C">
              <w:rPr>
                <w:rFonts w:ascii="Tahoma" w:hAnsi="Tahoma" w:cs="Tahoma"/>
                <w:sz w:val="13"/>
              </w:rPr>
              <w:t>OV</w:t>
            </w: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r w:rsidRPr="004B208C">
              <w:rPr>
                <w:rFonts w:ascii="Tahoma" w:hAnsi="Tahoma" w:cs="Tahoma"/>
                <w:sz w:val="13"/>
              </w:rPr>
              <w:t>STP</w:t>
            </w:r>
          </w:p>
        </w:tc>
      </w:tr>
      <w:tr w:rsidR="008A0F85" w:rsidRPr="004B208C" w:rsidTr="008B1045">
        <w:trPr>
          <w:cantSplit/>
          <w:trHeight w:val="70"/>
        </w:trPr>
        <w:tc>
          <w:tcPr>
            <w:tcW w:w="2371" w:type="dxa"/>
            <w:tcBorders>
              <w:bottom w:val="single" w:sz="4" w:space="0" w:color="auto"/>
            </w:tcBorders>
            <w:shd w:val="clear" w:color="auto" w:fill="FABF8F"/>
          </w:tcPr>
          <w:p w:rsidR="00913A0A" w:rsidRPr="004B208C" w:rsidRDefault="00913A0A" w:rsidP="002378E5">
            <w:pPr>
              <w:pStyle w:val="Heading2"/>
              <w:spacing w:beforeLines="20" w:before="48" w:afterLines="20" w:after="48"/>
              <w:ind w:left="0"/>
              <w:rPr>
                <w:rFonts w:ascii="Tahoma" w:hAnsi="Tahoma" w:cs="Tahoma"/>
                <w:b w:val="0"/>
                <w:sz w:val="14"/>
              </w:rPr>
            </w:pPr>
            <w:bookmarkStart w:id="109" w:name="_Toc336337894"/>
            <w:bookmarkStart w:id="110" w:name="_Toc370981025"/>
            <w:r w:rsidRPr="004B208C">
              <w:rPr>
                <w:rFonts w:ascii="Tahoma" w:hAnsi="Tahoma" w:cs="Tahoma"/>
                <w:b w:val="0"/>
                <w:sz w:val="14"/>
              </w:rPr>
              <w:t xml:space="preserve">Word </w:t>
            </w:r>
            <w:bookmarkEnd w:id="109"/>
            <w:r w:rsidRPr="004B208C">
              <w:rPr>
                <w:rFonts w:ascii="Tahoma" w:hAnsi="Tahoma" w:cs="Tahoma"/>
                <w:b w:val="0"/>
                <w:sz w:val="14"/>
              </w:rPr>
              <w:t>2013</w:t>
            </w:r>
            <w:bookmarkEnd w:id="110"/>
          </w:p>
        </w:tc>
        <w:tc>
          <w:tcPr>
            <w:tcW w:w="429" w:type="dxa"/>
            <w:tcBorders>
              <w:bottom w:val="single" w:sz="4" w:space="0" w:color="auto"/>
            </w:tcBorders>
            <w:shd w:val="clear" w:color="auto" w:fill="FABF8F"/>
            <w:vAlign w:val="center"/>
          </w:tcPr>
          <w:p w:rsidR="00913A0A" w:rsidRPr="00CB1C95" w:rsidRDefault="00913A0A" w:rsidP="00D55AB9">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FABF8F"/>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shd w:val="clear" w:color="auto" w:fill="FABF8F"/>
          </w:tcPr>
          <w:p w:rsidR="00913A0A" w:rsidRPr="004B208C" w:rsidRDefault="00913A0A" w:rsidP="00D55AB9">
            <w:pPr>
              <w:pStyle w:val="TableText"/>
              <w:rPr>
                <w:rFonts w:ascii="Tahoma" w:hAnsi="Tahoma" w:cs="Tahoma"/>
                <w:sz w:val="13"/>
              </w:rPr>
            </w:pPr>
          </w:p>
        </w:tc>
      </w:tr>
      <w:tr w:rsidR="00913A0A" w:rsidRPr="004B208C" w:rsidTr="008B1045">
        <w:trPr>
          <w:cantSplit/>
          <w:trHeight w:val="323"/>
        </w:trPr>
        <w:tc>
          <w:tcPr>
            <w:tcW w:w="2371" w:type="dxa"/>
            <w:tcBorders>
              <w:bottom w:val="single" w:sz="4" w:space="0" w:color="auto"/>
            </w:tcBorders>
            <w:shd w:val="clear" w:color="auto" w:fill="auto"/>
          </w:tcPr>
          <w:p w:rsidR="00913A0A" w:rsidRPr="004B208C" w:rsidRDefault="00913A0A" w:rsidP="002378E5">
            <w:pPr>
              <w:pStyle w:val="Heading2"/>
              <w:spacing w:beforeLines="20" w:before="48" w:afterLines="20" w:after="48"/>
              <w:ind w:left="0"/>
              <w:rPr>
                <w:rFonts w:ascii="Tahoma" w:hAnsi="Tahoma" w:cs="Tahoma"/>
                <w:b w:val="0"/>
                <w:sz w:val="14"/>
              </w:rPr>
            </w:pPr>
            <w:bookmarkStart w:id="111" w:name="_Toc336337895"/>
            <w:bookmarkStart w:id="112" w:name="_Toc370981026"/>
            <w:r w:rsidRPr="004B208C">
              <w:rPr>
                <w:rFonts w:ascii="Tahoma" w:hAnsi="Tahoma" w:cs="Tahoma"/>
                <w:b w:val="0"/>
                <w:sz w:val="14"/>
              </w:rPr>
              <w:t>Word para Mac 2011</w:t>
            </w:r>
            <w:bookmarkEnd w:id="111"/>
            <w:bookmarkEnd w:id="112"/>
          </w:p>
        </w:tc>
        <w:tc>
          <w:tcPr>
            <w:tcW w:w="429" w:type="dxa"/>
            <w:tcBorders>
              <w:bottom w:val="single" w:sz="4" w:space="0" w:color="auto"/>
            </w:tcBorders>
            <w:shd w:val="clear" w:color="auto" w:fill="auto"/>
            <w:vAlign w:val="center"/>
          </w:tcPr>
          <w:p w:rsidR="00913A0A" w:rsidRPr="00CB1C95" w:rsidRDefault="00913A0A" w:rsidP="00D55AB9">
            <w:pPr>
              <w:pStyle w:val="TableText"/>
              <w:widowControl w:val="0"/>
              <w:rPr>
                <w:rStyle w:val="EndnoteReference"/>
                <w:rFonts w:cs="Tahoma"/>
                <w:color w:val="0000FF"/>
                <w:sz w:val="14"/>
              </w:rPr>
            </w:pPr>
          </w:p>
        </w:tc>
        <w:tc>
          <w:tcPr>
            <w:tcW w:w="429" w:type="dxa"/>
            <w:tcBorders>
              <w:bottom w:val="single" w:sz="4" w:space="0" w:color="auto"/>
            </w:tcBorders>
            <w:shd w:val="clear" w:color="auto" w:fill="auto"/>
            <w:vAlign w:val="center"/>
          </w:tcPr>
          <w:p w:rsidR="00913A0A" w:rsidRPr="004B208C" w:rsidRDefault="00913A0A" w:rsidP="00D55AB9">
            <w:pPr>
              <w:pStyle w:val="TableText"/>
              <w:spacing w:before="60" w:after="60"/>
              <w:rPr>
                <w:rFonts w:ascii="Tahoma" w:hAnsi="Tahoma" w:cs="Tahoma"/>
                <w:sz w:val="13"/>
              </w:rPr>
            </w:pPr>
            <w:r w:rsidRPr="004B208C">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spacing w:after="120"/>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3</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429"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1</w:t>
            </w:r>
          </w:p>
        </w:tc>
        <w:tc>
          <w:tcPr>
            <w:tcW w:w="541" w:type="dxa"/>
            <w:tcBorders>
              <w:left w:val="single" w:sz="18" w:space="0" w:color="auto"/>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42"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D55AB9">
            <w:pPr>
              <w:pStyle w:val="TableText"/>
              <w:rPr>
                <w:rFonts w:ascii="Tahoma" w:hAnsi="Tahoma" w:cs="Tahoma"/>
                <w:sz w:val="13"/>
              </w:rPr>
            </w:pPr>
            <w:r w:rsidRPr="004B208C">
              <w:rPr>
                <w:rFonts w:ascii="Tahoma" w:hAnsi="Tahoma" w:cs="Tahoma"/>
                <w:sz w:val="13"/>
              </w:rPr>
              <w:t>P</w:t>
            </w:r>
          </w:p>
        </w:tc>
        <w:tc>
          <w:tcPr>
            <w:tcW w:w="630"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477" w:type="dxa"/>
            <w:tcBorders>
              <w:bottom w:val="single" w:sz="4" w:space="0" w:color="auto"/>
            </w:tcBorders>
            <w:shd w:val="clear" w:color="auto" w:fill="auto"/>
            <w:vAlign w:val="center"/>
          </w:tcPr>
          <w:p w:rsidR="00913A0A" w:rsidRPr="004B208C" w:rsidRDefault="00913A0A" w:rsidP="00D55AB9">
            <w:pPr>
              <w:pStyle w:val="TableText"/>
              <w:rPr>
                <w:rFonts w:ascii="Tahoma" w:hAnsi="Tahoma" w:cs="Tahoma"/>
                <w:sz w:val="13"/>
              </w:rPr>
            </w:pPr>
          </w:p>
        </w:tc>
        <w:tc>
          <w:tcPr>
            <w:tcW w:w="335" w:type="dxa"/>
            <w:tcBorders>
              <w:bottom w:val="single" w:sz="4" w:space="0" w:color="auto"/>
            </w:tcBorders>
          </w:tcPr>
          <w:p w:rsidR="00913A0A" w:rsidRPr="004B208C" w:rsidRDefault="00913A0A" w:rsidP="00D55AB9">
            <w:pPr>
              <w:pStyle w:val="TableText"/>
              <w:rPr>
                <w:rFonts w:ascii="Tahoma" w:hAnsi="Tahoma" w:cs="Tahoma"/>
                <w:sz w:val="13"/>
              </w:rPr>
            </w:pPr>
          </w:p>
        </w:tc>
      </w:tr>
    </w:tbl>
    <w:p w:rsidR="00023FE7" w:rsidRPr="004B208C" w:rsidRDefault="00847333">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39FE" w:rsidRDefault="009539FE">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9539FE" w:rsidRDefault="009539FE">
                            <w:pPr>
                              <w:rPr>
                                <w:rFonts w:cs="Tahoma"/>
                                <w:i/>
                                <w:color w:val="000000"/>
                                <w:sz w:val="14"/>
                                <w:szCs w:val="14"/>
                              </w:rPr>
                            </w:pPr>
                            <w:r>
                              <w:rPr>
                                <w:rFonts w:cs="Tahoma"/>
                                <w:i/>
                                <w:color w:val="000000"/>
                                <w:sz w:val="14"/>
                                <w:szCs w:val="14"/>
                              </w:rPr>
                              <w:t>*Para Select Plus, serão usados apenas os valores de ‘L’ e três anos para ‘L&amp;SA’ / ’SA’.</w:t>
                            </w:r>
                          </w:p>
                          <w:p w:rsidR="009539FE" w:rsidRDefault="009539F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rsidR="009539FE" w:rsidRDefault="009539FE">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9539FE" w:rsidRDefault="009539FE">
                      <w:pPr>
                        <w:rPr>
                          <w:rFonts w:cs="Tahoma"/>
                          <w:i/>
                          <w:color w:val="000000"/>
                          <w:sz w:val="14"/>
                          <w:szCs w:val="14"/>
                        </w:rPr>
                      </w:pPr>
                      <w:r>
                        <w:rPr>
                          <w:rFonts w:cs="Tahoma"/>
                          <w:i/>
                          <w:color w:val="000000"/>
                          <w:sz w:val="14"/>
                          <w:szCs w:val="14"/>
                        </w:rPr>
                        <w:t>*Para Select Plus, serão usados apenas os valores de ‘L’ e três anos para ‘L&amp;SA’ / ’SA’.</w:t>
                      </w:r>
                    </w:p>
                    <w:p w:rsidR="009539FE" w:rsidRDefault="009539FE"/>
                  </w:txbxContent>
                </v:textbox>
              </v:shape>
            </w:pict>
          </mc:Fallback>
        </mc:AlternateContent>
      </w:r>
    </w:p>
    <w:p w:rsidR="00023FE7" w:rsidRPr="004B208C" w:rsidRDefault="00023FE7">
      <w:pPr>
        <w:pStyle w:val="ProductPool"/>
        <w:rPr>
          <w:rFonts w:ascii="Tahoma" w:hAnsi="Tahoma" w:cs="Tahoma"/>
        </w:rPr>
      </w:pPr>
    </w:p>
    <w:p w:rsidR="00E5334D" w:rsidRPr="004B208C" w:rsidRDefault="00E5334D">
      <w:pPr>
        <w:rPr>
          <w:rFonts w:cs="Tahoma"/>
        </w:rPr>
      </w:pPr>
    </w:p>
    <w:p w:rsidR="00023FE7" w:rsidRPr="004B208C" w:rsidRDefault="00023FE7" w:rsidP="004E292A">
      <w:pPr>
        <w:pStyle w:val="Heading3"/>
        <w:rPr>
          <w:rFonts w:ascii="Tahoma" w:hAnsi="Tahoma" w:cs="Tahoma"/>
        </w:rPr>
      </w:pPr>
      <w:bookmarkStart w:id="113" w:name="_Toc336337896"/>
      <w:bookmarkStart w:id="114" w:name="_Toc370981027"/>
      <w:r w:rsidRPr="004B208C">
        <w:rPr>
          <w:rFonts w:ascii="Tahoma" w:hAnsi="Tahoma" w:cs="Tahoma"/>
          <w:sz w:val="22"/>
        </w:rPr>
        <w:t>POOL DE SISTEMAS</w:t>
      </w:r>
      <w:bookmarkEnd w:id="113"/>
      <w:bookmarkEnd w:id="114"/>
    </w:p>
    <w:p w:rsidR="00023FE7" w:rsidRPr="004B208C"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23"/>
        <w:gridCol w:w="443"/>
        <w:gridCol w:w="412"/>
        <w:gridCol w:w="364"/>
        <w:gridCol w:w="68"/>
        <w:gridCol w:w="382"/>
        <w:gridCol w:w="68"/>
        <w:gridCol w:w="382"/>
        <w:gridCol w:w="32"/>
        <w:gridCol w:w="418"/>
        <w:gridCol w:w="450"/>
        <w:gridCol w:w="450"/>
        <w:gridCol w:w="394"/>
        <w:gridCol w:w="430"/>
        <w:gridCol w:w="470"/>
        <w:gridCol w:w="385"/>
        <w:gridCol w:w="515"/>
        <w:gridCol w:w="403"/>
        <w:gridCol w:w="378"/>
        <w:gridCol w:w="612"/>
        <w:gridCol w:w="497"/>
        <w:gridCol w:w="360"/>
      </w:tblGrid>
      <w:tr w:rsidR="00913A0A" w:rsidRPr="004B208C" w:rsidTr="00472778">
        <w:trPr>
          <w:cantSplit/>
          <w:trHeight w:val="389"/>
          <w:tblHeader/>
        </w:trPr>
        <w:tc>
          <w:tcPr>
            <w:tcW w:w="2430" w:type="dxa"/>
            <w:vMerge w:val="restart"/>
            <w:tcBorders>
              <w:top w:val="single" w:sz="4" w:space="0" w:color="FFFFFF"/>
              <w:left w:val="single" w:sz="4" w:space="0" w:color="FFFFFF"/>
            </w:tcBorders>
          </w:tcPr>
          <w:p w:rsidR="00913A0A" w:rsidRPr="004B208C" w:rsidRDefault="00847333">
            <w:pPr>
              <w:rPr>
                <w:rFonts w:cs="Tahoma"/>
                <w:sz w:val="20"/>
              </w:rPr>
            </w:pPr>
            <w:r>
              <w:rPr>
                <w:rFonts w:cs="Tahoma"/>
                <w:noProof/>
                <w:sz w:val="9"/>
              </w:rPr>
              <w:lastRenderedPageBreak/>
              <mc:AlternateContent>
                <mc:Choice Requires="wps">
                  <w:drawing>
                    <wp:anchor distT="0" distB="0" distL="114300" distR="114300" simplePos="0" relativeHeight="251667968" behindDoc="0" locked="0" layoutInCell="1" allowOverlap="1">
                      <wp:simplePos x="0" y="0"/>
                      <wp:positionH relativeFrom="column">
                        <wp:posOffset>1453515</wp:posOffset>
                      </wp:positionH>
                      <wp:positionV relativeFrom="paragraph">
                        <wp:posOffset>408305</wp:posOffset>
                      </wp:positionV>
                      <wp:extent cx="367030" cy="267970"/>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67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39FE" w:rsidRDefault="009539FE">
                                  <w:pPr>
                                    <w:rPr>
                                      <w:color w:val="0000FF"/>
                                      <w:sz w:val="20"/>
                                    </w:rPr>
                                  </w:pPr>
                                  <w:r>
                                    <w:rPr>
                                      <w:rFonts w:cs="Tahoma"/>
                                      <w:b/>
                                      <w:color w:val="0000FF"/>
                                      <w:sz w:val="8"/>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1" o:spid="_x0000_s1027" type="#_x0000_t202" style="position:absolute;margin-left:114.45pt;margin-top:32.15pt;width:28.9pt;height:21.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" filled="f" stroked="f">
                      <v:textbox>
                        <w:txbxContent>
                          <w:p w:rsidR="009539FE" w:rsidRDefault="009539FE">
                            <w:pPr>
                              <w:rPr>
                                <w:color w:val="0000FF"/>
                                <w:sz w:val="20"/>
                              </w:rPr>
                            </w:pPr>
                            <w:r>
                              <w:rPr>
                                <w:rFonts w:cs="Tahoma"/>
                                <w:b/>
                                <w:color w:val="0000FF"/>
                                <w:sz w:val="8"/>
                              </w:rPr>
                              <w:t>(Ctrl + clique)</w:t>
                            </w:r>
                          </w:p>
                        </w:txbxContent>
                      </v:textbox>
                    </v:shape>
                  </w:pict>
                </mc:Fallback>
              </mc:AlternateContent>
            </w:r>
          </w:p>
        </w:tc>
        <w:tc>
          <w:tcPr>
            <w:tcW w:w="423" w:type="dxa"/>
            <w:vMerge w:val="restart"/>
            <w:tcBorders>
              <w:top w:val="single" w:sz="12" w:space="0" w:color="auto"/>
            </w:tcBorders>
            <w:textDirection w:val="btLr"/>
            <w:vAlign w:val="center"/>
          </w:tcPr>
          <w:p w:rsidR="00913A0A" w:rsidRPr="004B208C" w:rsidRDefault="00CF5A3E" w:rsidP="009F34B7">
            <w:pPr>
              <w:pStyle w:val="TableVerticalText"/>
              <w:rPr>
                <w:rFonts w:ascii="Tahoma" w:hAnsi="Tahoma" w:cs="Tahoma"/>
                <w:sz w:val="9"/>
              </w:rPr>
            </w:pPr>
            <w:r w:rsidRPr="004B208C">
              <w:rPr>
                <w:rFonts w:ascii="Tahoma" w:hAnsi="Tahoma" w:cs="Tahoma"/>
                <w:sz w:val="9"/>
              </w:rPr>
              <w:t xml:space="preserve">Notas do </w:t>
            </w:r>
            <w:r w:rsidR="00FE370D">
              <w:rPr>
                <w:rFonts w:ascii="Tahoma" w:hAnsi="Tahoma" w:cs="Tahoma"/>
                <w:sz w:val="9"/>
              </w:rPr>
              <w:br/>
            </w:r>
            <w:r w:rsidRPr="004B208C">
              <w:rPr>
                <w:rFonts w:ascii="Tahoma" w:hAnsi="Tahoma" w:cs="Tahoma"/>
                <w:sz w:val="9"/>
              </w:rPr>
              <w:t>Produto</w:t>
            </w:r>
          </w:p>
        </w:tc>
        <w:tc>
          <w:tcPr>
            <w:tcW w:w="443" w:type="dxa"/>
            <w:vMerge w:val="restart"/>
            <w:tcBorders>
              <w:top w:val="single" w:sz="12" w:space="0" w:color="auto"/>
            </w:tcBorders>
            <w:textDirection w:val="btLr"/>
            <w:vAlign w:val="center"/>
          </w:tcPr>
          <w:p w:rsidR="00913A0A" w:rsidRPr="004B208C" w:rsidRDefault="00913A0A" w:rsidP="00472778">
            <w:pPr>
              <w:pStyle w:val="TableVerticalText"/>
              <w:spacing w:before="120"/>
              <w:rPr>
                <w:rFonts w:ascii="Tahoma" w:hAnsi="Tahoma" w:cs="Tahoma"/>
                <w:sz w:val="9"/>
              </w:rPr>
            </w:pPr>
            <w:r w:rsidRPr="004B208C">
              <w:rPr>
                <w:rFonts w:ascii="Tahoma" w:hAnsi="Tahoma" w:cs="Tahoma"/>
                <w:sz w:val="9"/>
              </w:rPr>
              <w:t>Data disponível</w:t>
            </w:r>
          </w:p>
        </w:tc>
        <w:tc>
          <w:tcPr>
            <w:tcW w:w="412" w:type="dxa"/>
            <w:vMerge w:val="restart"/>
            <w:tcBorders>
              <w:top w:val="single" w:sz="12" w:space="0" w:color="auto"/>
              <w:right w:val="single" w:sz="18" w:space="0" w:color="auto"/>
            </w:tcBorders>
            <w:textDirection w:val="btLr"/>
            <w:vAlign w:val="center"/>
          </w:tcPr>
          <w:p w:rsidR="00913A0A" w:rsidRPr="004B208C" w:rsidRDefault="00913A0A">
            <w:pPr>
              <w:pStyle w:val="TableVerticalText"/>
              <w:rPr>
                <w:rFonts w:ascii="Tahoma" w:hAnsi="Tahoma" w:cs="Tahoma"/>
                <w:sz w:val="9"/>
              </w:rPr>
            </w:pPr>
            <w:r w:rsidRPr="004B208C">
              <w:rPr>
                <w:rFonts w:ascii="Tahoma" w:hAnsi="Tahoma" w:cs="Tahoma"/>
                <w:sz w:val="9"/>
              </w:rPr>
              <w:t>SAB</w:t>
            </w:r>
          </w:p>
        </w:tc>
        <w:tc>
          <w:tcPr>
            <w:tcW w:w="3008" w:type="dxa"/>
            <w:gridSpan w:val="10"/>
            <w:tcBorders>
              <w:top w:val="single" w:sz="12" w:space="0" w:color="auto"/>
              <w:left w:val="single" w:sz="18" w:space="0" w:color="auto"/>
              <w:right w:val="single" w:sz="18" w:space="0" w:color="auto"/>
            </w:tcBorders>
            <w:vAlign w:val="center"/>
          </w:tcPr>
          <w:p w:rsidR="00913A0A" w:rsidRPr="004B208C" w:rsidRDefault="00913A0A">
            <w:pPr>
              <w:pStyle w:val="TableHeadingsBlack"/>
              <w:rPr>
                <w:rFonts w:ascii="Tahoma" w:hAnsi="Tahoma" w:cs="Tahoma"/>
                <w:sz w:val="9"/>
              </w:rPr>
            </w:pPr>
            <w:r w:rsidRPr="004B208C">
              <w:rPr>
                <w:rFonts w:ascii="Tahoma" w:hAnsi="Tahoma" w:cs="Tahoma"/>
                <w:sz w:val="9"/>
              </w:rPr>
              <w:t>Select</w:t>
            </w:r>
          </w:p>
        </w:tc>
        <w:tc>
          <w:tcPr>
            <w:tcW w:w="1285" w:type="dxa"/>
            <w:gridSpan w:val="3"/>
            <w:tcBorders>
              <w:top w:val="single" w:sz="12" w:space="0" w:color="auto"/>
              <w:left w:val="single" w:sz="18" w:space="0" w:color="auto"/>
              <w:right w:val="single" w:sz="18" w:space="0" w:color="auto"/>
            </w:tcBorders>
            <w:vAlign w:val="center"/>
          </w:tcPr>
          <w:p w:rsidR="00913A0A" w:rsidRPr="004B208C" w:rsidRDefault="00913A0A">
            <w:pPr>
              <w:pStyle w:val="TableHeadingsBlack"/>
              <w:rPr>
                <w:rFonts w:ascii="Tahoma" w:hAnsi="Tahoma" w:cs="Tahoma"/>
                <w:sz w:val="9"/>
              </w:rPr>
            </w:pPr>
            <w:r w:rsidRPr="004B208C">
              <w:rPr>
                <w:rFonts w:ascii="Tahoma" w:hAnsi="Tahoma" w:cs="Tahoma"/>
                <w:sz w:val="9"/>
              </w:rPr>
              <w:t>Licença Open</w:t>
            </w:r>
          </w:p>
        </w:tc>
        <w:tc>
          <w:tcPr>
            <w:tcW w:w="515" w:type="dxa"/>
            <w:vMerge w:val="restart"/>
            <w:tcBorders>
              <w:top w:val="single" w:sz="12" w:space="0" w:color="auto"/>
              <w:left w:val="single" w:sz="18"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Unidades Campus e School</w:t>
            </w:r>
          </w:p>
        </w:tc>
        <w:tc>
          <w:tcPr>
            <w:tcW w:w="403" w:type="dxa"/>
            <w:vMerge w:val="restart"/>
            <w:tcBorders>
              <w:top w:val="single" w:sz="12" w:space="0" w:color="auto"/>
              <w:right w:val="single" w:sz="18"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 xml:space="preserve">EA e </w:t>
            </w:r>
            <w:r w:rsidRPr="004B208C">
              <w:rPr>
                <w:rFonts w:ascii="Tahoma" w:hAnsi="Tahoma" w:cs="Tahoma"/>
                <w:sz w:val="9"/>
              </w:rPr>
              <w:br/>
              <w:t>EA Sub</w:t>
            </w:r>
          </w:p>
        </w:tc>
        <w:tc>
          <w:tcPr>
            <w:tcW w:w="378" w:type="dxa"/>
            <w:vMerge w:val="restart"/>
            <w:tcBorders>
              <w:top w:val="single" w:sz="12" w:space="0" w:color="auto"/>
              <w:left w:val="single" w:sz="18" w:space="0" w:color="auto"/>
              <w:right w:val="single" w:sz="18"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OV / OVS</w:t>
            </w:r>
          </w:p>
        </w:tc>
        <w:tc>
          <w:tcPr>
            <w:tcW w:w="612" w:type="dxa"/>
            <w:vMerge w:val="restart"/>
            <w:tcBorders>
              <w:top w:val="single" w:sz="12" w:space="0" w:color="auto"/>
            </w:tcBorders>
            <w:textDirection w:val="btLr"/>
            <w:vAlign w:val="center"/>
          </w:tcPr>
          <w:p w:rsidR="00913A0A" w:rsidRPr="004B208C" w:rsidRDefault="00913A0A" w:rsidP="00472778">
            <w:pPr>
              <w:pStyle w:val="TableVerticalText"/>
              <w:spacing w:before="120"/>
              <w:rPr>
                <w:rFonts w:ascii="Tahoma" w:hAnsi="Tahoma" w:cs="Tahoma"/>
                <w:sz w:val="9"/>
              </w:rPr>
            </w:pPr>
            <w:r w:rsidRPr="004B208C">
              <w:rPr>
                <w:rFonts w:ascii="Tahoma" w:hAnsi="Tahoma" w:cs="Tahoma"/>
                <w:sz w:val="9"/>
              </w:rPr>
              <w:t>EES / OVS</w:t>
            </w:r>
            <w:r w:rsidR="00172F11">
              <w:rPr>
                <w:rFonts w:ascii="Tahoma" w:hAnsi="Tahoma" w:cs="Tahoma"/>
                <w:sz w:val="9"/>
              </w:rPr>
              <w:t xml:space="preserve"> </w:t>
            </w:r>
            <w:r w:rsidRPr="004B208C">
              <w:rPr>
                <w:rFonts w:ascii="Tahoma" w:hAnsi="Tahoma" w:cs="Tahoma"/>
                <w:sz w:val="9"/>
              </w:rPr>
              <w:t>ES</w:t>
            </w:r>
          </w:p>
        </w:tc>
        <w:tc>
          <w:tcPr>
            <w:tcW w:w="497" w:type="dxa"/>
            <w:vMerge w:val="restart"/>
            <w:tcBorders>
              <w:top w:val="single" w:sz="12"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 xml:space="preserve">Mínimo de </w:t>
            </w:r>
            <w:r w:rsidR="005D7571">
              <w:rPr>
                <w:rFonts w:ascii="Tahoma" w:hAnsi="Tahoma" w:cs="Tahoma"/>
                <w:sz w:val="9"/>
              </w:rPr>
              <w:br/>
            </w:r>
            <w:r w:rsidRPr="004B208C">
              <w:rPr>
                <w:rFonts w:ascii="Tahoma" w:hAnsi="Tahoma" w:cs="Tahoma"/>
                <w:sz w:val="9"/>
              </w:rPr>
              <w:t>Licenças Open</w:t>
            </w:r>
          </w:p>
        </w:tc>
        <w:tc>
          <w:tcPr>
            <w:tcW w:w="360" w:type="dxa"/>
            <w:vMerge w:val="restart"/>
            <w:tcBorders>
              <w:top w:val="single" w:sz="12"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SCE</w:t>
            </w:r>
          </w:p>
        </w:tc>
      </w:tr>
      <w:tr w:rsidR="00913A0A" w:rsidRPr="004B208C" w:rsidTr="00472778">
        <w:trPr>
          <w:cantSplit/>
          <w:trHeight w:val="262"/>
          <w:tblHeader/>
        </w:trPr>
        <w:tc>
          <w:tcPr>
            <w:tcW w:w="2430" w:type="dxa"/>
            <w:vMerge/>
            <w:tcBorders>
              <w:left w:val="single" w:sz="4" w:space="0" w:color="FFFFFF"/>
            </w:tcBorders>
          </w:tcPr>
          <w:p w:rsidR="00913A0A" w:rsidRPr="004B208C" w:rsidRDefault="00913A0A">
            <w:pPr>
              <w:rPr>
                <w:rFonts w:cs="Tahoma"/>
                <w:sz w:val="20"/>
              </w:rPr>
            </w:pPr>
          </w:p>
        </w:tc>
        <w:tc>
          <w:tcPr>
            <w:tcW w:w="423" w:type="dxa"/>
            <w:vMerge/>
          </w:tcPr>
          <w:p w:rsidR="00913A0A" w:rsidRPr="004B208C" w:rsidRDefault="00913A0A">
            <w:pPr>
              <w:rPr>
                <w:rFonts w:cs="Tahoma"/>
                <w:b/>
                <w:sz w:val="20"/>
              </w:rPr>
            </w:pPr>
          </w:p>
        </w:tc>
        <w:tc>
          <w:tcPr>
            <w:tcW w:w="443" w:type="dxa"/>
            <w:vMerge/>
          </w:tcPr>
          <w:p w:rsidR="00913A0A" w:rsidRPr="004B208C" w:rsidRDefault="00913A0A">
            <w:pPr>
              <w:rPr>
                <w:rFonts w:cs="Tahoma"/>
                <w:sz w:val="20"/>
              </w:rPr>
            </w:pPr>
          </w:p>
        </w:tc>
        <w:tc>
          <w:tcPr>
            <w:tcW w:w="412" w:type="dxa"/>
            <w:vMerge/>
            <w:tcBorders>
              <w:right w:val="single" w:sz="18" w:space="0" w:color="auto"/>
            </w:tcBorders>
          </w:tcPr>
          <w:p w:rsidR="00913A0A" w:rsidRPr="004B208C" w:rsidRDefault="00913A0A">
            <w:pPr>
              <w:rPr>
                <w:rFonts w:cs="Tahoma"/>
                <w:sz w:val="20"/>
              </w:rPr>
            </w:pPr>
          </w:p>
        </w:tc>
        <w:tc>
          <w:tcPr>
            <w:tcW w:w="432" w:type="dxa"/>
            <w:gridSpan w:val="2"/>
            <w:vMerge w:val="restart"/>
            <w:tcBorders>
              <w:left w:val="single" w:sz="18" w:space="0" w:color="auto"/>
            </w:tcBorders>
            <w:vAlign w:val="center"/>
          </w:tcPr>
          <w:p w:rsidR="00913A0A" w:rsidRPr="004B208C" w:rsidRDefault="00913A0A">
            <w:pPr>
              <w:pStyle w:val="TableHeadingsRed"/>
              <w:rPr>
                <w:rFonts w:ascii="Tahoma" w:hAnsi="Tahoma" w:cs="Tahoma"/>
                <w:sz w:val="9"/>
              </w:rPr>
            </w:pPr>
            <w:r w:rsidRPr="004B208C">
              <w:rPr>
                <w:rFonts w:ascii="Tahoma" w:hAnsi="Tahoma" w:cs="Tahoma"/>
                <w:sz w:val="9"/>
              </w:rPr>
              <w:t>L</w:t>
            </w:r>
          </w:p>
        </w:tc>
        <w:tc>
          <w:tcPr>
            <w:tcW w:w="1282" w:type="dxa"/>
            <w:gridSpan w:val="5"/>
            <w:vAlign w:val="center"/>
          </w:tcPr>
          <w:p w:rsidR="00913A0A" w:rsidRPr="004B208C" w:rsidRDefault="00913A0A">
            <w:pPr>
              <w:pStyle w:val="TableHeadingsGreen"/>
              <w:rPr>
                <w:rFonts w:ascii="Tahoma" w:hAnsi="Tahoma" w:cs="Tahoma"/>
                <w:sz w:val="9"/>
              </w:rPr>
            </w:pPr>
            <w:r w:rsidRPr="004B208C">
              <w:rPr>
                <w:rFonts w:ascii="Tahoma" w:hAnsi="Tahoma" w:cs="Tahoma"/>
                <w:sz w:val="9"/>
              </w:rPr>
              <w:t>L&amp;SA</w:t>
            </w:r>
          </w:p>
        </w:tc>
        <w:tc>
          <w:tcPr>
            <w:tcW w:w="1294" w:type="dxa"/>
            <w:gridSpan w:val="3"/>
            <w:tcBorders>
              <w:right w:val="single" w:sz="18"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SA</w:t>
            </w:r>
          </w:p>
        </w:tc>
        <w:tc>
          <w:tcPr>
            <w:tcW w:w="430" w:type="dxa"/>
            <w:vMerge w:val="restart"/>
            <w:tcBorders>
              <w:left w:val="single" w:sz="18" w:space="0" w:color="auto"/>
            </w:tcBorders>
            <w:vAlign w:val="center"/>
          </w:tcPr>
          <w:p w:rsidR="00913A0A" w:rsidRPr="004B208C" w:rsidRDefault="00913A0A">
            <w:pPr>
              <w:pStyle w:val="TableHeadingsRed"/>
              <w:rPr>
                <w:rFonts w:ascii="Tahoma" w:hAnsi="Tahoma" w:cs="Tahoma"/>
                <w:sz w:val="9"/>
              </w:rPr>
            </w:pPr>
            <w:r w:rsidRPr="004B208C">
              <w:rPr>
                <w:rFonts w:ascii="Tahoma" w:hAnsi="Tahoma" w:cs="Tahoma"/>
                <w:sz w:val="9"/>
              </w:rPr>
              <w:t>L</w:t>
            </w:r>
          </w:p>
        </w:tc>
        <w:tc>
          <w:tcPr>
            <w:tcW w:w="470" w:type="dxa"/>
            <w:vAlign w:val="center"/>
          </w:tcPr>
          <w:p w:rsidR="00913A0A" w:rsidRPr="004B208C" w:rsidRDefault="00913A0A">
            <w:pPr>
              <w:pStyle w:val="TableHeadingsGreen"/>
              <w:rPr>
                <w:rFonts w:ascii="Tahoma" w:hAnsi="Tahoma" w:cs="Tahoma"/>
                <w:sz w:val="9"/>
              </w:rPr>
            </w:pPr>
            <w:r w:rsidRPr="004B208C">
              <w:rPr>
                <w:rFonts w:ascii="Tahoma" w:hAnsi="Tahoma" w:cs="Tahoma"/>
                <w:sz w:val="9"/>
              </w:rPr>
              <w:t>L&amp;SA</w:t>
            </w:r>
          </w:p>
        </w:tc>
        <w:tc>
          <w:tcPr>
            <w:tcW w:w="385" w:type="dxa"/>
            <w:vMerge w:val="restart"/>
            <w:tcBorders>
              <w:right w:val="single" w:sz="18"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SA</w:t>
            </w:r>
          </w:p>
        </w:tc>
        <w:tc>
          <w:tcPr>
            <w:tcW w:w="515" w:type="dxa"/>
            <w:vMerge/>
            <w:tcBorders>
              <w:left w:val="single" w:sz="18" w:space="0" w:color="auto"/>
            </w:tcBorders>
            <w:vAlign w:val="center"/>
          </w:tcPr>
          <w:p w:rsidR="00913A0A" w:rsidRPr="004B208C" w:rsidRDefault="00913A0A" w:rsidP="00472778">
            <w:pPr>
              <w:jc w:val="center"/>
              <w:rPr>
                <w:rFonts w:cs="Tahoma"/>
                <w:sz w:val="20"/>
              </w:rPr>
            </w:pPr>
          </w:p>
        </w:tc>
        <w:tc>
          <w:tcPr>
            <w:tcW w:w="403" w:type="dxa"/>
            <w:vMerge/>
            <w:tcBorders>
              <w:right w:val="single" w:sz="18" w:space="0" w:color="auto"/>
            </w:tcBorders>
            <w:vAlign w:val="center"/>
          </w:tcPr>
          <w:p w:rsidR="00913A0A" w:rsidRPr="004B208C" w:rsidRDefault="00913A0A" w:rsidP="00472778">
            <w:pPr>
              <w:jc w:val="center"/>
              <w:rPr>
                <w:rFonts w:cs="Tahoma"/>
                <w:sz w:val="20"/>
              </w:rPr>
            </w:pPr>
          </w:p>
        </w:tc>
        <w:tc>
          <w:tcPr>
            <w:tcW w:w="378" w:type="dxa"/>
            <w:vMerge/>
            <w:tcBorders>
              <w:left w:val="single" w:sz="18" w:space="0" w:color="auto"/>
              <w:right w:val="single" w:sz="18" w:space="0" w:color="auto"/>
            </w:tcBorders>
            <w:vAlign w:val="center"/>
          </w:tcPr>
          <w:p w:rsidR="00913A0A" w:rsidRPr="004B208C" w:rsidRDefault="00913A0A" w:rsidP="00472778">
            <w:pPr>
              <w:jc w:val="center"/>
              <w:rPr>
                <w:rFonts w:cs="Tahoma"/>
                <w:sz w:val="20"/>
              </w:rPr>
            </w:pPr>
          </w:p>
        </w:tc>
        <w:tc>
          <w:tcPr>
            <w:tcW w:w="612" w:type="dxa"/>
            <w:vMerge/>
            <w:vAlign w:val="center"/>
          </w:tcPr>
          <w:p w:rsidR="00913A0A" w:rsidRPr="004B208C" w:rsidRDefault="00913A0A" w:rsidP="00472778">
            <w:pPr>
              <w:jc w:val="center"/>
              <w:rPr>
                <w:rFonts w:cs="Tahoma"/>
                <w:sz w:val="20"/>
              </w:rPr>
            </w:pPr>
          </w:p>
        </w:tc>
        <w:tc>
          <w:tcPr>
            <w:tcW w:w="497" w:type="dxa"/>
            <w:vMerge/>
            <w:vAlign w:val="center"/>
          </w:tcPr>
          <w:p w:rsidR="00913A0A" w:rsidRPr="004B208C" w:rsidRDefault="00913A0A" w:rsidP="00472778">
            <w:pPr>
              <w:jc w:val="center"/>
              <w:rPr>
                <w:rFonts w:cs="Tahoma"/>
                <w:sz w:val="20"/>
              </w:rPr>
            </w:pPr>
          </w:p>
        </w:tc>
        <w:tc>
          <w:tcPr>
            <w:tcW w:w="360" w:type="dxa"/>
            <w:vMerge/>
            <w:vAlign w:val="center"/>
          </w:tcPr>
          <w:p w:rsidR="00913A0A" w:rsidRPr="004B208C" w:rsidRDefault="00913A0A" w:rsidP="00472778">
            <w:pPr>
              <w:jc w:val="center"/>
              <w:rPr>
                <w:rFonts w:cs="Tahoma"/>
                <w:sz w:val="20"/>
              </w:rPr>
            </w:pPr>
          </w:p>
        </w:tc>
      </w:tr>
      <w:tr w:rsidR="00913A0A" w:rsidRPr="004B208C" w:rsidTr="00CB1C95">
        <w:trPr>
          <w:cantSplit/>
          <w:trHeight w:val="287"/>
          <w:tblHeader/>
        </w:trPr>
        <w:tc>
          <w:tcPr>
            <w:tcW w:w="2430" w:type="dxa"/>
            <w:vMerge/>
            <w:tcBorders>
              <w:left w:val="single" w:sz="4" w:space="0" w:color="FFFFFF"/>
              <w:bottom w:val="single" w:sz="4" w:space="0" w:color="auto"/>
            </w:tcBorders>
          </w:tcPr>
          <w:p w:rsidR="00913A0A" w:rsidRPr="004B208C" w:rsidRDefault="00913A0A">
            <w:pPr>
              <w:rPr>
                <w:rFonts w:cs="Tahoma"/>
                <w:sz w:val="20"/>
              </w:rPr>
            </w:pPr>
          </w:p>
        </w:tc>
        <w:tc>
          <w:tcPr>
            <w:tcW w:w="423" w:type="dxa"/>
            <w:vMerge/>
            <w:tcBorders>
              <w:bottom w:val="single" w:sz="4" w:space="0" w:color="auto"/>
            </w:tcBorders>
          </w:tcPr>
          <w:p w:rsidR="00913A0A" w:rsidRPr="004B208C" w:rsidRDefault="00913A0A">
            <w:pPr>
              <w:rPr>
                <w:rFonts w:cs="Tahoma"/>
                <w:b/>
                <w:sz w:val="20"/>
              </w:rPr>
            </w:pPr>
          </w:p>
        </w:tc>
        <w:tc>
          <w:tcPr>
            <w:tcW w:w="443" w:type="dxa"/>
            <w:vMerge/>
            <w:tcBorders>
              <w:bottom w:val="single" w:sz="4" w:space="0" w:color="auto"/>
            </w:tcBorders>
          </w:tcPr>
          <w:p w:rsidR="00913A0A" w:rsidRPr="004B208C" w:rsidRDefault="00913A0A">
            <w:pPr>
              <w:rPr>
                <w:rFonts w:cs="Tahoma"/>
                <w:sz w:val="20"/>
              </w:rPr>
            </w:pPr>
          </w:p>
        </w:tc>
        <w:tc>
          <w:tcPr>
            <w:tcW w:w="412" w:type="dxa"/>
            <w:vMerge/>
            <w:tcBorders>
              <w:bottom w:val="single" w:sz="4" w:space="0" w:color="auto"/>
              <w:right w:val="single" w:sz="18" w:space="0" w:color="auto"/>
            </w:tcBorders>
          </w:tcPr>
          <w:p w:rsidR="00913A0A" w:rsidRPr="004B208C" w:rsidRDefault="00913A0A">
            <w:pPr>
              <w:rPr>
                <w:rFonts w:cs="Tahoma"/>
                <w:sz w:val="20"/>
              </w:rPr>
            </w:pPr>
          </w:p>
        </w:tc>
        <w:tc>
          <w:tcPr>
            <w:tcW w:w="432" w:type="dxa"/>
            <w:gridSpan w:val="2"/>
            <w:vMerge/>
            <w:tcBorders>
              <w:left w:val="single" w:sz="18" w:space="0" w:color="auto"/>
              <w:bottom w:val="single" w:sz="4" w:space="0" w:color="auto"/>
            </w:tcBorders>
            <w:vAlign w:val="center"/>
          </w:tcPr>
          <w:p w:rsidR="00913A0A" w:rsidRPr="004B208C" w:rsidRDefault="00913A0A">
            <w:pPr>
              <w:jc w:val="center"/>
              <w:rPr>
                <w:rFonts w:cs="Tahoma"/>
                <w:sz w:val="20"/>
              </w:rPr>
            </w:pPr>
          </w:p>
        </w:tc>
        <w:tc>
          <w:tcPr>
            <w:tcW w:w="450" w:type="dxa"/>
            <w:gridSpan w:val="2"/>
            <w:tcBorders>
              <w:bottom w:val="single" w:sz="4" w:space="0" w:color="auto"/>
            </w:tcBorders>
            <w:vAlign w:val="center"/>
          </w:tcPr>
          <w:p w:rsidR="00913A0A" w:rsidRPr="004B208C" w:rsidRDefault="00913A0A">
            <w:pPr>
              <w:pStyle w:val="TableHeadingsGreen"/>
              <w:rPr>
                <w:rFonts w:ascii="Tahoma" w:hAnsi="Tahoma" w:cs="Tahoma"/>
                <w:sz w:val="9"/>
              </w:rPr>
            </w:pPr>
            <w:r w:rsidRPr="004B208C">
              <w:rPr>
                <w:rFonts w:ascii="Tahoma" w:hAnsi="Tahoma" w:cs="Tahoma"/>
                <w:sz w:val="9"/>
              </w:rPr>
              <w:t>3An</w:t>
            </w:r>
          </w:p>
        </w:tc>
        <w:tc>
          <w:tcPr>
            <w:tcW w:w="414" w:type="dxa"/>
            <w:gridSpan w:val="2"/>
            <w:tcBorders>
              <w:bottom w:val="single" w:sz="4" w:space="0" w:color="auto"/>
            </w:tcBorders>
            <w:vAlign w:val="center"/>
          </w:tcPr>
          <w:p w:rsidR="00913A0A" w:rsidRPr="004B208C" w:rsidRDefault="00913A0A">
            <w:pPr>
              <w:pStyle w:val="TableHeadingsGreen"/>
              <w:rPr>
                <w:rFonts w:ascii="Tahoma" w:hAnsi="Tahoma" w:cs="Tahoma"/>
                <w:sz w:val="9"/>
              </w:rPr>
            </w:pPr>
            <w:r w:rsidRPr="004B208C">
              <w:rPr>
                <w:rFonts w:ascii="Tahoma" w:hAnsi="Tahoma" w:cs="Tahoma"/>
                <w:sz w:val="9"/>
              </w:rPr>
              <w:t>2An</w:t>
            </w:r>
          </w:p>
        </w:tc>
        <w:tc>
          <w:tcPr>
            <w:tcW w:w="418" w:type="dxa"/>
            <w:tcBorders>
              <w:bottom w:val="single" w:sz="4" w:space="0" w:color="auto"/>
            </w:tcBorders>
            <w:vAlign w:val="center"/>
          </w:tcPr>
          <w:p w:rsidR="00913A0A" w:rsidRPr="004B208C" w:rsidRDefault="00913A0A">
            <w:pPr>
              <w:pStyle w:val="TableHeadingsGreen"/>
              <w:rPr>
                <w:rFonts w:ascii="Tahoma" w:hAnsi="Tahoma" w:cs="Tahoma"/>
                <w:sz w:val="9"/>
              </w:rPr>
            </w:pPr>
            <w:r w:rsidRPr="004B208C">
              <w:rPr>
                <w:rFonts w:ascii="Tahoma" w:hAnsi="Tahoma" w:cs="Tahoma"/>
                <w:sz w:val="9"/>
              </w:rPr>
              <w:t>1An</w:t>
            </w:r>
          </w:p>
        </w:tc>
        <w:tc>
          <w:tcPr>
            <w:tcW w:w="450" w:type="dxa"/>
            <w:tcBorders>
              <w:bottom w:val="single" w:sz="4"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3An</w:t>
            </w:r>
          </w:p>
        </w:tc>
        <w:tc>
          <w:tcPr>
            <w:tcW w:w="450" w:type="dxa"/>
            <w:tcBorders>
              <w:bottom w:val="single" w:sz="4"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2An</w:t>
            </w:r>
          </w:p>
        </w:tc>
        <w:tc>
          <w:tcPr>
            <w:tcW w:w="394" w:type="dxa"/>
            <w:tcBorders>
              <w:bottom w:val="single" w:sz="4" w:space="0" w:color="auto"/>
              <w:right w:val="single" w:sz="18"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1An</w:t>
            </w:r>
          </w:p>
        </w:tc>
        <w:tc>
          <w:tcPr>
            <w:tcW w:w="430" w:type="dxa"/>
            <w:vMerge/>
            <w:tcBorders>
              <w:left w:val="single" w:sz="18" w:space="0" w:color="auto"/>
              <w:bottom w:val="single" w:sz="4" w:space="0" w:color="auto"/>
            </w:tcBorders>
            <w:vAlign w:val="center"/>
          </w:tcPr>
          <w:p w:rsidR="00913A0A" w:rsidRPr="004B208C" w:rsidRDefault="00913A0A">
            <w:pPr>
              <w:jc w:val="center"/>
              <w:rPr>
                <w:rFonts w:cs="Tahoma"/>
                <w:sz w:val="20"/>
              </w:rPr>
            </w:pPr>
          </w:p>
        </w:tc>
        <w:tc>
          <w:tcPr>
            <w:tcW w:w="470" w:type="dxa"/>
            <w:tcBorders>
              <w:bottom w:val="single" w:sz="4" w:space="0" w:color="auto"/>
            </w:tcBorders>
            <w:vAlign w:val="center"/>
          </w:tcPr>
          <w:p w:rsidR="00913A0A" w:rsidRPr="004B208C" w:rsidRDefault="00913A0A">
            <w:pPr>
              <w:pStyle w:val="TableHeadingsGreen"/>
              <w:rPr>
                <w:rFonts w:ascii="Tahoma" w:hAnsi="Tahoma" w:cs="Tahoma"/>
                <w:sz w:val="9"/>
              </w:rPr>
            </w:pPr>
            <w:r w:rsidRPr="004B208C">
              <w:rPr>
                <w:rFonts w:ascii="Tahoma" w:hAnsi="Tahoma" w:cs="Tahoma"/>
                <w:sz w:val="9"/>
              </w:rPr>
              <w:t>P</w:t>
            </w:r>
          </w:p>
        </w:tc>
        <w:tc>
          <w:tcPr>
            <w:tcW w:w="385" w:type="dxa"/>
            <w:vMerge/>
            <w:tcBorders>
              <w:bottom w:val="single" w:sz="4" w:space="0" w:color="auto"/>
              <w:right w:val="single" w:sz="18" w:space="0" w:color="auto"/>
            </w:tcBorders>
            <w:vAlign w:val="center"/>
          </w:tcPr>
          <w:p w:rsidR="00913A0A" w:rsidRPr="004B208C" w:rsidRDefault="00913A0A">
            <w:pPr>
              <w:jc w:val="center"/>
              <w:rPr>
                <w:rFonts w:cs="Tahoma"/>
                <w:sz w:val="20"/>
              </w:rPr>
            </w:pPr>
          </w:p>
        </w:tc>
        <w:tc>
          <w:tcPr>
            <w:tcW w:w="515" w:type="dxa"/>
            <w:vMerge/>
            <w:tcBorders>
              <w:left w:val="single" w:sz="18" w:space="0" w:color="auto"/>
              <w:bottom w:val="single" w:sz="4" w:space="0" w:color="auto"/>
            </w:tcBorders>
          </w:tcPr>
          <w:p w:rsidR="00913A0A" w:rsidRPr="004B208C" w:rsidRDefault="00913A0A">
            <w:pPr>
              <w:rPr>
                <w:rFonts w:cs="Tahoma"/>
                <w:sz w:val="20"/>
              </w:rPr>
            </w:pPr>
          </w:p>
        </w:tc>
        <w:tc>
          <w:tcPr>
            <w:tcW w:w="403" w:type="dxa"/>
            <w:vMerge/>
            <w:tcBorders>
              <w:bottom w:val="single" w:sz="4" w:space="0" w:color="auto"/>
              <w:right w:val="single" w:sz="18" w:space="0" w:color="auto"/>
            </w:tcBorders>
          </w:tcPr>
          <w:p w:rsidR="00913A0A" w:rsidRPr="004B208C" w:rsidRDefault="00913A0A">
            <w:pPr>
              <w:rPr>
                <w:rFonts w:cs="Tahoma"/>
                <w:sz w:val="20"/>
              </w:rPr>
            </w:pPr>
          </w:p>
        </w:tc>
        <w:tc>
          <w:tcPr>
            <w:tcW w:w="378" w:type="dxa"/>
            <w:vMerge/>
            <w:tcBorders>
              <w:left w:val="single" w:sz="18" w:space="0" w:color="auto"/>
              <w:bottom w:val="single" w:sz="4" w:space="0" w:color="auto"/>
              <w:right w:val="single" w:sz="18" w:space="0" w:color="auto"/>
            </w:tcBorders>
          </w:tcPr>
          <w:p w:rsidR="00913A0A" w:rsidRPr="004B208C" w:rsidRDefault="00913A0A">
            <w:pPr>
              <w:rPr>
                <w:rFonts w:cs="Tahoma"/>
                <w:sz w:val="20"/>
              </w:rPr>
            </w:pPr>
          </w:p>
        </w:tc>
        <w:tc>
          <w:tcPr>
            <w:tcW w:w="612" w:type="dxa"/>
            <w:vMerge/>
            <w:tcBorders>
              <w:bottom w:val="single" w:sz="4" w:space="0" w:color="auto"/>
            </w:tcBorders>
          </w:tcPr>
          <w:p w:rsidR="00913A0A" w:rsidRPr="004B208C" w:rsidRDefault="00913A0A">
            <w:pPr>
              <w:rPr>
                <w:rFonts w:cs="Tahoma"/>
                <w:sz w:val="20"/>
              </w:rPr>
            </w:pPr>
          </w:p>
        </w:tc>
        <w:tc>
          <w:tcPr>
            <w:tcW w:w="497" w:type="dxa"/>
            <w:vMerge/>
            <w:tcBorders>
              <w:bottom w:val="single" w:sz="4" w:space="0" w:color="auto"/>
            </w:tcBorders>
          </w:tcPr>
          <w:p w:rsidR="00913A0A" w:rsidRPr="004B208C" w:rsidRDefault="00913A0A">
            <w:pPr>
              <w:rPr>
                <w:rFonts w:cs="Tahoma"/>
                <w:sz w:val="20"/>
              </w:rPr>
            </w:pPr>
          </w:p>
        </w:tc>
        <w:tc>
          <w:tcPr>
            <w:tcW w:w="360" w:type="dxa"/>
            <w:vMerge/>
            <w:tcBorders>
              <w:bottom w:val="single" w:sz="4" w:space="0" w:color="auto"/>
            </w:tcBorders>
          </w:tcPr>
          <w:p w:rsidR="00913A0A" w:rsidRPr="004B208C" w:rsidRDefault="00913A0A">
            <w:pPr>
              <w:rPr>
                <w:rFonts w:cs="Tahoma"/>
                <w:sz w:val="20"/>
              </w:rPr>
            </w:pPr>
          </w:p>
        </w:tc>
      </w:tr>
      <w:tr w:rsidR="008A0F85" w:rsidRPr="004B208C" w:rsidTr="00CB1C95">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rsidR="00913A0A" w:rsidRPr="004B208C" w:rsidRDefault="00913A0A" w:rsidP="00F70479">
            <w:pPr>
              <w:pStyle w:val="ProductNames"/>
              <w:rPr>
                <w:rFonts w:ascii="Tahoma" w:hAnsi="Tahoma" w:cs="Tahoma"/>
                <w:sz w:val="14"/>
              </w:rPr>
            </w:pPr>
            <w:bookmarkStart w:id="115" w:name="_Toc370981028"/>
            <w:r w:rsidRPr="004B208C">
              <w:rPr>
                <w:rFonts w:ascii="Tahoma" w:hAnsi="Tahoma" w:cs="Tahoma"/>
                <w:sz w:val="14"/>
              </w:rPr>
              <w:t>Microsoft Desktop Optimization Pack para Software Assurance</w:t>
            </w:r>
            <w:bookmarkEnd w:id="115"/>
          </w:p>
        </w:tc>
        <w:tc>
          <w:tcPr>
            <w:tcW w:w="423" w:type="dxa"/>
            <w:tcBorders>
              <w:bottom w:val="single" w:sz="3" w:space="0" w:color="auto"/>
            </w:tcBorders>
            <w:shd w:val="clear" w:color="auto" w:fill="FABF8F"/>
            <w:vAlign w:val="center"/>
          </w:tcPr>
          <w:p w:rsidR="00913A0A" w:rsidRPr="00CB1C95" w:rsidRDefault="00C70EF2" w:rsidP="009D43FB">
            <w:pPr>
              <w:pStyle w:val="TableText"/>
              <w:widowControl w:val="0"/>
              <w:rPr>
                <w:rFonts w:cs="Tahoma"/>
                <w:b/>
                <w:color w:val="0000FF"/>
                <w:sz w:val="13"/>
                <w:szCs w:val="13"/>
                <w:u w:val="single"/>
              </w:rPr>
            </w:pPr>
            <w:hyperlink w:anchor="_24_Microsoft_Desktop" w:history="1">
              <w:r w:rsidR="00CF5A3E" w:rsidRPr="00CB1C95">
                <w:rPr>
                  <w:rStyle w:val="Hyperlink"/>
                  <w:rFonts w:cs="Tahoma"/>
                  <w:b/>
                  <w:sz w:val="13"/>
                  <w:szCs w:val="13"/>
                </w:rPr>
                <w:t>25</w:t>
              </w:r>
            </w:hyperlink>
          </w:p>
        </w:tc>
        <w:tc>
          <w:tcPr>
            <w:tcW w:w="443" w:type="dxa"/>
            <w:tcBorders>
              <w:bottom w:val="single" w:sz="3" w:space="0" w:color="auto"/>
            </w:tcBorders>
            <w:shd w:val="clear" w:color="auto" w:fill="FABF8F"/>
            <w:vAlign w:val="center"/>
          </w:tcPr>
          <w:p w:rsidR="00913A0A" w:rsidRPr="004B208C" w:rsidRDefault="00913A0A" w:rsidP="004D199A">
            <w:pPr>
              <w:pStyle w:val="TableText"/>
              <w:rPr>
                <w:rFonts w:ascii="Tahoma" w:hAnsi="Tahoma" w:cs="Tahoma"/>
                <w:sz w:val="13"/>
              </w:rPr>
            </w:pPr>
            <w:r w:rsidRPr="004B208C">
              <w:rPr>
                <w:rFonts w:ascii="Tahoma" w:hAnsi="Tahoma" w:cs="Tahoma"/>
                <w:sz w:val="13"/>
              </w:rPr>
              <w:t>11/12</w:t>
            </w:r>
          </w:p>
        </w:tc>
        <w:tc>
          <w:tcPr>
            <w:tcW w:w="412" w:type="dxa"/>
            <w:tcBorders>
              <w:bottom w:val="single" w:sz="3" w:space="0" w:color="auto"/>
              <w:right w:val="single" w:sz="15" w:space="0" w:color="auto"/>
            </w:tcBorders>
            <w:shd w:val="clear" w:color="auto" w:fill="FABF8F"/>
            <w:vAlign w:val="center"/>
          </w:tcPr>
          <w:p w:rsidR="00913A0A" w:rsidRPr="004B208C" w:rsidRDefault="00913A0A">
            <w:pPr>
              <w:pStyle w:val="TableText"/>
              <w:rPr>
                <w:rFonts w:ascii="Tahoma" w:hAnsi="Tahoma" w:cs="Tahoma"/>
                <w:sz w:val="13"/>
              </w:rPr>
            </w:pPr>
          </w:p>
        </w:tc>
        <w:tc>
          <w:tcPr>
            <w:tcW w:w="3008" w:type="dxa"/>
            <w:gridSpan w:val="10"/>
            <w:tcBorders>
              <w:left w:val="single" w:sz="15" w:space="0" w:color="auto"/>
              <w:bottom w:val="single" w:sz="3" w:space="0" w:color="auto"/>
              <w:right w:val="single" w:sz="15"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1</w:t>
            </w:r>
          </w:p>
        </w:tc>
        <w:tc>
          <w:tcPr>
            <w:tcW w:w="430" w:type="dxa"/>
            <w:tcBorders>
              <w:left w:val="single" w:sz="15" w:space="0" w:color="auto"/>
              <w:bottom w:val="single" w:sz="3" w:space="0" w:color="auto"/>
            </w:tcBorders>
            <w:shd w:val="clear" w:color="auto" w:fill="FABF8F"/>
            <w:vAlign w:val="center"/>
          </w:tcPr>
          <w:p w:rsidR="00913A0A" w:rsidRPr="004B208C" w:rsidRDefault="00913A0A">
            <w:pPr>
              <w:pStyle w:val="TableText"/>
              <w:rPr>
                <w:rFonts w:ascii="Tahoma" w:hAnsi="Tahoma" w:cs="Tahoma"/>
                <w:sz w:val="13"/>
              </w:rPr>
            </w:pPr>
          </w:p>
        </w:tc>
        <w:tc>
          <w:tcPr>
            <w:tcW w:w="470" w:type="dxa"/>
            <w:tcBorders>
              <w:bottom w:val="single" w:sz="3" w:space="0" w:color="auto"/>
            </w:tcBorders>
            <w:shd w:val="clear" w:color="auto" w:fill="FABF8F"/>
            <w:vAlign w:val="center"/>
          </w:tcPr>
          <w:p w:rsidR="00913A0A" w:rsidRPr="004B208C" w:rsidRDefault="00913A0A">
            <w:pPr>
              <w:pStyle w:val="TableText"/>
              <w:rPr>
                <w:rFonts w:ascii="Tahoma" w:hAnsi="Tahoma" w:cs="Tahoma"/>
                <w:sz w:val="13"/>
              </w:rPr>
            </w:pPr>
          </w:p>
        </w:tc>
        <w:tc>
          <w:tcPr>
            <w:tcW w:w="385" w:type="dxa"/>
            <w:tcBorders>
              <w:bottom w:val="single" w:sz="3" w:space="0" w:color="auto"/>
              <w:right w:val="single" w:sz="15" w:space="0" w:color="auto"/>
            </w:tcBorders>
            <w:shd w:val="clear" w:color="auto" w:fill="FABF8F"/>
            <w:vAlign w:val="center"/>
          </w:tcPr>
          <w:p w:rsidR="00913A0A" w:rsidRPr="004B208C" w:rsidRDefault="00913A0A">
            <w:pPr>
              <w:pStyle w:val="TableText"/>
              <w:rPr>
                <w:rFonts w:ascii="Tahoma" w:hAnsi="Tahoma" w:cs="Tahoma"/>
                <w:sz w:val="13"/>
              </w:rPr>
            </w:pPr>
          </w:p>
        </w:tc>
        <w:tc>
          <w:tcPr>
            <w:tcW w:w="515" w:type="dxa"/>
            <w:tcBorders>
              <w:left w:val="single" w:sz="15" w:space="0" w:color="auto"/>
              <w:bottom w:val="single" w:sz="3" w:space="0" w:color="auto"/>
            </w:tcBorders>
            <w:shd w:val="clear" w:color="auto" w:fill="FABF8F"/>
            <w:vAlign w:val="center"/>
          </w:tcPr>
          <w:p w:rsidR="00913A0A" w:rsidRPr="004B208C" w:rsidRDefault="00913A0A" w:rsidP="004479EA">
            <w:pPr>
              <w:pStyle w:val="TableText"/>
              <w:rPr>
                <w:rFonts w:ascii="Tahoma" w:hAnsi="Tahoma" w:cs="Tahoma"/>
                <w:sz w:val="13"/>
              </w:rPr>
            </w:pPr>
            <w:r w:rsidRPr="004B208C">
              <w:rPr>
                <w:rFonts w:ascii="Tahoma" w:hAnsi="Tahoma" w:cs="Tahoma"/>
                <w:sz w:val="13"/>
              </w:rPr>
              <w:t>1,E</w:t>
            </w:r>
          </w:p>
        </w:tc>
        <w:tc>
          <w:tcPr>
            <w:tcW w:w="403" w:type="dxa"/>
            <w:tcBorders>
              <w:bottom w:val="single" w:sz="3" w:space="0" w:color="auto"/>
              <w:right w:val="single" w:sz="15" w:space="0" w:color="auto"/>
            </w:tcBorders>
            <w:shd w:val="clear" w:color="auto" w:fill="FABF8F"/>
            <w:vAlign w:val="center"/>
          </w:tcPr>
          <w:p w:rsidR="00913A0A" w:rsidRPr="004B208C" w:rsidRDefault="00913A0A" w:rsidP="008925CF">
            <w:pPr>
              <w:pStyle w:val="TableText"/>
              <w:rPr>
                <w:rFonts w:ascii="Tahoma" w:hAnsi="Tahoma" w:cs="Tahoma"/>
                <w:sz w:val="13"/>
              </w:rPr>
            </w:pPr>
            <w:r w:rsidRPr="004B208C">
              <w:rPr>
                <w:rFonts w:ascii="Tahoma" w:hAnsi="Tahoma" w:cs="Tahoma"/>
                <w:sz w:val="13"/>
              </w:rPr>
              <w:t>E, A</w:t>
            </w:r>
          </w:p>
        </w:tc>
        <w:tc>
          <w:tcPr>
            <w:tcW w:w="378" w:type="dxa"/>
            <w:tcBorders>
              <w:left w:val="single" w:sz="15" w:space="0" w:color="auto"/>
              <w:bottom w:val="single" w:sz="3" w:space="0" w:color="auto"/>
              <w:right w:val="single" w:sz="15"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P</w:t>
            </w:r>
          </w:p>
        </w:tc>
        <w:tc>
          <w:tcPr>
            <w:tcW w:w="612" w:type="dxa"/>
            <w:tcBorders>
              <w:bottom w:val="single" w:sz="3" w:space="0" w:color="auto"/>
            </w:tcBorders>
            <w:shd w:val="clear" w:color="auto" w:fill="FABF8F"/>
            <w:vAlign w:val="center"/>
          </w:tcPr>
          <w:p w:rsidR="00913A0A" w:rsidRPr="004B208C" w:rsidRDefault="00913A0A" w:rsidP="009A015E">
            <w:pPr>
              <w:pStyle w:val="TableText"/>
              <w:rPr>
                <w:rFonts w:ascii="Tahoma" w:hAnsi="Tahoma" w:cs="Tahoma"/>
                <w:sz w:val="13"/>
              </w:rPr>
            </w:pPr>
            <w:r w:rsidRPr="004B208C">
              <w:rPr>
                <w:rFonts w:ascii="Tahoma" w:hAnsi="Tahoma" w:cs="Tahoma"/>
                <w:sz w:val="13"/>
              </w:rPr>
              <w:t>A,ST</w:t>
            </w:r>
          </w:p>
        </w:tc>
        <w:tc>
          <w:tcPr>
            <w:tcW w:w="497" w:type="dxa"/>
            <w:tcBorders>
              <w:bottom w:val="single" w:sz="3" w:space="0" w:color="auto"/>
            </w:tcBorders>
            <w:shd w:val="clear" w:color="auto" w:fill="FABF8F"/>
            <w:vAlign w:val="center"/>
          </w:tcPr>
          <w:p w:rsidR="00913A0A" w:rsidRPr="004B208C" w:rsidRDefault="00913A0A">
            <w:pPr>
              <w:pStyle w:val="TableText"/>
              <w:rPr>
                <w:rFonts w:ascii="Tahoma" w:hAnsi="Tahoma" w:cs="Tahoma"/>
                <w:sz w:val="13"/>
              </w:rPr>
            </w:pPr>
          </w:p>
        </w:tc>
        <w:tc>
          <w:tcPr>
            <w:tcW w:w="360" w:type="dxa"/>
            <w:tcBorders>
              <w:bottom w:val="single" w:sz="3" w:space="0" w:color="auto"/>
            </w:tcBorders>
            <w:shd w:val="clear" w:color="auto" w:fill="FABF8F"/>
          </w:tcPr>
          <w:p w:rsidR="00913A0A" w:rsidRPr="004B208C" w:rsidRDefault="00913A0A">
            <w:pPr>
              <w:pStyle w:val="TableText"/>
              <w:rPr>
                <w:rFonts w:ascii="Tahoma" w:hAnsi="Tahoma" w:cs="Tahoma"/>
                <w:sz w:val="13"/>
              </w:rPr>
            </w:pPr>
            <w:r w:rsidRPr="004B208C">
              <w:rPr>
                <w:rFonts w:ascii="Tahoma" w:hAnsi="Tahoma" w:cs="Tahoma"/>
                <w:sz w:val="13"/>
              </w:rPr>
              <w:t>A</w:t>
            </w:r>
          </w:p>
        </w:tc>
      </w:tr>
      <w:tr w:rsidR="00913A0A" w:rsidRPr="004B208C" w:rsidTr="00CB1C95">
        <w:trPr>
          <w:trHeight w:val="145"/>
        </w:trPr>
        <w:tc>
          <w:tcPr>
            <w:tcW w:w="2430" w:type="dxa"/>
            <w:tcBorders>
              <w:bottom w:val="single" w:sz="4" w:space="0" w:color="auto"/>
            </w:tcBorders>
            <w:shd w:val="clear" w:color="auto" w:fill="auto"/>
          </w:tcPr>
          <w:p w:rsidR="00913A0A" w:rsidRPr="004B208C" w:rsidRDefault="00913A0A" w:rsidP="00F70479">
            <w:pPr>
              <w:pStyle w:val="ProductNames"/>
              <w:rPr>
                <w:rFonts w:ascii="Tahoma" w:hAnsi="Tahoma" w:cs="Tahoma"/>
                <w:sz w:val="14"/>
              </w:rPr>
            </w:pPr>
            <w:bookmarkStart w:id="116" w:name="_Toc336337897"/>
            <w:bookmarkStart w:id="117" w:name="_Toc370981029"/>
            <w:r w:rsidRPr="004B208C">
              <w:rPr>
                <w:rFonts w:ascii="Tahoma" w:hAnsi="Tahoma" w:cs="Tahoma"/>
                <w:sz w:val="14"/>
              </w:rPr>
              <w:t>Licença de Assinatura do Windows Companion</w:t>
            </w:r>
            <w:bookmarkEnd w:id="116"/>
            <w:bookmarkEnd w:id="117"/>
          </w:p>
        </w:tc>
        <w:tc>
          <w:tcPr>
            <w:tcW w:w="423" w:type="dxa"/>
            <w:tcBorders>
              <w:bottom w:val="single" w:sz="4" w:space="0" w:color="auto"/>
            </w:tcBorders>
            <w:shd w:val="clear" w:color="auto" w:fill="auto"/>
            <w:vAlign w:val="center"/>
          </w:tcPr>
          <w:p w:rsidR="00913A0A" w:rsidRPr="00CB1C95" w:rsidRDefault="00C70EF2" w:rsidP="006D5161">
            <w:pPr>
              <w:pStyle w:val="TableText"/>
              <w:widowControl w:val="0"/>
              <w:rPr>
                <w:rFonts w:cs="Tahoma"/>
                <w:b/>
                <w:color w:val="0000FF"/>
                <w:sz w:val="13"/>
                <w:szCs w:val="13"/>
                <w:u w:val="single"/>
              </w:rPr>
            </w:pPr>
            <w:hyperlink w:anchor="_25_Windows®_Companion" w:history="1">
              <w:r w:rsidR="00CF5A3E" w:rsidRPr="00CB1C95">
                <w:rPr>
                  <w:rStyle w:val="Hyperlink"/>
                  <w:rFonts w:cs="Tahoma"/>
                  <w:b/>
                  <w:sz w:val="13"/>
                  <w:szCs w:val="13"/>
                </w:rPr>
                <w:t>29</w:t>
              </w:r>
            </w:hyperlink>
            <w:hyperlink w:anchor="_25_Windows®_Companion" w:history="1"/>
          </w:p>
        </w:tc>
        <w:tc>
          <w:tcPr>
            <w:tcW w:w="443" w:type="dxa"/>
            <w:tcBorders>
              <w:bottom w:val="single" w:sz="4" w:space="0" w:color="auto"/>
            </w:tcBorders>
            <w:shd w:val="clear" w:color="auto" w:fill="auto"/>
            <w:vAlign w:val="center"/>
          </w:tcPr>
          <w:p w:rsidR="00913A0A" w:rsidRPr="004B208C" w:rsidRDefault="00913A0A" w:rsidP="004D199A">
            <w:pPr>
              <w:pStyle w:val="TableText"/>
              <w:rPr>
                <w:rFonts w:ascii="Tahoma" w:hAnsi="Tahoma" w:cs="Tahoma"/>
                <w:sz w:val="13"/>
              </w:rPr>
            </w:pPr>
            <w:r w:rsidRPr="004B208C">
              <w:rPr>
                <w:rFonts w:ascii="Tahoma" w:hAnsi="Tahoma" w:cs="Tahoma"/>
                <w:sz w:val="13"/>
              </w:rPr>
              <w:t>10/12</w:t>
            </w:r>
          </w:p>
        </w:tc>
        <w:tc>
          <w:tcPr>
            <w:tcW w:w="412"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3008" w:type="dxa"/>
            <w:gridSpan w:val="10"/>
            <w:tcBorders>
              <w:left w:val="single" w:sz="18" w:space="0" w:color="auto"/>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30" w:type="dxa"/>
            <w:tcBorders>
              <w:left w:val="single" w:sz="18" w:space="0" w:color="auto"/>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70"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385"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515" w:type="dxa"/>
            <w:tcBorders>
              <w:left w:val="single" w:sz="18" w:space="0" w:color="auto"/>
              <w:bottom w:val="single" w:sz="4" w:space="0" w:color="auto"/>
            </w:tcBorders>
            <w:shd w:val="clear" w:color="auto" w:fill="auto"/>
            <w:vAlign w:val="center"/>
          </w:tcPr>
          <w:p w:rsidR="00913A0A" w:rsidRPr="004B208C" w:rsidRDefault="00913A0A" w:rsidP="004479EA">
            <w:pPr>
              <w:pStyle w:val="TableText"/>
              <w:rPr>
                <w:rFonts w:ascii="Tahoma" w:hAnsi="Tahoma" w:cs="Tahoma"/>
                <w:sz w:val="13"/>
              </w:rPr>
            </w:pPr>
            <w:r w:rsidRPr="004B208C">
              <w:rPr>
                <w:rFonts w:ascii="Tahoma" w:hAnsi="Tahoma" w:cs="Tahoma"/>
                <w:sz w:val="13"/>
              </w:rPr>
              <w:t>1</w:t>
            </w:r>
          </w:p>
        </w:tc>
        <w:tc>
          <w:tcPr>
            <w:tcW w:w="403" w:type="dxa"/>
            <w:tcBorders>
              <w:bottom w:val="single" w:sz="4" w:space="0" w:color="auto"/>
              <w:right w:val="single" w:sz="18" w:space="0" w:color="auto"/>
            </w:tcBorders>
            <w:shd w:val="clear" w:color="auto" w:fill="auto"/>
            <w:vAlign w:val="center"/>
          </w:tcPr>
          <w:p w:rsidR="00913A0A" w:rsidRPr="004B208C" w:rsidRDefault="00913A0A" w:rsidP="008925CF">
            <w:pPr>
              <w:pStyle w:val="TableText"/>
              <w:rPr>
                <w:rFonts w:ascii="Tahoma" w:hAnsi="Tahoma" w:cs="Tahoma"/>
                <w:sz w:val="13"/>
              </w:rPr>
            </w:pPr>
            <w:r w:rsidRPr="004B208C">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612" w:type="dxa"/>
            <w:tcBorders>
              <w:bottom w:val="single" w:sz="4" w:space="0" w:color="auto"/>
            </w:tcBorders>
            <w:shd w:val="clear" w:color="auto" w:fill="auto"/>
          </w:tcPr>
          <w:p w:rsidR="00913A0A" w:rsidRPr="004B208C" w:rsidRDefault="00913A0A">
            <w:pPr>
              <w:pStyle w:val="TableText"/>
              <w:rPr>
                <w:rFonts w:ascii="Tahoma" w:hAnsi="Tahoma" w:cs="Tahoma"/>
                <w:sz w:val="13"/>
              </w:rPr>
            </w:pPr>
            <w:r w:rsidRPr="004B208C">
              <w:rPr>
                <w:rFonts w:ascii="Tahoma" w:hAnsi="Tahoma" w:cs="Tahoma"/>
                <w:sz w:val="13"/>
              </w:rPr>
              <w:t>A, (somente EES)</w:t>
            </w:r>
          </w:p>
        </w:tc>
        <w:tc>
          <w:tcPr>
            <w:tcW w:w="497"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360" w:type="dxa"/>
            <w:tcBorders>
              <w:bottom w:val="single" w:sz="4" w:space="0" w:color="auto"/>
            </w:tcBorders>
          </w:tcPr>
          <w:p w:rsidR="00913A0A" w:rsidRPr="004B208C" w:rsidRDefault="00913A0A">
            <w:pPr>
              <w:pStyle w:val="TableText"/>
              <w:rPr>
                <w:rFonts w:ascii="Tahoma" w:hAnsi="Tahoma" w:cs="Tahoma"/>
                <w:sz w:val="13"/>
              </w:rPr>
            </w:pPr>
          </w:p>
        </w:tc>
      </w:tr>
      <w:tr w:rsidR="008A0F85" w:rsidRPr="004B208C" w:rsidTr="00CB1C95">
        <w:trPr>
          <w:trHeight w:val="145"/>
        </w:trPr>
        <w:tc>
          <w:tcPr>
            <w:tcW w:w="2430" w:type="dxa"/>
            <w:tcBorders>
              <w:bottom w:val="single" w:sz="4" w:space="0" w:color="auto"/>
            </w:tcBorders>
            <w:shd w:val="clear" w:color="auto" w:fill="FABF8F"/>
          </w:tcPr>
          <w:p w:rsidR="00913A0A" w:rsidRPr="004B208C" w:rsidRDefault="00913A0A" w:rsidP="00CB1C95">
            <w:pPr>
              <w:pStyle w:val="ProductNames"/>
              <w:rPr>
                <w:rFonts w:ascii="Tahoma" w:hAnsi="Tahoma" w:cs="Tahoma"/>
                <w:sz w:val="14"/>
              </w:rPr>
            </w:pPr>
            <w:bookmarkStart w:id="118" w:name="_Toc370981030"/>
            <w:r w:rsidRPr="004B208C">
              <w:rPr>
                <w:rFonts w:ascii="Tahoma" w:hAnsi="Tahoma" w:cs="Tahoma"/>
                <w:sz w:val="14"/>
              </w:rPr>
              <w:t>Windows</w:t>
            </w:r>
            <w:r w:rsidR="00172F11" w:rsidRPr="00172F11">
              <w:rPr>
                <w:rFonts w:ascii="Tahoma" w:hAnsi="Tahoma" w:cs="Tahoma"/>
                <w:sz w:val="14"/>
                <w:vertAlign w:val="superscript"/>
              </w:rPr>
              <w:t>®</w:t>
            </w:r>
            <w:r w:rsidRPr="004B208C">
              <w:rPr>
                <w:rFonts w:ascii="Tahoma" w:hAnsi="Tahoma" w:cs="Tahoma"/>
                <w:sz w:val="14"/>
              </w:rPr>
              <w:t xml:space="preserve"> Embedded 8.1 Industry</w:t>
            </w:r>
            <w:r w:rsidR="00CB1C95">
              <w:rPr>
                <w:rFonts w:ascii="Tahoma" w:hAnsi="Tahoma" w:cs="Tahoma"/>
                <w:sz w:val="14"/>
              </w:rPr>
              <w:t> </w:t>
            </w:r>
            <w:r w:rsidRPr="004B208C">
              <w:rPr>
                <w:rFonts w:ascii="Tahoma" w:hAnsi="Tahoma" w:cs="Tahoma"/>
                <w:sz w:val="14"/>
              </w:rPr>
              <w:t>Pro</w:t>
            </w:r>
            <w:bookmarkEnd w:id="118"/>
          </w:p>
        </w:tc>
        <w:tc>
          <w:tcPr>
            <w:tcW w:w="423" w:type="dxa"/>
            <w:tcBorders>
              <w:bottom w:val="single" w:sz="4" w:space="0" w:color="auto"/>
            </w:tcBorders>
            <w:shd w:val="clear" w:color="auto" w:fill="FABF8F"/>
            <w:vAlign w:val="center"/>
          </w:tcPr>
          <w:p w:rsidR="00913A0A" w:rsidRPr="00CB1C95" w:rsidRDefault="00C70EF2" w:rsidP="003D5C46">
            <w:pPr>
              <w:pStyle w:val="TableText"/>
              <w:widowControl w:val="0"/>
              <w:rPr>
                <w:rFonts w:cs="Tahoma"/>
                <w:b/>
                <w:sz w:val="13"/>
                <w:szCs w:val="13"/>
              </w:rPr>
            </w:pPr>
            <w:hyperlink w:anchor="_27_Windows®_Embedded" w:history="1">
              <w:r w:rsidR="00CF5A3E" w:rsidRPr="00CB1C95">
                <w:rPr>
                  <w:rStyle w:val="Hyperlink"/>
                  <w:rFonts w:cs="Tahoma"/>
                  <w:b/>
                  <w:sz w:val="13"/>
                  <w:szCs w:val="13"/>
                </w:rPr>
                <w:t>28</w:t>
              </w:r>
            </w:hyperlink>
          </w:p>
        </w:tc>
        <w:tc>
          <w:tcPr>
            <w:tcW w:w="443" w:type="dxa"/>
            <w:tcBorders>
              <w:bottom w:val="single" w:sz="4" w:space="0" w:color="auto"/>
            </w:tcBorders>
            <w:shd w:val="clear" w:color="auto" w:fill="FABF8F"/>
            <w:vAlign w:val="center"/>
          </w:tcPr>
          <w:p w:rsidR="00913A0A" w:rsidRPr="004B208C" w:rsidRDefault="00ED3095" w:rsidP="004D199A">
            <w:pPr>
              <w:pStyle w:val="TableText"/>
              <w:rPr>
                <w:rFonts w:ascii="Tahoma" w:hAnsi="Tahoma" w:cs="Tahoma"/>
                <w:sz w:val="13"/>
              </w:rPr>
            </w:pPr>
            <w:r w:rsidRPr="004B208C">
              <w:rPr>
                <w:rFonts w:ascii="Tahoma" w:hAnsi="Tahoma" w:cs="Tahoma"/>
                <w:sz w:val="13"/>
              </w:rPr>
              <w:t>11/13</w:t>
            </w:r>
          </w:p>
        </w:tc>
        <w:tc>
          <w:tcPr>
            <w:tcW w:w="412"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364" w:type="dxa"/>
            <w:tcBorders>
              <w:left w:val="single" w:sz="18"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5</w:t>
            </w: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4</w:t>
            </w: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1</w:t>
            </w:r>
          </w:p>
        </w:tc>
        <w:tc>
          <w:tcPr>
            <w:tcW w:w="430"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70"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4</w:t>
            </w:r>
          </w:p>
        </w:tc>
        <w:tc>
          <w:tcPr>
            <w:tcW w:w="385"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515" w:type="dxa"/>
            <w:tcBorders>
              <w:left w:val="single" w:sz="18" w:space="0" w:color="auto"/>
              <w:bottom w:val="single" w:sz="4" w:space="0" w:color="auto"/>
            </w:tcBorders>
            <w:shd w:val="clear" w:color="auto" w:fill="FABF8F"/>
            <w:vAlign w:val="center"/>
          </w:tcPr>
          <w:p w:rsidR="00913A0A" w:rsidRPr="004B208C" w:rsidRDefault="00913A0A" w:rsidP="004479EA">
            <w:pPr>
              <w:pStyle w:val="TableText"/>
              <w:rPr>
                <w:rFonts w:ascii="Tahoma" w:hAnsi="Tahoma" w:cs="Tahoma"/>
                <w:sz w:val="13"/>
              </w:rPr>
            </w:pPr>
            <w:r w:rsidRPr="004B208C">
              <w:rPr>
                <w:rFonts w:ascii="Tahoma" w:hAnsi="Tahoma" w:cs="Tahoma"/>
                <w:sz w:val="13"/>
              </w:rPr>
              <w:t>1</w:t>
            </w:r>
          </w:p>
        </w:tc>
        <w:tc>
          <w:tcPr>
            <w:tcW w:w="403" w:type="dxa"/>
            <w:tcBorders>
              <w:bottom w:val="single" w:sz="4" w:space="0" w:color="auto"/>
              <w:right w:val="single" w:sz="18" w:space="0" w:color="auto"/>
            </w:tcBorders>
            <w:shd w:val="clear" w:color="auto" w:fill="FABF8F"/>
            <w:vAlign w:val="center"/>
          </w:tcPr>
          <w:p w:rsidR="00913A0A" w:rsidRPr="004B208C" w:rsidRDefault="00913A0A" w:rsidP="008925CF">
            <w:pPr>
              <w:pStyle w:val="TableText"/>
              <w:rPr>
                <w:rFonts w:ascii="Tahoma" w:hAnsi="Tahoma" w:cs="Tahoma"/>
                <w:sz w:val="13"/>
              </w:rPr>
            </w:pPr>
            <w:r w:rsidRPr="004B208C">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P</w:t>
            </w:r>
          </w:p>
        </w:tc>
        <w:tc>
          <w:tcPr>
            <w:tcW w:w="612" w:type="dxa"/>
            <w:tcBorders>
              <w:bottom w:val="single" w:sz="4" w:space="0" w:color="auto"/>
            </w:tcBorders>
            <w:shd w:val="clear" w:color="auto" w:fill="FABF8F"/>
          </w:tcPr>
          <w:p w:rsidR="00913A0A" w:rsidRPr="004B208C" w:rsidRDefault="00913A0A">
            <w:pPr>
              <w:pStyle w:val="TableText"/>
              <w:rPr>
                <w:rFonts w:ascii="Tahoma" w:hAnsi="Tahoma" w:cs="Tahoma"/>
                <w:sz w:val="13"/>
              </w:rPr>
            </w:pPr>
          </w:p>
        </w:tc>
        <w:tc>
          <w:tcPr>
            <w:tcW w:w="497"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4B208C" w:rsidRDefault="00913A0A">
            <w:pPr>
              <w:pStyle w:val="TableText"/>
              <w:rPr>
                <w:rFonts w:ascii="Tahoma" w:hAnsi="Tahoma" w:cs="Tahoma"/>
                <w:sz w:val="13"/>
              </w:rPr>
            </w:pPr>
            <w:r w:rsidRPr="004B208C">
              <w:rPr>
                <w:rFonts w:ascii="Tahoma" w:hAnsi="Tahoma" w:cs="Tahoma"/>
                <w:sz w:val="13"/>
              </w:rPr>
              <w:t>A</w:t>
            </w:r>
          </w:p>
        </w:tc>
      </w:tr>
      <w:tr w:rsidR="00ED3095" w:rsidRPr="004B208C" w:rsidTr="00CB1C95">
        <w:trPr>
          <w:trHeight w:val="145"/>
        </w:trPr>
        <w:tc>
          <w:tcPr>
            <w:tcW w:w="2430" w:type="dxa"/>
            <w:tcBorders>
              <w:bottom w:val="single" w:sz="4" w:space="0" w:color="auto"/>
            </w:tcBorders>
            <w:shd w:val="clear" w:color="auto" w:fill="auto"/>
          </w:tcPr>
          <w:p w:rsidR="00ED3095" w:rsidRPr="004B208C" w:rsidRDefault="00ED3095" w:rsidP="00F70479">
            <w:pPr>
              <w:pStyle w:val="ProductNames"/>
              <w:rPr>
                <w:rFonts w:ascii="Tahoma" w:hAnsi="Tahoma" w:cs="Tahoma"/>
                <w:sz w:val="14"/>
              </w:rPr>
            </w:pPr>
            <w:bookmarkStart w:id="119" w:name="_Toc370981031"/>
            <w:r w:rsidRPr="004B208C">
              <w:rPr>
                <w:rFonts w:ascii="Tahoma" w:hAnsi="Tahoma" w:cs="Tahoma"/>
                <w:sz w:val="14"/>
              </w:rPr>
              <w:t>Windows</w:t>
            </w:r>
            <w:r w:rsidR="00172F11" w:rsidRPr="00172F11">
              <w:rPr>
                <w:rFonts w:ascii="Tahoma" w:hAnsi="Tahoma" w:cs="Tahoma"/>
                <w:sz w:val="14"/>
                <w:vertAlign w:val="superscript"/>
              </w:rPr>
              <w:t>®</w:t>
            </w:r>
            <w:r w:rsidRPr="004B208C">
              <w:rPr>
                <w:rFonts w:ascii="Tahoma" w:hAnsi="Tahoma" w:cs="Tahoma"/>
                <w:sz w:val="14"/>
              </w:rPr>
              <w:t xml:space="preserve"> Embedded 8.1 Industry Pro Sideloading</w:t>
            </w:r>
            <w:bookmarkEnd w:id="119"/>
          </w:p>
        </w:tc>
        <w:tc>
          <w:tcPr>
            <w:tcW w:w="423" w:type="dxa"/>
            <w:tcBorders>
              <w:bottom w:val="single" w:sz="4" w:space="0" w:color="auto"/>
            </w:tcBorders>
            <w:shd w:val="clear" w:color="auto" w:fill="auto"/>
            <w:vAlign w:val="center"/>
          </w:tcPr>
          <w:p w:rsidR="00ED3095" w:rsidRPr="00CB1C95" w:rsidRDefault="00C70EF2" w:rsidP="003D5C46">
            <w:pPr>
              <w:pStyle w:val="TableText"/>
              <w:widowControl w:val="0"/>
              <w:rPr>
                <w:rFonts w:cs="Tahoma"/>
                <w:b/>
                <w:sz w:val="13"/>
                <w:szCs w:val="13"/>
              </w:rPr>
            </w:pPr>
            <w:hyperlink w:anchor="_26_Windows_Embedded" w:history="1">
              <w:r w:rsidR="00CF5A3E" w:rsidRPr="00CB1C95">
                <w:rPr>
                  <w:rStyle w:val="Hyperlink"/>
                  <w:rFonts w:cs="Tahoma"/>
                  <w:b/>
                  <w:sz w:val="13"/>
                  <w:szCs w:val="13"/>
                </w:rPr>
                <w:t>27</w:t>
              </w:r>
            </w:hyperlink>
          </w:p>
        </w:tc>
        <w:tc>
          <w:tcPr>
            <w:tcW w:w="443" w:type="dxa"/>
            <w:tcBorders>
              <w:bottom w:val="single" w:sz="4" w:space="0" w:color="auto"/>
            </w:tcBorders>
            <w:shd w:val="clear" w:color="auto" w:fill="auto"/>
            <w:vAlign w:val="center"/>
          </w:tcPr>
          <w:p w:rsidR="00ED3095" w:rsidRPr="004B208C" w:rsidRDefault="00ED3095" w:rsidP="004D199A">
            <w:pPr>
              <w:pStyle w:val="TableText"/>
              <w:rPr>
                <w:rFonts w:ascii="Tahoma" w:hAnsi="Tahoma" w:cs="Tahoma"/>
                <w:sz w:val="13"/>
              </w:rPr>
            </w:pPr>
            <w:r w:rsidRPr="004B208C">
              <w:rPr>
                <w:rFonts w:ascii="Tahoma" w:hAnsi="Tahoma" w:cs="Tahoma"/>
                <w:sz w:val="13"/>
              </w:rPr>
              <w:t>11/13</w:t>
            </w:r>
          </w:p>
        </w:tc>
        <w:tc>
          <w:tcPr>
            <w:tcW w:w="412" w:type="dxa"/>
            <w:tcBorders>
              <w:bottom w:val="single" w:sz="4" w:space="0" w:color="auto"/>
              <w:right w:val="single" w:sz="18" w:space="0" w:color="auto"/>
            </w:tcBorders>
            <w:shd w:val="clear" w:color="auto" w:fill="auto"/>
            <w:vAlign w:val="center"/>
          </w:tcPr>
          <w:p w:rsidR="00ED3095" w:rsidRPr="004B208C" w:rsidRDefault="00ED3095">
            <w:pPr>
              <w:pStyle w:val="TableText"/>
              <w:rPr>
                <w:rFonts w:ascii="Tahoma" w:hAnsi="Tahoma" w:cs="Tahoma"/>
                <w:sz w:val="13"/>
              </w:rPr>
            </w:pPr>
          </w:p>
        </w:tc>
        <w:tc>
          <w:tcPr>
            <w:tcW w:w="3008" w:type="dxa"/>
            <w:gridSpan w:val="10"/>
            <w:tcBorders>
              <w:left w:val="single" w:sz="18" w:space="0" w:color="auto"/>
              <w:bottom w:val="single" w:sz="4" w:space="0" w:color="auto"/>
              <w:right w:val="single" w:sz="18" w:space="0" w:color="auto"/>
            </w:tcBorders>
            <w:shd w:val="clear" w:color="auto" w:fill="auto"/>
            <w:vAlign w:val="center"/>
          </w:tcPr>
          <w:p w:rsidR="00ED3095" w:rsidRPr="004B208C" w:rsidRDefault="00ED3095">
            <w:pPr>
              <w:pStyle w:val="TableText"/>
              <w:rPr>
                <w:rFonts w:ascii="Tahoma" w:hAnsi="Tahoma" w:cs="Tahoma"/>
                <w:sz w:val="13"/>
              </w:rPr>
            </w:pPr>
            <w:r w:rsidRPr="004B208C">
              <w:rPr>
                <w:rFonts w:ascii="Tahoma" w:hAnsi="Tahoma" w:cs="Tahoma"/>
                <w:sz w:val="13"/>
              </w:rPr>
              <w:t>2</w:t>
            </w:r>
          </w:p>
        </w:tc>
        <w:tc>
          <w:tcPr>
            <w:tcW w:w="430" w:type="dxa"/>
            <w:tcBorders>
              <w:left w:val="single" w:sz="18" w:space="0" w:color="auto"/>
              <w:bottom w:val="single" w:sz="4" w:space="0" w:color="auto"/>
            </w:tcBorders>
            <w:shd w:val="clear" w:color="auto" w:fill="auto"/>
            <w:vAlign w:val="center"/>
          </w:tcPr>
          <w:p w:rsidR="00ED3095" w:rsidRPr="004B208C" w:rsidRDefault="00ED3095">
            <w:pPr>
              <w:pStyle w:val="TableText"/>
              <w:rPr>
                <w:rFonts w:ascii="Tahoma" w:hAnsi="Tahoma" w:cs="Tahoma"/>
                <w:sz w:val="13"/>
              </w:rPr>
            </w:pPr>
            <w:r w:rsidRPr="004B208C">
              <w:rPr>
                <w:rFonts w:ascii="Tahoma" w:hAnsi="Tahoma" w:cs="Tahoma"/>
                <w:sz w:val="13"/>
              </w:rPr>
              <w:t>2</w:t>
            </w:r>
          </w:p>
        </w:tc>
        <w:tc>
          <w:tcPr>
            <w:tcW w:w="470" w:type="dxa"/>
            <w:tcBorders>
              <w:bottom w:val="single" w:sz="4" w:space="0" w:color="auto"/>
            </w:tcBorders>
            <w:shd w:val="clear" w:color="auto" w:fill="auto"/>
            <w:vAlign w:val="center"/>
          </w:tcPr>
          <w:p w:rsidR="00ED3095" w:rsidRPr="004B208C" w:rsidRDefault="00ED3095">
            <w:pPr>
              <w:pStyle w:val="TableText"/>
              <w:rPr>
                <w:rFonts w:ascii="Tahoma" w:hAnsi="Tahoma" w:cs="Tahoma"/>
                <w:sz w:val="13"/>
              </w:rPr>
            </w:pPr>
          </w:p>
        </w:tc>
        <w:tc>
          <w:tcPr>
            <w:tcW w:w="385" w:type="dxa"/>
            <w:tcBorders>
              <w:bottom w:val="single" w:sz="4" w:space="0" w:color="auto"/>
              <w:right w:val="single" w:sz="18" w:space="0" w:color="auto"/>
            </w:tcBorders>
            <w:shd w:val="clear" w:color="auto" w:fill="auto"/>
            <w:vAlign w:val="center"/>
          </w:tcPr>
          <w:p w:rsidR="00ED3095" w:rsidRPr="004B208C" w:rsidRDefault="00ED3095">
            <w:pPr>
              <w:pStyle w:val="TableText"/>
              <w:rPr>
                <w:rFonts w:ascii="Tahoma" w:hAnsi="Tahoma" w:cs="Tahoma"/>
                <w:sz w:val="13"/>
              </w:rPr>
            </w:pPr>
          </w:p>
        </w:tc>
        <w:tc>
          <w:tcPr>
            <w:tcW w:w="515" w:type="dxa"/>
            <w:tcBorders>
              <w:left w:val="single" w:sz="18" w:space="0" w:color="auto"/>
              <w:bottom w:val="single" w:sz="4" w:space="0" w:color="auto"/>
            </w:tcBorders>
            <w:shd w:val="clear" w:color="auto" w:fill="auto"/>
            <w:vAlign w:val="center"/>
          </w:tcPr>
          <w:p w:rsidR="00ED3095" w:rsidRPr="004B208C" w:rsidRDefault="00ED3095" w:rsidP="004479EA">
            <w:pPr>
              <w:pStyle w:val="TableText"/>
              <w:rPr>
                <w:rFonts w:ascii="Tahoma" w:hAnsi="Tahoma" w:cs="Tahoma"/>
                <w:sz w:val="13"/>
              </w:rPr>
            </w:pPr>
          </w:p>
        </w:tc>
        <w:tc>
          <w:tcPr>
            <w:tcW w:w="403" w:type="dxa"/>
            <w:tcBorders>
              <w:bottom w:val="single" w:sz="4" w:space="0" w:color="auto"/>
              <w:right w:val="single" w:sz="18" w:space="0" w:color="auto"/>
            </w:tcBorders>
            <w:shd w:val="clear" w:color="auto" w:fill="auto"/>
            <w:vAlign w:val="center"/>
          </w:tcPr>
          <w:p w:rsidR="00ED3095" w:rsidRPr="004B208C" w:rsidRDefault="00ED3095" w:rsidP="008925CF">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ED3095" w:rsidRPr="004B208C" w:rsidRDefault="00ED3095">
            <w:pPr>
              <w:pStyle w:val="TableText"/>
              <w:rPr>
                <w:rFonts w:ascii="Tahoma" w:hAnsi="Tahoma" w:cs="Tahoma"/>
                <w:sz w:val="13"/>
              </w:rPr>
            </w:pPr>
          </w:p>
        </w:tc>
        <w:tc>
          <w:tcPr>
            <w:tcW w:w="612" w:type="dxa"/>
            <w:tcBorders>
              <w:bottom w:val="single" w:sz="4" w:space="0" w:color="auto"/>
            </w:tcBorders>
            <w:shd w:val="clear" w:color="auto" w:fill="auto"/>
          </w:tcPr>
          <w:p w:rsidR="00ED3095" w:rsidRPr="004B208C" w:rsidRDefault="00ED3095">
            <w:pPr>
              <w:pStyle w:val="TableText"/>
              <w:rPr>
                <w:rFonts w:ascii="Tahoma" w:hAnsi="Tahoma" w:cs="Tahoma"/>
                <w:sz w:val="13"/>
              </w:rPr>
            </w:pPr>
          </w:p>
        </w:tc>
        <w:tc>
          <w:tcPr>
            <w:tcW w:w="497" w:type="dxa"/>
            <w:tcBorders>
              <w:bottom w:val="single" w:sz="4" w:space="0" w:color="auto"/>
            </w:tcBorders>
            <w:shd w:val="clear" w:color="auto" w:fill="auto"/>
            <w:vAlign w:val="center"/>
          </w:tcPr>
          <w:p w:rsidR="00ED3095" w:rsidRPr="004B208C" w:rsidRDefault="00ED3095">
            <w:pPr>
              <w:pStyle w:val="TableText"/>
              <w:rPr>
                <w:rFonts w:ascii="Tahoma" w:hAnsi="Tahoma" w:cs="Tahoma"/>
                <w:sz w:val="13"/>
              </w:rPr>
            </w:pPr>
          </w:p>
        </w:tc>
        <w:tc>
          <w:tcPr>
            <w:tcW w:w="360" w:type="dxa"/>
            <w:tcBorders>
              <w:bottom w:val="single" w:sz="4" w:space="0" w:color="auto"/>
            </w:tcBorders>
          </w:tcPr>
          <w:p w:rsidR="00ED3095" w:rsidRPr="004B208C" w:rsidRDefault="00ED3095">
            <w:pPr>
              <w:pStyle w:val="TableText"/>
              <w:rPr>
                <w:rFonts w:ascii="Tahoma" w:hAnsi="Tahoma" w:cs="Tahoma"/>
                <w:sz w:val="13"/>
              </w:rPr>
            </w:pPr>
          </w:p>
        </w:tc>
      </w:tr>
      <w:tr w:rsidR="008A0F85" w:rsidRPr="004B208C" w:rsidTr="00CB1C95">
        <w:trPr>
          <w:trHeight w:val="145"/>
        </w:trPr>
        <w:tc>
          <w:tcPr>
            <w:tcW w:w="2430" w:type="dxa"/>
            <w:tcBorders>
              <w:bottom w:val="single" w:sz="4" w:space="0" w:color="auto"/>
            </w:tcBorders>
            <w:shd w:val="clear" w:color="auto" w:fill="FABF8F"/>
          </w:tcPr>
          <w:p w:rsidR="00913A0A" w:rsidRPr="004B208C" w:rsidRDefault="00913A0A" w:rsidP="003234A7">
            <w:pPr>
              <w:pStyle w:val="ProductNames"/>
              <w:rPr>
                <w:rFonts w:ascii="Tahoma" w:hAnsi="Tahoma" w:cs="Tahoma"/>
                <w:sz w:val="14"/>
              </w:rPr>
            </w:pPr>
            <w:bookmarkStart w:id="120" w:name="_Toc370981032"/>
            <w:r w:rsidRPr="004B208C">
              <w:rPr>
                <w:rFonts w:ascii="Tahoma" w:hAnsi="Tahoma" w:cs="Tahoma"/>
                <w:sz w:val="14"/>
              </w:rPr>
              <w:t>Windows</w:t>
            </w:r>
            <w:r w:rsidR="00172F11" w:rsidRPr="00172F11">
              <w:rPr>
                <w:rFonts w:ascii="Tahoma" w:hAnsi="Tahoma" w:cs="Tahoma"/>
                <w:sz w:val="14"/>
                <w:vertAlign w:val="superscript"/>
              </w:rPr>
              <w:t>®</w:t>
            </w:r>
            <w:r w:rsidRPr="004B208C">
              <w:rPr>
                <w:rFonts w:ascii="Tahoma" w:hAnsi="Tahoma" w:cs="Tahoma"/>
                <w:sz w:val="14"/>
              </w:rPr>
              <w:t xml:space="preserve"> Embedded 8 Standard Enterprise Kit</w:t>
            </w:r>
            <w:bookmarkEnd w:id="120"/>
          </w:p>
        </w:tc>
        <w:tc>
          <w:tcPr>
            <w:tcW w:w="423" w:type="dxa"/>
            <w:tcBorders>
              <w:bottom w:val="single" w:sz="4" w:space="0" w:color="auto"/>
            </w:tcBorders>
            <w:shd w:val="clear" w:color="auto" w:fill="FABF8F"/>
            <w:vAlign w:val="center"/>
          </w:tcPr>
          <w:p w:rsidR="00913A0A" w:rsidRPr="00CB1C95" w:rsidRDefault="00C70EF2" w:rsidP="003D5C46">
            <w:pPr>
              <w:pStyle w:val="TableText"/>
              <w:widowControl w:val="0"/>
              <w:rPr>
                <w:rFonts w:cs="Tahoma"/>
                <w:b/>
                <w:sz w:val="13"/>
                <w:szCs w:val="13"/>
              </w:rPr>
            </w:pPr>
            <w:hyperlink w:anchor="_25_Windows_Embedded" w:history="1">
              <w:r w:rsidR="00CF5A3E" w:rsidRPr="00CB1C95">
                <w:rPr>
                  <w:rStyle w:val="Hyperlink"/>
                  <w:rFonts w:cs="Tahoma"/>
                  <w:b/>
                  <w:sz w:val="13"/>
                  <w:szCs w:val="13"/>
                </w:rPr>
                <w:t>26</w:t>
              </w:r>
            </w:hyperlink>
          </w:p>
        </w:tc>
        <w:tc>
          <w:tcPr>
            <w:tcW w:w="443" w:type="dxa"/>
            <w:tcBorders>
              <w:bottom w:val="single" w:sz="4" w:space="0" w:color="auto"/>
            </w:tcBorders>
            <w:shd w:val="clear" w:color="auto" w:fill="FABF8F"/>
            <w:vAlign w:val="center"/>
          </w:tcPr>
          <w:p w:rsidR="00913A0A" w:rsidRPr="004B208C" w:rsidRDefault="00913A0A" w:rsidP="004D199A">
            <w:pPr>
              <w:pStyle w:val="TableText"/>
              <w:rPr>
                <w:rFonts w:ascii="Tahoma" w:hAnsi="Tahoma" w:cs="Tahoma"/>
                <w:sz w:val="13"/>
              </w:rPr>
            </w:pPr>
            <w:r w:rsidRPr="004B208C">
              <w:rPr>
                <w:rFonts w:ascii="Tahoma" w:hAnsi="Tahoma" w:cs="Tahoma"/>
                <w:sz w:val="13"/>
              </w:rPr>
              <w:t>07/13</w:t>
            </w:r>
          </w:p>
        </w:tc>
        <w:tc>
          <w:tcPr>
            <w:tcW w:w="412"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364" w:type="dxa"/>
            <w:tcBorders>
              <w:left w:val="single" w:sz="18"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70"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85"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515" w:type="dxa"/>
            <w:tcBorders>
              <w:left w:val="single" w:sz="18" w:space="0" w:color="auto"/>
              <w:bottom w:val="single" w:sz="4" w:space="0" w:color="auto"/>
            </w:tcBorders>
            <w:shd w:val="clear" w:color="auto" w:fill="FABF8F"/>
            <w:vAlign w:val="center"/>
          </w:tcPr>
          <w:p w:rsidR="00913A0A" w:rsidRPr="004B208C" w:rsidRDefault="00913A0A" w:rsidP="004479EA">
            <w:pPr>
              <w:pStyle w:val="TableText"/>
              <w:rPr>
                <w:rFonts w:ascii="Tahoma" w:hAnsi="Tahoma" w:cs="Tahoma"/>
                <w:sz w:val="13"/>
              </w:rPr>
            </w:pPr>
          </w:p>
        </w:tc>
        <w:tc>
          <w:tcPr>
            <w:tcW w:w="403" w:type="dxa"/>
            <w:tcBorders>
              <w:bottom w:val="single" w:sz="4" w:space="0" w:color="auto"/>
              <w:right w:val="single" w:sz="18" w:space="0" w:color="auto"/>
            </w:tcBorders>
            <w:shd w:val="clear" w:color="auto" w:fill="FABF8F"/>
            <w:vAlign w:val="center"/>
          </w:tcPr>
          <w:p w:rsidR="00913A0A" w:rsidRPr="004B208C" w:rsidRDefault="00913A0A" w:rsidP="008925CF">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612" w:type="dxa"/>
            <w:tcBorders>
              <w:bottom w:val="single" w:sz="4" w:space="0" w:color="auto"/>
            </w:tcBorders>
            <w:shd w:val="clear" w:color="auto" w:fill="FABF8F"/>
          </w:tcPr>
          <w:p w:rsidR="00913A0A" w:rsidRPr="004B208C" w:rsidRDefault="00913A0A">
            <w:pPr>
              <w:pStyle w:val="TableText"/>
              <w:rPr>
                <w:rFonts w:ascii="Tahoma" w:hAnsi="Tahoma" w:cs="Tahoma"/>
                <w:sz w:val="13"/>
              </w:rPr>
            </w:pPr>
          </w:p>
        </w:tc>
        <w:tc>
          <w:tcPr>
            <w:tcW w:w="497"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4B208C" w:rsidRDefault="00913A0A">
            <w:pPr>
              <w:pStyle w:val="TableText"/>
              <w:rPr>
                <w:rFonts w:ascii="Tahoma" w:hAnsi="Tahoma" w:cs="Tahoma"/>
                <w:sz w:val="13"/>
              </w:rPr>
            </w:pPr>
          </w:p>
        </w:tc>
      </w:tr>
      <w:tr w:rsidR="0045693C" w:rsidRPr="004B208C" w:rsidTr="00CB1C95">
        <w:trPr>
          <w:trHeight w:val="145"/>
        </w:trPr>
        <w:tc>
          <w:tcPr>
            <w:tcW w:w="2430" w:type="dxa"/>
            <w:tcBorders>
              <w:bottom w:val="single" w:sz="4" w:space="0" w:color="auto"/>
            </w:tcBorders>
            <w:shd w:val="clear" w:color="auto" w:fill="auto"/>
          </w:tcPr>
          <w:p w:rsidR="00913A0A" w:rsidRPr="004B208C" w:rsidRDefault="00913A0A" w:rsidP="00F70479">
            <w:pPr>
              <w:pStyle w:val="ProductNames"/>
              <w:rPr>
                <w:rFonts w:ascii="Tahoma" w:hAnsi="Tahoma" w:cs="Tahoma"/>
                <w:sz w:val="14"/>
              </w:rPr>
            </w:pPr>
            <w:bookmarkStart w:id="121" w:name="_Toc336337901"/>
            <w:bookmarkStart w:id="122" w:name="_Toc370981033"/>
            <w:r w:rsidRPr="004B208C">
              <w:rPr>
                <w:rFonts w:ascii="Tahoma" w:hAnsi="Tahoma" w:cs="Tahoma"/>
                <w:sz w:val="14"/>
              </w:rPr>
              <w:t>Direitos de Locação para Windows</w:t>
            </w:r>
            <w:bookmarkEnd w:id="121"/>
            <w:bookmarkEnd w:id="122"/>
          </w:p>
        </w:tc>
        <w:tc>
          <w:tcPr>
            <w:tcW w:w="423" w:type="dxa"/>
            <w:tcBorders>
              <w:bottom w:val="single" w:sz="4" w:space="0" w:color="auto"/>
            </w:tcBorders>
            <w:shd w:val="clear" w:color="auto" w:fill="auto"/>
            <w:vAlign w:val="center"/>
          </w:tcPr>
          <w:p w:rsidR="00913A0A" w:rsidRPr="00CB1C95" w:rsidRDefault="00913A0A" w:rsidP="008A7B14">
            <w:pPr>
              <w:pStyle w:val="TableText"/>
              <w:widowControl w:val="0"/>
              <w:rPr>
                <w:rFonts w:cs="Tahoma"/>
                <w:b/>
                <w:sz w:val="13"/>
                <w:szCs w:val="13"/>
              </w:rPr>
            </w:pPr>
          </w:p>
        </w:tc>
        <w:tc>
          <w:tcPr>
            <w:tcW w:w="443" w:type="dxa"/>
            <w:tcBorders>
              <w:bottom w:val="single" w:sz="4" w:space="0" w:color="auto"/>
            </w:tcBorders>
            <w:shd w:val="clear" w:color="auto" w:fill="auto"/>
            <w:vAlign w:val="center"/>
          </w:tcPr>
          <w:p w:rsidR="00913A0A" w:rsidRPr="004B208C" w:rsidRDefault="00913A0A" w:rsidP="004D199A">
            <w:pPr>
              <w:pStyle w:val="TableText"/>
              <w:rPr>
                <w:rFonts w:ascii="Tahoma" w:hAnsi="Tahoma" w:cs="Tahoma"/>
                <w:sz w:val="13"/>
              </w:rPr>
            </w:pPr>
            <w:r w:rsidRPr="004B208C">
              <w:rPr>
                <w:rFonts w:ascii="Tahoma" w:hAnsi="Tahoma" w:cs="Tahoma"/>
                <w:sz w:val="13"/>
              </w:rPr>
              <w:t>04/09</w:t>
            </w:r>
          </w:p>
        </w:tc>
        <w:tc>
          <w:tcPr>
            <w:tcW w:w="412"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364" w:type="dxa"/>
            <w:tcBorders>
              <w:left w:val="single" w:sz="18" w:space="0" w:color="auto"/>
              <w:bottom w:val="single" w:sz="4" w:space="0" w:color="auto"/>
            </w:tcBorders>
            <w:shd w:val="clear" w:color="auto" w:fill="auto"/>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430" w:type="dxa"/>
            <w:tcBorders>
              <w:left w:val="single" w:sz="18" w:space="0" w:color="auto"/>
              <w:bottom w:val="single" w:sz="4" w:space="0" w:color="auto"/>
            </w:tcBorders>
            <w:shd w:val="clear" w:color="auto" w:fill="auto"/>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70"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385"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515" w:type="dxa"/>
            <w:tcBorders>
              <w:left w:val="single" w:sz="18" w:space="0" w:color="auto"/>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03"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612" w:type="dxa"/>
            <w:tcBorders>
              <w:bottom w:val="single" w:sz="4" w:space="0" w:color="auto"/>
            </w:tcBorders>
            <w:shd w:val="clear" w:color="auto" w:fill="auto"/>
          </w:tcPr>
          <w:p w:rsidR="00913A0A" w:rsidRPr="004B208C" w:rsidRDefault="00913A0A" w:rsidP="00A0765A">
            <w:pPr>
              <w:pStyle w:val="TableText"/>
              <w:spacing w:before="120"/>
              <w:rPr>
                <w:rFonts w:ascii="Tahoma" w:hAnsi="Tahoma" w:cs="Tahoma"/>
                <w:sz w:val="13"/>
              </w:rPr>
            </w:pPr>
          </w:p>
        </w:tc>
        <w:tc>
          <w:tcPr>
            <w:tcW w:w="497"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360" w:type="dxa"/>
            <w:tcBorders>
              <w:bottom w:val="single" w:sz="4" w:space="0" w:color="auto"/>
            </w:tcBorders>
            <w:shd w:val="clear" w:color="auto" w:fill="auto"/>
          </w:tcPr>
          <w:p w:rsidR="00913A0A" w:rsidRPr="004B208C" w:rsidRDefault="00913A0A">
            <w:pPr>
              <w:pStyle w:val="TableText"/>
              <w:rPr>
                <w:rFonts w:ascii="Tahoma" w:hAnsi="Tahoma" w:cs="Tahoma"/>
                <w:sz w:val="13"/>
              </w:rPr>
            </w:pPr>
          </w:p>
        </w:tc>
      </w:tr>
      <w:tr w:rsidR="00913A0A" w:rsidRPr="004B208C" w:rsidTr="00CB1C95">
        <w:trPr>
          <w:trHeight w:val="145"/>
        </w:trPr>
        <w:tc>
          <w:tcPr>
            <w:tcW w:w="2430" w:type="dxa"/>
            <w:tcBorders>
              <w:bottom w:val="single" w:sz="4" w:space="0" w:color="auto"/>
            </w:tcBorders>
            <w:shd w:val="clear" w:color="auto" w:fill="FABF8F"/>
          </w:tcPr>
          <w:p w:rsidR="00913A0A" w:rsidRPr="004B208C" w:rsidRDefault="00913A0A" w:rsidP="00CB1C95">
            <w:pPr>
              <w:pStyle w:val="ProductNames"/>
              <w:rPr>
                <w:rFonts w:ascii="Tahoma" w:hAnsi="Tahoma" w:cs="Tahoma"/>
                <w:sz w:val="14"/>
              </w:rPr>
            </w:pPr>
            <w:bookmarkStart w:id="123" w:name="_Toc336337903"/>
            <w:bookmarkStart w:id="124" w:name="_Toc336337902"/>
            <w:bookmarkStart w:id="125" w:name="_Toc370981034"/>
            <w:r w:rsidRPr="004B208C">
              <w:rPr>
                <w:rFonts w:ascii="Tahoma" w:hAnsi="Tahoma" w:cs="Tahoma"/>
                <w:sz w:val="14"/>
              </w:rPr>
              <w:t>Parceiros na Aprendizagem do</w:t>
            </w:r>
            <w:r w:rsidR="00CB1C95">
              <w:rPr>
                <w:rFonts w:ascii="Tahoma" w:hAnsi="Tahoma" w:cs="Tahoma"/>
                <w:sz w:val="14"/>
              </w:rPr>
              <w:t> </w:t>
            </w:r>
            <w:r w:rsidRPr="004B208C">
              <w:rPr>
                <w:rFonts w:ascii="Tahoma" w:hAnsi="Tahoma" w:cs="Tahoma"/>
                <w:sz w:val="14"/>
              </w:rPr>
              <w:t>Windows</w:t>
            </w:r>
            <w:r w:rsidR="00172F11" w:rsidRPr="00172F11">
              <w:rPr>
                <w:rFonts w:ascii="Tahoma" w:hAnsi="Tahoma" w:cs="Tahoma"/>
                <w:sz w:val="14"/>
                <w:vertAlign w:val="superscript"/>
              </w:rPr>
              <w:t>®</w:t>
            </w:r>
            <w:r w:rsidRPr="004B208C">
              <w:rPr>
                <w:rFonts w:ascii="Tahoma" w:hAnsi="Tahoma" w:cs="Tahoma"/>
                <w:sz w:val="14"/>
              </w:rPr>
              <w:t xml:space="preserve"> 7</w:t>
            </w:r>
            <w:bookmarkEnd w:id="123"/>
            <w:bookmarkEnd w:id="125"/>
            <w:r w:rsidRPr="004B208C">
              <w:rPr>
                <w:rFonts w:ascii="Tahoma" w:hAnsi="Tahoma" w:cs="Tahoma"/>
                <w:sz w:val="14"/>
              </w:rPr>
              <w:t xml:space="preserve"> </w:t>
            </w:r>
            <w:bookmarkEnd w:id="124"/>
          </w:p>
        </w:tc>
        <w:tc>
          <w:tcPr>
            <w:tcW w:w="423" w:type="dxa"/>
            <w:tcBorders>
              <w:bottom w:val="single" w:sz="4" w:space="0" w:color="auto"/>
            </w:tcBorders>
            <w:shd w:val="clear" w:color="auto" w:fill="FABF8F"/>
            <w:vAlign w:val="center"/>
          </w:tcPr>
          <w:p w:rsidR="00913A0A" w:rsidRPr="00CB1C95" w:rsidRDefault="00C70EF2" w:rsidP="003D4F46">
            <w:pPr>
              <w:pStyle w:val="TableText"/>
              <w:widowControl w:val="0"/>
              <w:rPr>
                <w:rFonts w:cs="Tahoma"/>
                <w:b/>
                <w:sz w:val="13"/>
                <w:szCs w:val="13"/>
                <w:u w:val="single"/>
              </w:rPr>
            </w:pPr>
            <w:hyperlink w:anchor="_30_Parceiros_na" w:history="1">
              <w:r w:rsidR="00CF5A3E" w:rsidRPr="00CB1C95">
                <w:rPr>
                  <w:rStyle w:val="Hyperlink"/>
                  <w:rFonts w:cs="Tahoma"/>
                  <w:b/>
                  <w:sz w:val="13"/>
                  <w:szCs w:val="13"/>
                </w:rPr>
                <w:t>30</w:t>
              </w:r>
            </w:hyperlink>
          </w:p>
        </w:tc>
        <w:tc>
          <w:tcPr>
            <w:tcW w:w="443" w:type="dxa"/>
            <w:tcBorders>
              <w:bottom w:val="single" w:sz="4" w:space="0" w:color="auto"/>
            </w:tcBorders>
            <w:shd w:val="clear" w:color="auto" w:fill="FABF8F"/>
          </w:tcPr>
          <w:p w:rsidR="00913A0A" w:rsidRPr="004B208C" w:rsidRDefault="00913A0A" w:rsidP="009124DC">
            <w:pPr>
              <w:pStyle w:val="TableText"/>
              <w:spacing w:before="120"/>
              <w:rPr>
                <w:rFonts w:ascii="Tahoma" w:hAnsi="Tahoma" w:cs="Tahoma"/>
                <w:sz w:val="13"/>
              </w:rPr>
            </w:pPr>
            <w:r w:rsidRPr="004B208C">
              <w:rPr>
                <w:rFonts w:ascii="Tahoma" w:hAnsi="Tahoma" w:cs="Tahoma"/>
                <w:sz w:val="13"/>
              </w:rPr>
              <w:t>11/09</w:t>
            </w:r>
          </w:p>
        </w:tc>
        <w:tc>
          <w:tcPr>
            <w:tcW w:w="412"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DT</w:t>
            </w:r>
          </w:p>
        </w:tc>
        <w:tc>
          <w:tcPr>
            <w:tcW w:w="3008" w:type="dxa"/>
            <w:gridSpan w:val="10"/>
            <w:tcBorders>
              <w:left w:val="single" w:sz="18"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470"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85"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515"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 xml:space="preserve">2 </w:t>
            </w:r>
            <w:r w:rsidRPr="004B208C">
              <w:rPr>
                <w:rFonts w:ascii="Tahoma" w:hAnsi="Tahoma" w:cs="Tahoma"/>
                <w:sz w:val="10"/>
                <w:szCs w:val="12"/>
              </w:rPr>
              <w:t>(Somente School</w:t>
            </w:r>
          </w:p>
        </w:tc>
        <w:tc>
          <w:tcPr>
            <w:tcW w:w="403"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612" w:type="dxa"/>
            <w:tcBorders>
              <w:bottom w:val="single" w:sz="4" w:space="0" w:color="auto"/>
            </w:tcBorders>
            <w:shd w:val="clear" w:color="auto" w:fill="FABF8F"/>
          </w:tcPr>
          <w:p w:rsidR="00913A0A" w:rsidRPr="004B208C" w:rsidRDefault="00913A0A" w:rsidP="00A0765A">
            <w:pPr>
              <w:pStyle w:val="TableText"/>
              <w:spacing w:before="120"/>
              <w:rPr>
                <w:rFonts w:ascii="Tahoma" w:hAnsi="Tahoma" w:cs="Tahoma"/>
                <w:sz w:val="13"/>
              </w:rPr>
            </w:pPr>
          </w:p>
        </w:tc>
        <w:tc>
          <w:tcPr>
            <w:tcW w:w="497"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4B208C" w:rsidRDefault="00913A0A">
            <w:pPr>
              <w:pStyle w:val="TableText"/>
              <w:rPr>
                <w:rFonts w:ascii="Tahoma" w:hAnsi="Tahoma" w:cs="Tahoma"/>
                <w:sz w:val="13"/>
              </w:rPr>
            </w:pPr>
          </w:p>
        </w:tc>
      </w:tr>
      <w:tr w:rsidR="0045693C" w:rsidRPr="004B208C" w:rsidTr="00CB1C95">
        <w:trPr>
          <w:trHeight w:val="145"/>
        </w:trPr>
        <w:tc>
          <w:tcPr>
            <w:tcW w:w="2430" w:type="dxa"/>
            <w:tcBorders>
              <w:bottom w:val="single" w:sz="4" w:space="0" w:color="auto"/>
            </w:tcBorders>
            <w:shd w:val="clear" w:color="auto" w:fill="auto"/>
          </w:tcPr>
          <w:p w:rsidR="00913A0A" w:rsidRPr="004B208C" w:rsidRDefault="00913A0A" w:rsidP="00F70479">
            <w:pPr>
              <w:pStyle w:val="ProductNames"/>
              <w:rPr>
                <w:rFonts w:ascii="Tahoma" w:hAnsi="Tahoma" w:cs="Tahoma"/>
                <w:sz w:val="14"/>
              </w:rPr>
            </w:pPr>
            <w:bookmarkStart w:id="126" w:name="_Toc370981035"/>
            <w:r w:rsidRPr="004B208C">
              <w:rPr>
                <w:rFonts w:ascii="Tahoma" w:hAnsi="Tahoma" w:cs="Tahoma"/>
                <w:sz w:val="14"/>
              </w:rPr>
              <w:t>Windows 8.1 Enterprise Sideloading (Pacote com 100)</w:t>
            </w:r>
            <w:bookmarkEnd w:id="126"/>
          </w:p>
        </w:tc>
        <w:tc>
          <w:tcPr>
            <w:tcW w:w="423" w:type="dxa"/>
            <w:tcBorders>
              <w:bottom w:val="single" w:sz="4" w:space="0" w:color="auto"/>
            </w:tcBorders>
            <w:shd w:val="clear" w:color="auto" w:fill="auto"/>
            <w:vAlign w:val="center"/>
          </w:tcPr>
          <w:p w:rsidR="00913A0A" w:rsidRPr="00CB1C95" w:rsidRDefault="00C70EF2" w:rsidP="003D4F46">
            <w:pPr>
              <w:pStyle w:val="TableText"/>
              <w:widowControl w:val="0"/>
              <w:rPr>
                <w:rFonts w:cs="Tahoma"/>
              </w:rPr>
            </w:pPr>
            <w:hyperlink w:anchor="_28_Windows®_8" w:history="1">
              <w:r w:rsidR="00CF5A3E" w:rsidRPr="00CB1C95">
                <w:rPr>
                  <w:rStyle w:val="Hyperlink"/>
                  <w:rFonts w:cs="Tahoma"/>
                  <w:b/>
                  <w:sz w:val="13"/>
                  <w:szCs w:val="13"/>
                </w:rPr>
                <w:t>31</w:t>
              </w:r>
            </w:hyperlink>
          </w:p>
        </w:tc>
        <w:tc>
          <w:tcPr>
            <w:tcW w:w="443" w:type="dxa"/>
            <w:tcBorders>
              <w:bottom w:val="single" w:sz="4" w:space="0" w:color="auto"/>
            </w:tcBorders>
            <w:shd w:val="clear" w:color="auto" w:fill="auto"/>
          </w:tcPr>
          <w:p w:rsidR="00913A0A" w:rsidRPr="004B208C" w:rsidRDefault="00913A0A" w:rsidP="009124DC">
            <w:pPr>
              <w:pStyle w:val="TableText"/>
              <w:spacing w:before="120"/>
              <w:rPr>
                <w:rFonts w:ascii="Tahoma" w:hAnsi="Tahoma" w:cs="Tahoma"/>
                <w:sz w:val="13"/>
              </w:rPr>
            </w:pPr>
            <w:r w:rsidRPr="004B208C">
              <w:rPr>
                <w:rFonts w:ascii="Tahoma" w:hAnsi="Tahoma" w:cs="Tahoma"/>
                <w:sz w:val="13"/>
              </w:rPr>
              <w:t>09/12</w:t>
            </w:r>
          </w:p>
        </w:tc>
        <w:tc>
          <w:tcPr>
            <w:tcW w:w="412"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364" w:type="dxa"/>
            <w:tcBorders>
              <w:left w:val="single" w:sz="18" w:space="0" w:color="auto"/>
              <w:bottom w:val="single" w:sz="4" w:space="0" w:color="auto"/>
            </w:tcBorders>
            <w:shd w:val="clear" w:color="auto" w:fill="auto"/>
            <w:vAlign w:val="center"/>
          </w:tcPr>
          <w:p w:rsidR="00913A0A" w:rsidRPr="004B208C" w:rsidRDefault="00913A0A">
            <w:pPr>
              <w:pStyle w:val="TableText"/>
              <w:rPr>
                <w:rFonts w:ascii="Tahoma" w:hAnsi="Tahoma" w:cs="Tahoma"/>
                <w:sz w:val="13"/>
              </w:rPr>
            </w:pPr>
            <w:r w:rsidRPr="004B208C">
              <w:rPr>
                <w:rFonts w:ascii="Tahoma" w:hAnsi="Tahoma" w:cs="Tahoma"/>
                <w:sz w:val="13"/>
              </w:rPr>
              <w:t>12</w:t>
            </w:r>
          </w:p>
        </w:tc>
        <w:tc>
          <w:tcPr>
            <w:tcW w:w="450" w:type="dxa"/>
            <w:gridSpan w:val="2"/>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430" w:type="dxa"/>
            <w:tcBorders>
              <w:left w:val="single" w:sz="18" w:space="0" w:color="auto"/>
              <w:bottom w:val="single" w:sz="4" w:space="0" w:color="auto"/>
            </w:tcBorders>
            <w:shd w:val="clear" w:color="auto" w:fill="auto"/>
            <w:vAlign w:val="center"/>
          </w:tcPr>
          <w:p w:rsidR="00913A0A" w:rsidRPr="004B208C" w:rsidRDefault="00913A0A">
            <w:pPr>
              <w:pStyle w:val="TableText"/>
              <w:rPr>
                <w:rFonts w:ascii="Tahoma" w:hAnsi="Tahoma" w:cs="Tahoma"/>
                <w:sz w:val="13"/>
              </w:rPr>
            </w:pPr>
            <w:r w:rsidRPr="004B208C">
              <w:rPr>
                <w:rFonts w:ascii="Tahoma" w:hAnsi="Tahoma" w:cs="Tahoma"/>
                <w:sz w:val="13"/>
              </w:rPr>
              <w:t>12</w:t>
            </w:r>
          </w:p>
        </w:tc>
        <w:tc>
          <w:tcPr>
            <w:tcW w:w="470"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385"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515" w:type="dxa"/>
            <w:tcBorders>
              <w:left w:val="single" w:sz="18" w:space="0" w:color="auto"/>
              <w:bottom w:val="single" w:sz="4" w:space="0" w:color="auto"/>
            </w:tcBorders>
            <w:shd w:val="clear" w:color="auto" w:fill="auto"/>
            <w:vAlign w:val="center"/>
          </w:tcPr>
          <w:p w:rsidR="00913A0A" w:rsidRPr="004B208C" w:rsidRDefault="00913A0A">
            <w:pPr>
              <w:pStyle w:val="TableText"/>
              <w:rPr>
                <w:rFonts w:ascii="Tahoma" w:hAnsi="Tahoma" w:cs="Tahoma"/>
                <w:sz w:val="13"/>
              </w:rPr>
            </w:pPr>
          </w:p>
        </w:tc>
        <w:tc>
          <w:tcPr>
            <w:tcW w:w="403" w:type="dxa"/>
            <w:tcBorders>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612" w:type="dxa"/>
            <w:tcBorders>
              <w:bottom w:val="single" w:sz="4" w:space="0" w:color="auto"/>
            </w:tcBorders>
            <w:shd w:val="clear" w:color="auto" w:fill="auto"/>
            <w:vAlign w:val="center"/>
          </w:tcPr>
          <w:p w:rsidR="00913A0A" w:rsidRPr="004B208C" w:rsidRDefault="00913A0A" w:rsidP="004000C7">
            <w:pPr>
              <w:pStyle w:val="TableText"/>
              <w:rPr>
                <w:rFonts w:ascii="Tahoma" w:hAnsi="Tahoma" w:cs="Tahoma"/>
                <w:sz w:val="13"/>
              </w:rPr>
            </w:pPr>
          </w:p>
        </w:tc>
        <w:tc>
          <w:tcPr>
            <w:tcW w:w="497" w:type="dxa"/>
            <w:tcBorders>
              <w:bottom w:val="single" w:sz="4" w:space="0" w:color="auto"/>
            </w:tcBorders>
            <w:shd w:val="clear" w:color="auto" w:fill="auto"/>
            <w:vAlign w:val="center"/>
          </w:tcPr>
          <w:p w:rsidR="00913A0A" w:rsidRPr="004B208C" w:rsidRDefault="00913A0A">
            <w:pPr>
              <w:pStyle w:val="TableText"/>
              <w:rPr>
                <w:rFonts w:ascii="Tahoma" w:hAnsi="Tahoma" w:cs="Tahoma"/>
                <w:sz w:val="13"/>
              </w:rPr>
            </w:pPr>
            <w:r w:rsidRPr="004B208C">
              <w:rPr>
                <w:rFonts w:ascii="Tahoma" w:hAnsi="Tahoma" w:cs="Tahoma"/>
                <w:sz w:val="13"/>
              </w:rPr>
              <w:t>LO</w:t>
            </w:r>
          </w:p>
        </w:tc>
        <w:tc>
          <w:tcPr>
            <w:tcW w:w="360" w:type="dxa"/>
            <w:tcBorders>
              <w:bottom w:val="single" w:sz="4" w:space="0" w:color="auto"/>
            </w:tcBorders>
            <w:shd w:val="clear" w:color="auto" w:fill="auto"/>
          </w:tcPr>
          <w:p w:rsidR="00913A0A" w:rsidRPr="004B208C" w:rsidRDefault="00913A0A">
            <w:pPr>
              <w:pStyle w:val="TableText"/>
              <w:rPr>
                <w:rFonts w:ascii="Tahoma" w:hAnsi="Tahoma" w:cs="Tahoma"/>
                <w:sz w:val="13"/>
              </w:rPr>
            </w:pPr>
          </w:p>
        </w:tc>
      </w:tr>
      <w:tr w:rsidR="00913A0A" w:rsidRPr="004B208C" w:rsidTr="00CB1C95">
        <w:trPr>
          <w:trHeight w:val="145"/>
        </w:trPr>
        <w:tc>
          <w:tcPr>
            <w:tcW w:w="2430" w:type="dxa"/>
            <w:tcBorders>
              <w:bottom w:val="single" w:sz="4" w:space="0" w:color="auto"/>
            </w:tcBorders>
            <w:shd w:val="clear" w:color="auto" w:fill="FABF8F"/>
          </w:tcPr>
          <w:p w:rsidR="00913A0A" w:rsidRPr="004B208C" w:rsidRDefault="00913A0A" w:rsidP="00F70479">
            <w:pPr>
              <w:pStyle w:val="ProductNames"/>
              <w:rPr>
                <w:rFonts w:ascii="Tahoma" w:hAnsi="Tahoma" w:cs="Tahoma"/>
                <w:sz w:val="14"/>
              </w:rPr>
            </w:pPr>
            <w:bookmarkStart w:id="127" w:name="_Toc336337904"/>
            <w:bookmarkStart w:id="128" w:name="_Toc370981036"/>
            <w:r w:rsidRPr="004B208C">
              <w:rPr>
                <w:rFonts w:ascii="Tahoma" w:hAnsi="Tahoma" w:cs="Tahoma"/>
                <w:sz w:val="14"/>
              </w:rPr>
              <w:t>Windows</w:t>
            </w:r>
            <w:r w:rsidR="00172F11" w:rsidRPr="00172F11">
              <w:rPr>
                <w:rFonts w:ascii="Tahoma" w:hAnsi="Tahoma" w:cs="Tahoma"/>
                <w:sz w:val="14"/>
                <w:vertAlign w:val="superscript"/>
              </w:rPr>
              <w:t>®</w:t>
            </w:r>
            <w:r w:rsidRPr="004B208C">
              <w:rPr>
                <w:rFonts w:ascii="Tahoma" w:hAnsi="Tahoma" w:cs="Tahoma"/>
                <w:sz w:val="14"/>
              </w:rPr>
              <w:t xml:space="preserve"> 8.1 Pro</w:t>
            </w:r>
            <w:bookmarkEnd w:id="127"/>
            <w:bookmarkEnd w:id="128"/>
            <w:r w:rsidRPr="004B208C">
              <w:rPr>
                <w:rFonts w:ascii="Tahoma" w:hAnsi="Tahoma" w:cs="Tahoma"/>
                <w:sz w:val="14"/>
              </w:rPr>
              <w:t xml:space="preserve"> </w:t>
            </w:r>
          </w:p>
        </w:tc>
        <w:tc>
          <w:tcPr>
            <w:tcW w:w="423" w:type="dxa"/>
            <w:tcBorders>
              <w:bottom w:val="single" w:sz="4" w:space="0" w:color="auto"/>
            </w:tcBorders>
            <w:shd w:val="clear" w:color="auto" w:fill="FABF8F"/>
            <w:vAlign w:val="center"/>
          </w:tcPr>
          <w:p w:rsidR="00913A0A" w:rsidRPr="00CB1C95" w:rsidRDefault="00C70EF2" w:rsidP="003D4F46">
            <w:pPr>
              <w:pStyle w:val="TableText"/>
              <w:widowControl w:val="0"/>
              <w:rPr>
                <w:rStyle w:val="EndnoteReference"/>
                <w:rFonts w:cs="Tahoma"/>
                <w:b w:val="0"/>
                <w:color w:val="0000FF"/>
                <w:sz w:val="13"/>
                <w:szCs w:val="13"/>
                <w:u w:val="single"/>
              </w:rPr>
            </w:pPr>
            <w:hyperlink w:anchor="_29_Windows®_8" w:history="1">
              <w:r w:rsidR="00CF5A3E" w:rsidRPr="00CB1C95">
                <w:rPr>
                  <w:rStyle w:val="Hyperlink"/>
                  <w:rFonts w:cs="Tahoma"/>
                  <w:b/>
                  <w:sz w:val="13"/>
                  <w:szCs w:val="13"/>
                </w:rPr>
                <w:t>32</w:t>
              </w:r>
            </w:hyperlink>
            <w:hyperlink w:anchor="_29_Windows®_8" w:history="1"/>
          </w:p>
        </w:tc>
        <w:tc>
          <w:tcPr>
            <w:tcW w:w="443" w:type="dxa"/>
            <w:tcBorders>
              <w:bottom w:val="single" w:sz="4" w:space="0" w:color="auto"/>
            </w:tcBorders>
            <w:shd w:val="clear" w:color="auto" w:fill="FABF8F"/>
          </w:tcPr>
          <w:p w:rsidR="00913A0A" w:rsidRPr="004B208C" w:rsidRDefault="00ED3095" w:rsidP="009124DC">
            <w:pPr>
              <w:pStyle w:val="TableText"/>
              <w:spacing w:before="120"/>
              <w:rPr>
                <w:rFonts w:ascii="Tahoma" w:hAnsi="Tahoma" w:cs="Tahoma"/>
                <w:sz w:val="13"/>
              </w:rPr>
            </w:pPr>
            <w:r w:rsidRPr="004B208C">
              <w:rPr>
                <w:rFonts w:ascii="Tahoma" w:hAnsi="Tahoma" w:cs="Tahoma"/>
                <w:sz w:val="13"/>
              </w:rPr>
              <w:t>11/13</w:t>
            </w:r>
          </w:p>
        </w:tc>
        <w:tc>
          <w:tcPr>
            <w:tcW w:w="412"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DT</w:t>
            </w:r>
          </w:p>
        </w:tc>
        <w:tc>
          <w:tcPr>
            <w:tcW w:w="364"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5</w:t>
            </w:r>
          </w:p>
        </w:tc>
        <w:tc>
          <w:tcPr>
            <w:tcW w:w="450" w:type="dxa"/>
            <w:gridSpan w:val="2"/>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4</w:t>
            </w:r>
          </w:p>
        </w:tc>
        <w:tc>
          <w:tcPr>
            <w:tcW w:w="450" w:type="dxa"/>
            <w:gridSpan w:val="2"/>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3</w:t>
            </w:r>
          </w:p>
        </w:tc>
        <w:tc>
          <w:tcPr>
            <w:tcW w:w="450"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3</w:t>
            </w:r>
          </w:p>
        </w:tc>
        <w:tc>
          <w:tcPr>
            <w:tcW w:w="450"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1</w:t>
            </w:r>
          </w:p>
        </w:tc>
        <w:tc>
          <w:tcPr>
            <w:tcW w:w="430"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70"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4</w:t>
            </w:r>
          </w:p>
        </w:tc>
        <w:tc>
          <w:tcPr>
            <w:tcW w:w="385"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515"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1</w:t>
            </w:r>
          </w:p>
        </w:tc>
        <w:tc>
          <w:tcPr>
            <w:tcW w:w="403"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E, P</w:t>
            </w:r>
          </w:p>
        </w:tc>
        <w:tc>
          <w:tcPr>
            <w:tcW w:w="612" w:type="dxa"/>
            <w:tcBorders>
              <w:bottom w:val="single" w:sz="4" w:space="0" w:color="auto"/>
            </w:tcBorders>
            <w:shd w:val="clear" w:color="auto" w:fill="FABF8F"/>
            <w:vAlign w:val="center"/>
          </w:tcPr>
          <w:p w:rsidR="00913A0A" w:rsidRPr="004B208C" w:rsidRDefault="00913A0A" w:rsidP="004000C7">
            <w:pPr>
              <w:pStyle w:val="TableText"/>
              <w:rPr>
                <w:rFonts w:ascii="Tahoma" w:hAnsi="Tahoma" w:cs="Tahoma"/>
                <w:sz w:val="13"/>
              </w:rPr>
            </w:pPr>
            <w:r w:rsidRPr="004B208C">
              <w:rPr>
                <w:rFonts w:ascii="Tahoma" w:hAnsi="Tahoma" w:cs="Tahoma"/>
                <w:sz w:val="13"/>
              </w:rPr>
              <w:t>E,ST</w:t>
            </w:r>
          </w:p>
        </w:tc>
        <w:tc>
          <w:tcPr>
            <w:tcW w:w="497"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4B208C" w:rsidRDefault="00913A0A">
            <w:pPr>
              <w:pStyle w:val="TableText"/>
              <w:rPr>
                <w:rFonts w:ascii="Tahoma" w:hAnsi="Tahoma" w:cs="Tahoma"/>
                <w:sz w:val="13"/>
              </w:rPr>
            </w:pPr>
          </w:p>
        </w:tc>
      </w:tr>
      <w:tr w:rsidR="0045693C" w:rsidRPr="004B208C" w:rsidTr="00CB1C95">
        <w:trPr>
          <w:trHeight w:val="145"/>
        </w:trPr>
        <w:tc>
          <w:tcPr>
            <w:tcW w:w="2430" w:type="dxa"/>
            <w:tcBorders>
              <w:bottom w:val="single" w:sz="4" w:space="0" w:color="auto"/>
            </w:tcBorders>
            <w:shd w:val="clear" w:color="auto" w:fill="auto"/>
          </w:tcPr>
          <w:p w:rsidR="00913A0A" w:rsidRPr="004B208C" w:rsidRDefault="00913A0A" w:rsidP="00F70479">
            <w:pPr>
              <w:pStyle w:val="ProductNames"/>
              <w:rPr>
                <w:rFonts w:ascii="Tahoma" w:hAnsi="Tahoma" w:cs="Tahoma"/>
                <w:sz w:val="14"/>
              </w:rPr>
            </w:pPr>
            <w:bookmarkStart w:id="129" w:name="_Toc336337905"/>
            <w:bookmarkStart w:id="130" w:name="_Toc370981037"/>
            <w:r w:rsidRPr="004B208C">
              <w:rPr>
                <w:rFonts w:ascii="Tahoma" w:hAnsi="Tahoma" w:cs="Tahoma"/>
                <w:sz w:val="14"/>
              </w:rPr>
              <w:t>Windows</w:t>
            </w:r>
            <w:r w:rsidR="00172F11" w:rsidRPr="00172F11">
              <w:rPr>
                <w:rFonts w:ascii="Tahoma" w:hAnsi="Tahoma" w:cs="Tahoma"/>
                <w:sz w:val="14"/>
                <w:vertAlign w:val="superscript"/>
              </w:rPr>
              <w:t>®</w:t>
            </w:r>
            <w:r w:rsidRPr="004B208C">
              <w:rPr>
                <w:rFonts w:ascii="Tahoma" w:hAnsi="Tahoma" w:cs="Tahoma"/>
                <w:sz w:val="14"/>
              </w:rPr>
              <w:t xml:space="preserve"> 8.1 Pro com MDOP</w:t>
            </w:r>
            <w:bookmarkEnd w:id="129"/>
            <w:bookmarkEnd w:id="130"/>
            <w:r w:rsidRPr="004B208C">
              <w:rPr>
                <w:rFonts w:ascii="Tahoma" w:hAnsi="Tahoma" w:cs="Tahoma"/>
                <w:sz w:val="14"/>
              </w:rPr>
              <w:t xml:space="preserve"> </w:t>
            </w:r>
          </w:p>
        </w:tc>
        <w:tc>
          <w:tcPr>
            <w:tcW w:w="423" w:type="dxa"/>
            <w:tcBorders>
              <w:bottom w:val="single" w:sz="4" w:space="0" w:color="auto"/>
            </w:tcBorders>
            <w:shd w:val="clear" w:color="auto" w:fill="auto"/>
            <w:vAlign w:val="center"/>
          </w:tcPr>
          <w:p w:rsidR="00913A0A" w:rsidRPr="00CB1C95" w:rsidRDefault="00913A0A" w:rsidP="005D1AD1">
            <w:pPr>
              <w:pStyle w:val="TableText"/>
              <w:widowControl w:val="0"/>
              <w:rPr>
                <w:rStyle w:val="EndnoteReference"/>
                <w:rFonts w:cs="Tahoma"/>
                <w:color w:val="0000FF"/>
                <w:sz w:val="13"/>
                <w:szCs w:val="13"/>
                <w:u w:val="single"/>
              </w:rPr>
            </w:pPr>
          </w:p>
        </w:tc>
        <w:tc>
          <w:tcPr>
            <w:tcW w:w="443" w:type="dxa"/>
            <w:tcBorders>
              <w:bottom w:val="single" w:sz="4" w:space="0" w:color="auto"/>
            </w:tcBorders>
            <w:shd w:val="clear" w:color="auto" w:fill="auto"/>
          </w:tcPr>
          <w:p w:rsidR="00913A0A" w:rsidRPr="004B208C" w:rsidRDefault="00ED3095" w:rsidP="00690165">
            <w:pPr>
              <w:pStyle w:val="TableText"/>
              <w:spacing w:before="120"/>
              <w:rPr>
                <w:rFonts w:ascii="Tahoma" w:hAnsi="Tahoma" w:cs="Tahoma"/>
                <w:sz w:val="13"/>
              </w:rPr>
            </w:pPr>
            <w:r w:rsidRPr="004B208C">
              <w:rPr>
                <w:rFonts w:ascii="Tahoma" w:hAnsi="Tahoma" w:cs="Tahoma"/>
                <w:sz w:val="13"/>
              </w:rPr>
              <w:t>11/13</w:t>
            </w:r>
          </w:p>
        </w:tc>
        <w:tc>
          <w:tcPr>
            <w:tcW w:w="412" w:type="dxa"/>
            <w:tcBorders>
              <w:bottom w:val="single" w:sz="4" w:space="0" w:color="auto"/>
              <w:right w:val="single" w:sz="18"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DT</w:t>
            </w:r>
          </w:p>
        </w:tc>
        <w:tc>
          <w:tcPr>
            <w:tcW w:w="364" w:type="dxa"/>
            <w:tcBorders>
              <w:left w:val="single" w:sz="18" w:space="0" w:color="auto"/>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6</w:t>
            </w:r>
          </w:p>
        </w:tc>
        <w:tc>
          <w:tcPr>
            <w:tcW w:w="450" w:type="dxa"/>
            <w:gridSpan w:val="2"/>
            <w:tcBorders>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5</w:t>
            </w:r>
          </w:p>
        </w:tc>
        <w:tc>
          <w:tcPr>
            <w:tcW w:w="450" w:type="dxa"/>
            <w:gridSpan w:val="2"/>
            <w:tcBorders>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4</w:t>
            </w:r>
          </w:p>
        </w:tc>
        <w:tc>
          <w:tcPr>
            <w:tcW w:w="450" w:type="dxa"/>
            <w:tcBorders>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3</w:t>
            </w:r>
          </w:p>
        </w:tc>
        <w:tc>
          <w:tcPr>
            <w:tcW w:w="450" w:type="dxa"/>
            <w:tcBorders>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1</w:t>
            </w:r>
          </w:p>
        </w:tc>
        <w:tc>
          <w:tcPr>
            <w:tcW w:w="430" w:type="dxa"/>
            <w:tcBorders>
              <w:left w:val="single" w:sz="18" w:space="0" w:color="auto"/>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p>
        </w:tc>
        <w:tc>
          <w:tcPr>
            <w:tcW w:w="470" w:type="dxa"/>
            <w:tcBorders>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p>
        </w:tc>
        <w:tc>
          <w:tcPr>
            <w:tcW w:w="385" w:type="dxa"/>
            <w:tcBorders>
              <w:bottom w:val="single" w:sz="4" w:space="0" w:color="auto"/>
              <w:right w:val="single" w:sz="18" w:space="0" w:color="auto"/>
            </w:tcBorders>
            <w:shd w:val="clear" w:color="auto" w:fill="auto"/>
            <w:vAlign w:val="center"/>
          </w:tcPr>
          <w:p w:rsidR="00913A0A" w:rsidRPr="004B208C" w:rsidRDefault="00913A0A" w:rsidP="005D1AD1">
            <w:pPr>
              <w:pStyle w:val="TableText"/>
              <w:rPr>
                <w:rFonts w:ascii="Tahoma" w:hAnsi="Tahoma" w:cs="Tahoma"/>
                <w:sz w:val="13"/>
              </w:rPr>
            </w:pPr>
          </w:p>
        </w:tc>
        <w:tc>
          <w:tcPr>
            <w:tcW w:w="515" w:type="dxa"/>
            <w:tcBorders>
              <w:left w:val="single" w:sz="18" w:space="0" w:color="auto"/>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2</w:t>
            </w:r>
          </w:p>
        </w:tc>
        <w:tc>
          <w:tcPr>
            <w:tcW w:w="403" w:type="dxa"/>
            <w:tcBorders>
              <w:bottom w:val="single" w:sz="4" w:space="0" w:color="auto"/>
              <w:right w:val="single" w:sz="18"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5D1AD1">
            <w:pPr>
              <w:pStyle w:val="TableText"/>
              <w:rPr>
                <w:rFonts w:ascii="Tahoma" w:hAnsi="Tahoma" w:cs="Tahoma"/>
                <w:sz w:val="13"/>
              </w:rPr>
            </w:pPr>
            <w:r w:rsidRPr="004B208C">
              <w:rPr>
                <w:rFonts w:ascii="Tahoma" w:hAnsi="Tahoma" w:cs="Tahoma"/>
                <w:sz w:val="13"/>
              </w:rPr>
              <w:t>E, P</w:t>
            </w:r>
          </w:p>
        </w:tc>
        <w:tc>
          <w:tcPr>
            <w:tcW w:w="612" w:type="dxa"/>
            <w:tcBorders>
              <w:bottom w:val="single" w:sz="4" w:space="0" w:color="auto"/>
            </w:tcBorders>
            <w:shd w:val="clear" w:color="auto" w:fill="auto"/>
            <w:vAlign w:val="center"/>
          </w:tcPr>
          <w:p w:rsidR="00913A0A" w:rsidRPr="004B208C" w:rsidRDefault="00913A0A" w:rsidP="004000C7">
            <w:pPr>
              <w:pStyle w:val="TableText"/>
              <w:rPr>
                <w:rFonts w:ascii="Tahoma" w:hAnsi="Tahoma" w:cs="Tahoma"/>
                <w:sz w:val="13"/>
              </w:rPr>
            </w:pPr>
            <w:r w:rsidRPr="004B208C">
              <w:rPr>
                <w:rFonts w:ascii="Tahoma" w:hAnsi="Tahoma" w:cs="Tahoma"/>
                <w:sz w:val="13"/>
              </w:rPr>
              <w:t>E,ST</w:t>
            </w:r>
          </w:p>
        </w:tc>
        <w:tc>
          <w:tcPr>
            <w:tcW w:w="497" w:type="dxa"/>
            <w:tcBorders>
              <w:bottom w:val="single" w:sz="4" w:space="0" w:color="auto"/>
            </w:tcBorders>
            <w:shd w:val="clear" w:color="auto" w:fill="auto"/>
            <w:vAlign w:val="center"/>
          </w:tcPr>
          <w:p w:rsidR="00913A0A" w:rsidRPr="004B208C" w:rsidRDefault="00913A0A" w:rsidP="005D1AD1">
            <w:pPr>
              <w:pStyle w:val="TableText"/>
              <w:rPr>
                <w:rFonts w:ascii="Tahoma" w:hAnsi="Tahoma" w:cs="Tahoma"/>
                <w:sz w:val="13"/>
              </w:rPr>
            </w:pPr>
          </w:p>
        </w:tc>
        <w:tc>
          <w:tcPr>
            <w:tcW w:w="360" w:type="dxa"/>
            <w:tcBorders>
              <w:bottom w:val="single" w:sz="4" w:space="0" w:color="auto"/>
            </w:tcBorders>
            <w:shd w:val="clear" w:color="auto" w:fill="auto"/>
          </w:tcPr>
          <w:p w:rsidR="00913A0A" w:rsidRPr="004B208C" w:rsidRDefault="00913A0A" w:rsidP="005D1AD1">
            <w:pPr>
              <w:pStyle w:val="TableText"/>
              <w:rPr>
                <w:rFonts w:ascii="Tahoma" w:hAnsi="Tahoma" w:cs="Tahoma"/>
                <w:sz w:val="13"/>
              </w:rPr>
            </w:pPr>
          </w:p>
        </w:tc>
      </w:tr>
      <w:tr w:rsidR="00913A0A" w:rsidRPr="004B208C" w:rsidTr="00CB1C95">
        <w:trPr>
          <w:trHeight w:val="123"/>
        </w:trPr>
        <w:tc>
          <w:tcPr>
            <w:tcW w:w="2430" w:type="dxa"/>
            <w:shd w:val="clear" w:color="auto" w:fill="FABF8F"/>
          </w:tcPr>
          <w:p w:rsidR="00913A0A" w:rsidRPr="004B208C" w:rsidRDefault="00913A0A" w:rsidP="008B1045">
            <w:pPr>
              <w:pStyle w:val="ProductNames"/>
              <w:spacing w:before="40" w:after="40"/>
              <w:rPr>
                <w:rFonts w:ascii="Tahoma" w:hAnsi="Tahoma" w:cs="Tahoma"/>
                <w:sz w:val="14"/>
              </w:rPr>
            </w:pPr>
            <w:bookmarkStart w:id="131" w:name="_Toc336337906"/>
            <w:bookmarkStart w:id="132" w:name="_Toc370981038"/>
            <w:r w:rsidRPr="004B208C">
              <w:rPr>
                <w:rFonts w:ascii="Tahoma" w:hAnsi="Tahoma" w:cs="Tahoma"/>
                <w:sz w:val="14"/>
              </w:rPr>
              <w:t>Windows Virtual Desktop Access</w:t>
            </w:r>
            <w:r w:rsidR="008B1045">
              <w:rPr>
                <w:rFonts w:ascii="Tahoma" w:hAnsi="Tahoma" w:cs="Tahoma"/>
                <w:sz w:val="14"/>
              </w:rPr>
              <w:t> </w:t>
            </w:r>
            <w:r w:rsidRPr="004B208C">
              <w:rPr>
                <w:rFonts w:ascii="Tahoma" w:hAnsi="Tahoma" w:cs="Tahoma"/>
                <w:sz w:val="14"/>
              </w:rPr>
              <w:t>(VDA)</w:t>
            </w:r>
            <w:bookmarkEnd w:id="131"/>
            <w:bookmarkEnd w:id="132"/>
          </w:p>
        </w:tc>
        <w:tc>
          <w:tcPr>
            <w:tcW w:w="423" w:type="dxa"/>
            <w:shd w:val="clear" w:color="auto" w:fill="FABF8F"/>
            <w:vAlign w:val="center"/>
          </w:tcPr>
          <w:p w:rsidR="00913A0A" w:rsidRPr="00CB1C95" w:rsidRDefault="00913A0A">
            <w:pPr>
              <w:pStyle w:val="TableText"/>
              <w:widowControl w:val="0"/>
              <w:rPr>
                <w:rStyle w:val="EndnoteReference"/>
                <w:rFonts w:cs="Tahoma"/>
                <w:color w:val="0000FF"/>
                <w:sz w:val="13"/>
                <w:szCs w:val="13"/>
              </w:rPr>
            </w:pPr>
          </w:p>
        </w:tc>
        <w:tc>
          <w:tcPr>
            <w:tcW w:w="443" w:type="dxa"/>
            <w:shd w:val="clear" w:color="auto" w:fill="FABF8F"/>
            <w:vAlign w:val="center"/>
          </w:tcPr>
          <w:p w:rsidR="00913A0A" w:rsidRPr="004B208C" w:rsidRDefault="00913A0A" w:rsidP="007E466C">
            <w:pPr>
              <w:pStyle w:val="TableText"/>
              <w:rPr>
                <w:rFonts w:ascii="Tahoma" w:hAnsi="Tahoma" w:cs="Tahoma"/>
                <w:sz w:val="13"/>
              </w:rPr>
            </w:pPr>
            <w:r w:rsidRPr="004B208C">
              <w:rPr>
                <w:rFonts w:ascii="Tahoma" w:hAnsi="Tahoma" w:cs="Tahoma"/>
                <w:sz w:val="13"/>
              </w:rPr>
              <w:t>07/10</w:t>
            </w:r>
          </w:p>
        </w:tc>
        <w:tc>
          <w:tcPr>
            <w:tcW w:w="412" w:type="dxa"/>
            <w:tcBorders>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DT</w:t>
            </w:r>
          </w:p>
        </w:tc>
        <w:tc>
          <w:tcPr>
            <w:tcW w:w="3008" w:type="dxa"/>
            <w:gridSpan w:val="10"/>
            <w:tcBorders>
              <w:left w:val="single" w:sz="18"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2</w:t>
            </w:r>
          </w:p>
        </w:tc>
        <w:tc>
          <w:tcPr>
            <w:tcW w:w="430" w:type="dxa"/>
            <w:tcBorders>
              <w:lef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470" w:type="dxa"/>
            <w:shd w:val="clear" w:color="auto" w:fill="FABF8F"/>
            <w:vAlign w:val="center"/>
          </w:tcPr>
          <w:p w:rsidR="00913A0A" w:rsidRPr="004B208C" w:rsidRDefault="00913A0A">
            <w:pPr>
              <w:pStyle w:val="TableText"/>
              <w:rPr>
                <w:rFonts w:ascii="Tahoma" w:hAnsi="Tahoma" w:cs="Tahoma"/>
                <w:sz w:val="13"/>
              </w:rPr>
            </w:pPr>
          </w:p>
        </w:tc>
        <w:tc>
          <w:tcPr>
            <w:tcW w:w="385" w:type="dxa"/>
            <w:tcBorders>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515" w:type="dxa"/>
            <w:tcBorders>
              <w:lef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1)</w:t>
            </w:r>
          </w:p>
        </w:tc>
        <w:tc>
          <w:tcPr>
            <w:tcW w:w="403" w:type="dxa"/>
            <w:tcBorders>
              <w:right w:val="single" w:sz="18" w:space="0" w:color="auto"/>
            </w:tcBorders>
            <w:shd w:val="clear" w:color="auto" w:fill="FABF8F"/>
            <w:vAlign w:val="center"/>
          </w:tcPr>
          <w:p w:rsidR="00913A0A" w:rsidRPr="004B208C" w:rsidRDefault="00913A0A" w:rsidP="00BD5039">
            <w:pPr>
              <w:pStyle w:val="TableText"/>
              <w:rPr>
                <w:rFonts w:ascii="Tahoma" w:hAnsi="Tahoma" w:cs="Tahoma"/>
                <w:sz w:val="13"/>
              </w:rPr>
            </w:pPr>
            <w:r w:rsidRPr="004B208C">
              <w:rPr>
                <w:rFonts w:ascii="Tahoma" w:hAnsi="Tahoma" w:cs="Tahoma"/>
                <w:sz w:val="13"/>
              </w:rPr>
              <w:t>E, A</w:t>
            </w:r>
          </w:p>
        </w:tc>
        <w:tc>
          <w:tcPr>
            <w:tcW w:w="378" w:type="dxa"/>
            <w:tcBorders>
              <w:left w:val="single" w:sz="18"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r w:rsidRPr="004B208C">
              <w:rPr>
                <w:rFonts w:ascii="Tahoma" w:hAnsi="Tahoma" w:cs="Tahoma"/>
                <w:sz w:val="13"/>
              </w:rPr>
              <w:t>P</w:t>
            </w:r>
          </w:p>
        </w:tc>
        <w:tc>
          <w:tcPr>
            <w:tcW w:w="612" w:type="dxa"/>
            <w:shd w:val="clear" w:color="auto" w:fill="FABF8F"/>
            <w:vAlign w:val="center"/>
          </w:tcPr>
          <w:p w:rsidR="00913A0A" w:rsidRPr="004B208C" w:rsidRDefault="00913A0A" w:rsidP="00722522">
            <w:pPr>
              <w:pStyle w:val="TableText"/>
              <w:rPr>
                <w:rFonts w:ascii="Tahoma" w:hAnsi="Tahoma" w:cs="Tahoma"/>
                <w:sz w:val="13"/>
              </w:rPr>
            </w:pPr>
            <w:r w:rsidRPr="004B208C">
              <w:rPr>
                <w:rFonts w:ascii="Tahoma" w:hAnsi="Tahoma" w:cs="Tahoma"/>
                <w:sz w:val="13"/>
              </w:rPr>
              <w:t>A</w:t>
            </w:r>
          </w:p>
        </w:tc>
        <w:tc>
          <w:tcPr>
            <w:tcW w:w="497" w:type="dxa"/>
            <w:shd w:val="clear" w:color="auto" w:fill="FABF8F"/>
            <w:vAlign w:val="center"/>
          </w:tcPr>
          <w:p w:rsidR="00913A0A" w:rsidRPr="004B208C" w:rsidRDefault="00913A0A">
            <w:pPr>
              <w:pStyle w:val="TableText"/>
              <w:rPr>
                <w:rFonts w:ascii="Tahoma" w:hAnsi="Tahoma" w:cs="Tahoma"/>
                <w:sz w:val="13"/>
              </w:rPr>
            </w:pPr>
          </w:p>
        </w:tc>
        <w:tc>
          <w:tcPr>
            <w:tcW w:w="360" w:type="dxa"/>
            <w:shd w:val="clear" w:color="auto" w:fill="FABF8F"/>
          </w:tcPr>
          <w:p w:rsidR="00913A0A" w:rsidRPr="004B208C" w:rsidRDefault="00913A0A">
            <w:pPr>
              <w:pStyle w:val="TableText"/>
              <w:rPr>
                <w:rFonts w:ascii="Tahoma" w:hAnsi="Tahoma" w:cs="Tahoma"/>
                <w:sz w:val="13"/>
              </w:rPr>
            </w:pPr>
          </w:p>
        </w:tc>
      </w:tr>
      <w:tr w:rsidR="008A0F85" w:rsidRPr="004B208C" w:rsidTr="00CB1C95">
        <w:trPr>
          <w:trHeight w:val="123"/>
        </w:trPr>
        <w:tc>
          <w:tcPr>
            <w:tcW w:w="2430" w:type="dxa"/>
            <w:shd w:val="clear" w:color="auto" w:fill="auto"/>
          </w:tcPr>
          <w:p w:rsidR="00913A0A" w:rsidRPr="004B208C" w:rsidRDefault="00913A0A" w:rsidP="00F70479">
            <w:pPr>
              <w:pStyle w:val="ProductNames"/>
              <w:rPr>
                <w:rFonts w:ascii="Tahoma" w:hAnsi="Tahoma" w:cs="Tahoma"/>
                <w:sz w:val="14"/>
              </w:rPr>
            </w:pPr>
            <w:bookmarkStart w:id="133" w:name="_Toc370981039"/>
            <w:r w:rsidRPr="004B208C">
              <w:rPr>
                <w:rFonts w:ascii="Tahoma" w:hAnsi="Tahoma" w:cs="Tahoma"/>
                <w:sz w:val="14"/>
              </w:rPr>
              <w:t>Windows Intune (Por Dispositivo)</w:t>
            </w:r>
            <w:bookmarkEnd w:id="133"/>
          </w:p>
        </w:tc>
        <w:tc>
          <w:tcPr>
            <w:tcW w:w="423" w:type="dxa"/>
            <w:shd w:val="clear" w:color="auto" w:fill="auto"/>
            <w:vAlign w:val="center"/>
          </w:tcPr>
          <w:p w:rsidR="00913A0A" w:rsidRPr="00CB1C95" w:rsidRDefault="00C70EF2" w:rsidP="003D4F46">
            <w:pPr>
              <w:pStyle w:val="TableText"/>
              <w:widowControl w:val="0"/>
              <w:rPr>
                <w:rStyle w:val="EndnoteReference"/>
                <w:rFonts w:cs="Tahoma"/>
                <w:b w:val="0"/>
                <w:color w:val="0000FF"/>
                <w:sz w:val="13"/>
                <w:szCs w:val="13"/>
              </w:rPr>
            </w:pPr>
            <w:hyperlink w:anchor="_29_Windows®_8" w:history="1">
              <w:r w:rsidR="00CF5A3E" w:rsidRPr="00CB1C95">
                <w:rPr>
                  <w:rStyle w:val="Hyperlink"/>
                  <w:rFonts w:cs="Tahoma"/>
                  <w:b/>
                  <w:sz w:val="13"/>
                  <w:szCs w:val="13"/>
                </w:rPr>
                <w:t>32</w:t>
              </w:r>
            </w:hyperlink>
          </w:p>
        </w:tc>
        <w:tc>
          <w:tcPr>
            <w:tcW w:w="443" w:type="dxa"/>
            <w:shd w:val="clear" w:color="auto" w:fill="auto"/>
          </w:tcPr>
          <w:p w:rsidR="00913A0A" w:rsidRPr="004B208C" w:rsidRDefault="00913A0A" w:rsidP="006640D1">
            <w:pPr>
              <w:pStyle w:val="TableText"/>
              <w:spacing w:before="120"/>
              <w:rPr>
                <w:rFonts w:ascii="Tahoma" w:hAnsi="Tahoma" w:cs="Tahoma"/>
                <w:sz w:val="13"/>
              </w:rPr>
            </w:pPr>
            <w:r w:rsidRPr="004B208C">
              <w:rPr>
                <w:rFonts w:ascii="Tahoma" w:hAnsi="Tahoma" w:cs="Tahoma"/>
                <w:sz w:val="13"/>
              </w:rPr>
              <w:t>04/11</w:t>
            </w:r>
          </w:p>
        </w:tc>
        <w:tc>
          <w:tcPr>
            <w:tcW w:w="412" w:type="dxa"/>
            <w:tcBorders>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3008" w:type="dxa"/>
            <w:gridSpan w:val="10"/>
            <w:tcBorders>
              <w:left w:val="single" w:sz="18"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430" w:type="dxa"/>
            <w:tcBorders>
              <w:lef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470" w:type="dxa"/>
            <w:shd w:val="clear" w:color="auto" w:fill="auto"/>
            <w:vAlign w:val="center"/>
          </w:tcPr>
          <w:p w:rsidR="00913A0A" w:rsidRPr="004B208C" w:rsidRDefault="00913A0A">
            <w:pPr>
              <w:pStyle w:val="TableText"/>
              <w:rPr>
                <w:rFonts w:ascii="Tahoma" w:hAnsi="Tahoma" w:cs="Tahoma"/>
                <w:sz w:val="13"/>
              </w:rPr>
            </w:pPr>
          </w:p>
        </w:tc>
        <w:tc>
          <w:tcPr>
            <w:tcW w:w="385" w:type="dxa"/>
            <w:tcBorders>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515" w:type="dxa"/>
            <w:tcBorders>
              <w:lef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403" w:type="dxa"/>
            <w:tcBorders>
              <w:right w:val="single" w:sz="18" w:space="0" w:color="auto"/>
            </w:tcBorders>
            <w:shd w:val="clear" w:color="auto" w:fill="auto"/>
            <w:vAlign w:val="center"/>
          </w:tcPr>
          <w:p w:rsidR="00913A0A" w:rsidRPr="004B208C" w:rsidRDefault="00913A0A" w:rsidP="00BD5039">
            <w:pPr>
              <w:pStyle w:val="TableText"/>
              <w:rPr>
                <w:rFonts w:ascii="Tahoma" w:hAnsi="Tahoma" w:cs="Tahoma"/>
                <w:sz w:val="13"/>
              </w:rPr>
            </w:pPr>
          </w:p>
        </w:tc>
        <w:tc>
          <w:tcPr>
            <w:tcW w:w="378" w:type="dxa"/>
            <w:tcBorders>
              <w:left w:val="single" w:sz="18" w:space="0" w:color="auto"/>
              <w:right w:val="single" w:sz="18" w:space="0" w:color="auto"/>
            </w:tcBorders>
            <w:shd w:val="clear" w:color="auto" w:fill="auto"/>
            <w:vAlign w:val="center"/>
          </w:tcPr>
          <w:p w:rsidR="00913A0A" w:rsidRPr="004B208C" w:rsidRDefault="00913A0A">
            <w:pPr>
              <w:pStyle w:val="TableText"/>
              <w:rPr>
                <w:rFonts w:ascii="Tahoma" w:hAnsi="Tahoma" w:cs="Tahoma"/>
                <w:sz w:val="13"/>
              </w:rPr>
            </w:pPr>
          </w:p>
        </w:tc>
        <w:tc>
          <w:tcPr>
            <w:tcW w:w="612" w:type="dxa"/>
            <w:shd w:val="clear" w:color="auto" w:fill="auto"/>
            <w:vAlign w:val="center"/>
          </w:tcPr>
          <w:p w:rsidR="00913A0A" w:rsidRPr="004B208C" w:rsidRDefault="00913A0A" w:rsidP="00722522">
            <w:pPr>
              <w:pStyle w:val="TableText"/>
              <w:rPr>
                <w:rFonts w:ascii="Tahoma" w:hAnsi="Tahoma" w:cs="Tahoma"/>
                <w:sz w:val="13"/>
              </w:rPr>
            </w:pPr>
          </w:p>
        </w:tc>
        <w:tc>
          <w:tcPr>
            <w:tcW w:w="497" w:type="dxa"/>
            <w:shd w:val="clear" w:color="auto" w:fill="auto"/>
            <w:vAlign w:val="center"/>
          </w:tcPr>
          <w:p w:rsidR="00913A0A" w:rsidRPr="004B208C" w:rsidRDefault="00913A0A">
            <w:pPr>
              <w:pStyle w:val="TableText"/>
              <w:rPr>
                <w:rFonts w:ascii="Tahoma" w:hAnsi="Tahoma" w:cs="Tahoma"/>
                <w:sz w:val="13"/>
              </w:rPr>
            </w:pPr>
          </w:p>
        </w:tc>
        <w:tc>
          <w:tcPr>
            <w:tcW w:w="360" w:type="dxa"/>
            <w:shd w:val="clear" w:color="auto" w:fill="auto"/>
          </w:tcPr>
          <w:p w:rsidR="00913A0A" w:rsidRPr="004B208C" w:rsidRDefault="00913A0A">
            <w:pPr>
              <w:pStyle w:val="TableText"/>
              <w:rPr>
                <w:rFonts w:ascii="Tahoma" w:hAnsi="Tahoma" w:cs="Tahoma"/>
                <w:sz w:val="13"/>
              </w:rPr>
            </w:pPr>
          </w:p>
        </w:tc>
      </w:tr>
      <w:tr w:rsidR="00913A0A" w:rsidRPr="004B208C" w:rsidTr="00CB1C95">
        <w:trPr>
          <w:trHeight w:val="123"/>
        </w:trPr>
        <w:tc>
          <w:tcPr>
            <w:tcW w:w="2430" w:type="dxa"/>
            <w:tcBorders>
              <w:bottom w:val="single" w:sz="4" w:space="0" w:color="auto"/>
            </w:tcBorders>
            <w:shd w:val="clear" w:color="auto" w:fill="FABF8F"/>
          </w:tcPr>
          <w:p w:rsidR="00913A0A" w:rsidRPr="004B208C" w:rsidRDefault="00913A0A" w:rsidP="00163658">
            <w:pPr>
              <w:pStyle w:val="ProductNames"/>
              <w:rPr>
                <w:rFonts w:ascii="Tahoma" w:hAnsi="Tahoma" w:cs="Tahoma"/>
                <w:sz w:val="14"/>
              </w:rPr>
            </w:pPr>
            <w:bookmarkStart w:id="134" w:name="_Toc370981040"/>
            <w:r w:rsidRPr="004B208C">
              <w:rPr>
                <w:rFonts w:ascii="Tahoma" w:hAnsi="Tahoma" w:cs="Tahoma"/>
                <w:sz w:val="14"/>
              </w:rPr>
              <w:t>Complemento do Windows Intune (Por Dispositivo)</w:t>
            </w:r>
            <w:bookmarkEnd w:id="134"/>
          </w:p>
        </w:tc>
        <w:tc>
          <w:tcPr>
            <w:tcW w:w="423" w:type="dxa"/>
            <w:tcBorders>
              <w:bottom w:val="single" w:sz="4" w:space="0" w:color="auto"/>
            </w:tcBorders>
            <w:shd w:val="clear" w:color="auto" w:fill="FABF8F"/>
            <w:vAlign w:val="center"/>
          </w:tcPr>
          <w:p w:rsidR="00913A0A" w:rsidRPr="00CB1C95" w:rsidRDefault="00C70EF2" w:rsidP="003D4F46">
            <w:pPr>
              <w:pStyle w:val="TableText"/>
              <w:widowControl w:val="0"/>
              <w:rPr>
                <w:rStyle w:val="EndnoteReference"/>
                <w:rFonts w:cs="Tahoma"/>
                <w:b w:val="0"/>
                <w:color w:val="0000FF"/>
                <w:sz w:val="13"/>
                <w:szCs w:val="13"/>
              </w:rPr>
            </w:pPr>
            <w:hyperlink w:anchor="_98_Windows_Multipoint" w:history="1">
              <w:r w:rsidR="00CF5A3E" w:rsidRPr="00CB1C95">
                <w:rPr>
                  <w:rStyle w:val="Hyperlink"/>
                  <w:rFonts w:cs="Tahoma"/>
                  <w:b/>
                  <w:sz w:val="13"/>
                  <w:szCs w:val="13"/>
                </w:rPr>
                <w:t>33</w:t>
              </w:r>
            </w:hyperlink>
            <w:hyperlink w:anchor="Sys_27WindowsVistaProUpgrade" w:history="1"/>
          </w:p>
        </w:tc>
        <w:tc>
          <w:tcPr>
            <w:tcW w:w="443" w:type="dxa"/>
            <w:tcBorders>
              <w:bottom w:val="single" w:sz="4" w:space="0" w:color="auto"/>
            </w:tcBorders>
            <w:shd w:val="clear" w:color="auto" w:fill="FABF8F"/>
          </w:tcPr>
          <w:p w:rsidR="00913A0A" w:rsidRPr="004B208C" w:rsidRDefault="00913A0A" w:rsidP="00163658">
            <w:pPr>
              <w:pStyle w:val="TableText"/>
              <w:spacing w:before="120"/>
              <w:rPr>
                <w:rFonts w:ascii="Tahoma" w:hAnsi="Tahoma" w:cs="Tahoma"/>
                <w:sz w:val="13"/>
              </w:rPr>
            </w:pPr>
            <w:r w:rsidRPr="004B208C">
              <w:rPr>
                <w:rFonts w:ascii="Tahoma" w:hAnsi="Tahoma" w:cs="Tahoma"/>
                <w:sz w:val="13"/>
              </w:rPr>
              <w:t>04/11</w:t>
            </w:r>
          </w:p>
        </w:tc>
        <w:tc>
          <w:tcPr>
            <w:tcW w:w="412"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3008" w:type="dxa"/>
            <w:gridSpan w:val="10"/>
            <w:tcBorders>
              <w:left w:val="single" w:sz="18"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430"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470"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85" w:type="dxa"/>
            <w:tcBorders>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515" w:type="dxa"/>
            <w:tcBorders>
              <w:left w:val="single" w:sz="18" w:space="0" w:color="auto"/>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403" w:type="dxa"/>
            <w:tcBorders>
              <w:bottom w:val="single" w:sz="4" w:space="0" w:color="auto"/>
              <w:right w:val="single" w:sz="18" w:space="0" w:color="auto"/>
            </w:tcBorders>
            <w:shd w:val="clear" w:color="auto" w:fill="FABF8F"/>
            <w:vAlign w:val="center"/>
          </w:tcPr>
          <w:p w:rsidR="00913A0A" w:rsidRPr="004B208C" w:rsidRDefault="00913A0A" w:rsidP="00BD503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pPr>
              <w:pStyle w:val="TableText"/>
              <w:rPr>
                <w:rFonts w:ascii="Tahoma" w:hAnsi="Tahoma" w:cs="Tahoma"/>
                <w:sz w:val="13"/>
              </w:rPr>
            </w:pPr>
          </w:p>
        </w:tc>
        <w:tc>
          <w:tcPr>
            <w:tcW w:w="612" w:type="dxa"/>
            <w:tcBorders>
              <w:bottom w:val="single" w:sz="4" w:space="0" w:color="auto"/>
            </w:tcBorders>
            <w:shd w:val="clear" w:color="auto" w:fill="FABF8F"/>
            <w:vAlign w:val="center"/>
          </w:tcPr>
          <w:p w:rsidR="00913A0A" w:rsidRPr="004B208C" w:rsidRDefault="00913A0A" w:rsidP="00722522">
            <w:pPr>
              <w:pStyle w:val="TableText"/>
              <w:rPr>
                <w:rFonts w:ascii="Tahoma" w:hAnsi="Tahoma" w:cs="Tahoma"/>
                <w:sz w:val="13"/>
              </w:rPr>
            </w:pPr>
          </w:p>
        </w:tc>
        <w:tc>
          <w:tcPr>
            <w:tcW w:w="497" w:type="dxa"/>
            <w:tcBorders>
              <w:bottom w:val="single" w:sz="4" w:space="0" w:color="auto"/>
            </w:tcBorders>
            <w:shd w:val="clear" w:color="auto" w:fill="FABF8F"/>
            <w:vAlign w:val="center"/>
          </w:tcPr>
          <w:p w:rsidR="00913A0A" w:rsidRPr="004B208C" w:rsidRDefault="00913A0A">
            <w:pPr>
              <w:pStyle w:val="TableText"/>
              <w:rPr>
                <w:rFonts w:ascii="Tahoma" w:hAnsi="Tahoma" w:cs="Tahoma"/>
                <w:sz w:val="13"/>
              </w:rPr>
            </w:pPr>
          </w:p>
        </w:tc>
        <w:tc>
          <w:tcPr>
            <w:tcW w:w="360" w:type="dxa"/>
            <w:tcBorders>
              <w:bottom w:val="single" w:sz="4" w:space="0" w:color="auto"/>
            </w:tcBorders>
            <w:shd w:val="clear" w:color="auto" w:fill="FABF8F"/>
          </w:tcPr>
          <w:p w:rsidR="00913A0A" w:rsidRPr="004B208C" w:rsidRDefault="00913A0A">
            <w:pPr>
              <w:pStyle w:val="TableText"/>
              <w:rPr>
                <w:rFonts w:ascii="Tahoma" w:hAnsi="Tahoma" w:cs="Tahoma"/>
                <w:sz w:val="13"/>
              </w:rPr>
            </w:pPr>
          </w:p>
        </w:tc>
      </w:tr>
    </w:tbl>
    <w:p w:rsidR="00091558" w:rsidRPr="004B208C" w:rsidRDefault="00091558">
      <w:pPr>
        <w:pStyle w:val="ProductPool"/>
        <w:rPr>
          <w:rFonts w:ascii="Tahoma" w:hAnsi="Tahoma" w:cs="Tahoma"/>
        </w:rPr>
      </w:pPr>
    </w:p>
    <w:p w:rsidR="0021637C" w:rsidRDefault="0021637C" w:rsidP="004E292A">
      <w:pPr>
        <w:pStyle w:val="Heading3"/>
        <w:rPr>
          <w:rFonts w:ascii="Tahoma" w:hAnsi="Tahoma" w:cs="Tahoma"/>
        </w:rPr>
      </w:pPr>
    </w:p>
    <w:p w:rsidR="00600C32" w:rsidRDefault="00600C32" w:rsidP="00600C32"/>
    <w:p w:rsidR="00600C32" w:rsidRDefault="00600C32" w:rsidP="00600C32"/>
    <w:p w:rsidR="00600C32" w:rsidRDefault="00600C32" w:rsidP="00600C32"/>
    <w:p w:rsidR="00600C32" w:rsidRDefault="00600C32" w:rsidP="00600C32"/>
    <w:p w:rsidR="008B1045" w:rsidRDefault="008B1045" w:rsidP="00600C32"/>
    <w:p w:rsidR="008B1045" w:rsidRDefault="008B1045" w:rsidP="00600C32"/>
    <w:p w:rsidR="008B1045" w:rsidRDefault="008B1045" w:rsidP="00600C32"/>
    <w:p w:rsidR="00600C32" w:rsidRPr="00600C32" w:rsidRDefault="00600C32" w:rsidP="00600C32"/>
    <w:p w:rsidR="00023FE7" w:rsidRPr="004B208C" w:rsidRDefault="00023FE7" w:rsidP="004E292A">
      <w:pPr>
        <w:pStyle w:val="Heading3"/>
        <w:rPr>
          <w:rFonts w:ascii="Tahoma" w:hAnsi="Tahoma" w:cs="Tahoma"/>
        </w:rPr>
      </w:pPr>
      <w:bookmarkStart w:id="135" w:name="_Toc336337908"/>
      <w:bookmarkStart w:id="136" w:name="_Toc370981041"/>
      <w:r w:rsidRPr="004B208C">
        <w:rPr>
          <w:rFonts w:ascii="Tahoma" w:hAnsi="Tahoma" w:cs="Tahoma"/>
          <w:sz w:val="22"/>
          <w:szCs w:val="22"/>
        </w:rPr>
        <w:t>POOL DE SERVIDORES</w:t>
      </w:r>
      <w:bookmarkEnd w:id="135"/>
      <w:bookmarkEnd w:id="136"/>
    </w:p>
    <w:p w:rsidR="00023FE7" w:rsidRPr="004B208C"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9"/>
        <w:gridCol w:w="2532"/>
        <w:gridCol w:w="449"/>
        <w:gridCol w:w="449"/>
        <w:gridCol w:w="360"/>
        <w:gridCol w:w="320"/>
        <w:gridCol w:w="6"/>
        <w:gridCol w:w="444"/>
        <w:gridCol w:w="6"/>
        <w:gridCol w:w="435"/>
        <w:gridCol w:w="452"/>
        <w:gridCol w:w="7"/>
        <w:gridCol w:w="6"/>
        <w:gridCol w:w="444"/>
        <w:gridCol w:w="6"/>
        <w:gridCol w:w="444"/>
        <w:gridCol w:w="6"/>
        <w:gridCol w:w="365"/>
        <w:gridCol w:w="450"/>
        <w:gridCol w:w="450"/>
        <w:gridCol w:w="450"/>
        <w:gridCol w:w="450"/>
        <w:gridCol w:w="450"/>
        <w:gridCol w:w="394"/>
        <w:gridCol w:w="621"/>
        <w:gridCol w:w="504"/>
        <w:gridCol w:w="371"/>
      </w:tblGrid>
      <w:tr w:rsidR="00600C32" w:rsidRPr="004B208C" w:rsidTr="00472778">
        <w:trPr>
          <w:cantSplit/>
          <w:trHeight w:val="389"/>
          <w:tblHeader/>
        </w:trPr>
        <w:tc>
          <w:tcPr>
            <w:tcW w:w="2551" w:type="dxa"/>
            <w:gridSpan w:val="2"/>
            <w:vMerge w:val="restart"/>
            <w:tcBorders>
              <w:top w:val="single" w:sz="4" w:space="0" w:color="FFFFFF"/>
              <w:left w:val="single" w:sz="4" w:space="0" w:color="FFFFFF"/>
            </w:tcBorders>
          </w:tcPr>
          <w:p w:rsidR="00913A0A" w:rsidRPr="004B208C" w:rsidRDefault="00847333">
            <w:pPr>
              <w:rPr>
                <w:rFonts w:cs="Tahoma"/>
                <w:sz w:val="20"/>
              </w:rPr>
            </w:pPr>
            <w:r>
              <w:rPr>
                <w:rFonts w:cs="Tahoma"/>
                <w:noProof/>
              </w:rPr>
              <mc:AlternateContent>
                <mc:Choice Requires="wps">
                  <w:drawing>
                    <wp:anchor distT="0" distB="0" distL="114300" distR="114300" simplePos="0" relativeHeight="251672064" behindDoc="0" locked="0" layoutInCell="1" allowOverlap="1">
                      <wp:simplePos x="0" y="0"/>
                      <wp:positionH relativeFrom="column">
                        <wp:posOffset>1524635</wp:posOffset>
                      </wp:positionH>
                      <wp:positionV relativeFrom="paragraph">
                        <wp:posOffset>417195</wp:posOffset>
                      </wp:positionV>
                      <wp:extent cx="405130" cy="288290"/>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88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39FE" w:rsidRDefault="009539FE">
                                  <w:pPr>
                                    <w:rPr>
                                      <w:color w:val="0000FF"/>
                                      <w:sz w:val="20"/>
                                    </w:rPr>
                                  </w:pPr>
                                  <w:r>
                                    <w:rPr>
                                      <w:rFonts w:cs="Tahoma"/>
                                      <w:b/>
                                      <w:color w:val="0000FF"/>
                                      <w:sz w:val="8"/>
                                    </w:rPr>
                                    <w:t>(Ctrl + clique)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4" o:spid="_x0000_s1028" type="#_x0000_t202" style="position:absolute;margin-left:120.05pt;margin-top:32.85pt;width:31.9pt;height:22.7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" filled="f" stroked="f">
                      <v:textbox>
                        <w:txbxContent>
                          <w:p w:rsidR="009539FE" w:rsidRDefault="009539FE">
                            <w:pPr>
                              <w:rPr>
                                <w:color w:val="0000FF"/>
                                <w:sz w:val="20"/>
                              </w:rPr>
                            </w:pPr>
                            <w:r>
                              <w:rPr>
                                <w:rFonts w:cs="Tahoma"/>
                                <w:b/>
                                <w:color w:val="0000FF"/>
                                <w:sz w:val="8"/>
                              </w:rPr>
                              <w:t>(Ctrl + clique)</w:t>
                            </w:r>
                          </w:p>
                        </w:txbxContent>
                      </v:textbox>
                    </v:shape>
                  </w:pict>
                </mc:Fallback>
              </mc:AlternateContent>
            </w:r>
          </w:p>
        </w:tc>
        <w:tc>
          <w:tcPr>
            <w:tcW w:w="449" w:type="dxa"/>
            <w:vMerge w:val="restart"/>
            <w:tcBorders>
              <w:top w:val="single" w:sz="12" w:space="0" w:color="auto"/>
            </w:tcBorders>
            <w:textDirection w:val="btLr"/>
            <w:vAlign w:val="center"/>
          </w:tcPr>
          <w:p w:rsidR="00913A0A" w:rsidRPr="00600C32" w:rsidRDefault="00CF5A3E" w:rsidP="00472778">
            <w:pPr>
              <w:pStyle w:val="TableVerticalText"/>
              <w:rPr>
                <w:rFonts w:ascii="Tahoma" w:hAnsi="Tahoma" w:cs="Tahoma"/>
                <w:sz w:val="9"/>
              </w:rPr>
            </w:pPr>
            <w:r w:rsidRPr="00600C32">
              <w:rPr>
                <w:rFonts w:ascii="Tahoma" w:hAnsi="Tahoma" w:cs="Tahoma"/>
                <w:sz w:val="9"/>
              </w:rPr>
              <w:t>N</w:t>
            </w:r>
            <w:r w:rsidR="00600C32">
              <w:rPr>
                <w:rFonts w:ascii="Tahoma" w:hAnsi="Tahoma" w:cs="Tahoma"/>
                <w:sz w:val="9"/>
              </w:rPr>
              <w:t>otas</w:t>
            </w:r>
            <w:r w:rsidRPr="00600C32">
              <w:rPr>
                <w:rFonts w:ascii="Tahoma" w:hAnsi="Tahoma" w:cs="Tahoma"/>
                <w:sz w:val="9"/>
              </w:rPr>
              <w:t xml:space="preserve">do </w:t>
            </w:r>
            <w:r w:rsidR="00600C32">
              <w:rPr>
                <w:rFonts w:ascii="Tahoma" w:hAnsi="Tahoma" w:cs="Tahoma"/>
                <w:sz w:val="9"/>
              </w:rPr>
              <w:br/>
            </w:r>
            <w:r w:rsidRPr="00600C32">
              <w:rPr>
                <w:rStyle w:val="Emphasis"/>
                <w:rFonts w:ascii="Tahoma" w:hAnsi="Tahoma" w:cs="Tahoma"/>
                <w:i w:val="0"/>
              </w:rPr>
              <w:t>Produto</w:t>
            </w:r>
          </w:p>
        </w:tc>
        <w:tc>
          <w:tcPr>
            <w:tcW w:w="449" w:type="dxa"/>
            <w:vMerge w:val="restart"/>
            <w:tcBorders>
              <w:top w:val="single" w:sz="12" w:space="0" w:color="auto"/>
            </w:tcBorders>
            <w:textDirection w:val="btLr"/>
            <w:vAlign w:val="center"/>
          </w:tcPr>
          <w:p w:rsidR="00913A0A" w:rsidRPr="00600C32" w:rsidRDefault="00913A0A" w:rsidP="00472778">
            <w:pPr>
              <w:pStyle w:val="TableVerticalText"/>
              <w:rPr>
                <w:rFonts w:ascii="Tahoma" w:hAnsi="Tahoma" w:cs="Tahoma"/>
                <w:sz w:val="9"/>
              </w:rPr>
            </w:pPr>
            <w:r w:rsidRPr="00600C32">
              <w:rPr>
                <w:rFonts w:ascii="Tahoma" w:hAnsi="Tahoma" w:cs="Tahoma"/>
                <w:sz w:val="9"/>
              </w:rPr>
              <w:t>Data disp</w:t>
            </w:r>
            <w:r w:rsidR="00600C32">
              <w:rPr>
                <w:rFonts w:ascii="Tahoma" w:hAnsi="Tahoma" w:cs="Tahoma"/>
                <w:sz w:val="9"/>
              </w:rPr>
              <w:br/>
            </w:r>
            <w:r w:rsidRPr="00600C32">
              <w:rPr>
                <w:rFonts w:ascii="Tahoma" w:hAnsi="Tahoma" w:cs="Tahoma"/>
                <w:sz w:val="9"/>
              </w:rPr>
              <w:t>onível</w:t>
            </w:r>
          </w:p>
        </w:tc>
        <w:tc>
          <w:tcPr>
            <w:tcW w:w="360" w:type="dxa"/>
            <w:vMerge w:val="restart"/>
            <w:tcBorders>
              <w:top w:val="single" w:sz="12" w:space="0" w:color="auto"/>
              <w:right w:val="single" w:sz="18"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SAB / OSB</w:t>
            </w:r>
          </w:p>
        </w:tc>
        <w:tc>
          <w:tcPr>
            <w:tcW w:w="2941" w:type="dxa"/>
            <w:gridSpan w:val="13"/>
            <w:tcBorders>
              <w:top w:val="single" w:sz="12" w:space="0" w:color="auto"/>
              <w:left w:val="single" w:sz="18" w:space="0" w:color="auto"/>
              <w:right w:val="single" w:sz="18" w:space="0" w:color="auto"/>
            </w:tcBorders>
            <w:vAlign w:val="center"/>
          </w:tcPr>
          <w:p w:rsidR="00913A0A" w:rsidRPr="004B208C" w:rsidRDefault="00913A0A">
            <w:pPr>
              <w:pStyle w:val="TableHeadingsBlack"/>
              <w:rPr>
                <w:rFonts w:ascii="Tahoma" w:hAnsi="Tahoma" w:cs="Tahoma"/>
              </w:rPr>
            </w:pPr>
            <w:r w:rsidRPr="004B208C">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913A0A" w:rsidRPr="004B208C" w:rsidRDefault="00913A0A">
            <w:pPr>
              <w:pStyle w:val="TableHeadingsBlack"/>
              <w:rPr>
                <w:rFonts w:ascii="Tahoma" w:hAnsi="Tahoma" w:cs="Tahoma"/>
                <w:szCs w:val="11"/>
              </w:rPr>
            </w:pPr>
            <w:r w:rsidRPr="004B208C">
              <w:rPr>
                <w:rFonts w:ascii="Tahoma" w:hAnsi="Tahoma" w:cs="Tahoma"/>
                <w:szCs w:val="11"/>
              </w:rPr>
              <w:t>Licença Open</w:t>
            </w:r>
          </w:p>
        </w:tc>
        <w:tc>
          <w:tcPr>
            <w:tcW w:w="450" w:type="dxa"/>
            <w:vMerge w:val="restart"/>
            <w:tcBorders>
              <w:top w:val="single" w:sz="12" w:space="0" w:color="auto"/>
              <w:left w:val="single" w:sz="18"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Unidades Campus e School</w:t>
            </w:r>
          </w:p>
        </w:tc>
        <w:tc>
          <w:tcPr>
            <w:tcW w:w="450" w:type="dxa"/>
            <w:vMerge w:val="restart"/>
            <w:tcBorders>
              <w:top w:val="single" w:sz="12" w:space="0" w:color="auto"/>
              <w:right w:val="single" w:sz="18"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 xml:space="preserve">EA e </w:t>
            </w:r>
            <w:r w:rsidRPr="004B208C">
              <w:rPr>
                <w:rFonts w:ascii="Tahoma" w:hAnsi="Tahoma" w:cs="Tahoma"/>
                <w:sz w:val="9"/>
              </w:rPr>
              <w:br/>
              <w:t>EA Sub</w:t>
            </w:r>
          </w:p>
        </w:tc>
        <w:tc>
          <w:tcPr>
            <w:tcW w:w="394" w:type="dxa"/>
            <w:vMerge w:val="restart"/>
            <w:tcBorders>
              <w:top w:val="single" w:sz="12" w:space="0" w:color="auto"/>
              <w:left w:val="single" w:sz="18" w:space="0" w:color="auto"/>
              <w:right w:val="single" w:sz="18"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OV / OVS</w:t>
            </w:r>
          </w:p>
        </w:tc>
        <w:tc>
          <w:tcPr>
            <w:tcW w:w="621" w:type="dxa"/>
            <w:vMerge w:val="restart"/>
            <w:tcBorders>
              <w:top w:val="single" w:sz="12" w:space="0" w:color="auto"/>
            </w:tcBorders>
            <w:textDirection w:val="btLr"/>
            <w:vAlign w:val="center"/>
          </w:tcPr>
          <w:p w:rsidR="00913A0A" w:rsidRPr="004B208C" w:rsidRDefault="00913A0A" w:rsidP="00472778">
            <w:pPr>
              <w:pStyle w:val="TableVerticalText"/>
              <w:spacing w:before="120"/>
              <w:rPr>
                <w:rFonts w:ascii="Tahoma" w:hAnsi="Tahoma" w:cs="Tahoma"/>
                <w:sz w:val="9"/>
              </w:rPr>
            </w:pPr>
            <w:r w:rsidRPr="004B208C">
              <w:rPr>
                <w:rFonts w:ascii="Tahoma" w:hAnsi="Tahoma" w:cs="Tahoma"/>
                <w:sz w:val="9"/>
              </w:rPr>
              <w:t>EES / OVS -ES</w:t>
            </w:r>
          </w:p>
        </w:tc>
        <w:tc>
          <w:tcPr>
            <w:tcW w:w="504" w:type="dxa"/>
            <w:vMerge w:val="restart"/>
            <w:tcBorders>
              <w:top w:val="single" w:sz="12"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Mínimo de Licenças Open</w:t>
            </w:r>
          </w:p>
        </w:tc>
        <w:tc>
          <w:tcPr>
            <w:tcW w:w="371" w:type="dxa"/>
            <w:vMerge w:val="restart"/>
            <w:tcBorders>
              <w:top w:val="single" w:sz="12" w:space="0" w:color="auto"/>
            </w:tcBorders>
            <w:textDirection w:val="btLr"/>
            <w:vAlign w:val="center"/>
          </w:tcPr>
          <w:p w:rsidR="00913A0A" w:rsidRPr="004B208C" w:rsidRDefault="00913A0A" w:rsidP="00472778">
            <w:pPr>
              <w:pStyle w:val="TableVerticalText"/>
              <w:rPr>
                <w:rFonts w:ascii="Tahoma" w:hAnsi="Tahoma" w:cs="Tahoma"/>
                <w:sz w:val="9"/>
              </w:rPr>
            </w:pPr>
            <w:r w:rsidRPr="004B208C">
              <w:rPr>
                <w:rFonts w:ascii="Tahoma" w:hAnsi="Tahoma" w:cs="Tahoma"/>
                <w:sz w:val="9"/>
              </w:rPr>
              <w:t>SCE</w:t>
            </w:r>
          </w:p>
        </w:tc>
      </w:tr>
      <w:tr w:rsidR="00600C32" w:rsidRPr="004B208C" w:rsidTr="00916AA6">
        <w:trPr>
          <w:cantSplit/>
          <w:trHeight w:val="262"/>
          <w:tblHeader/>
        </w:trPr>
        <w:tc>
          <w:tcPr>
            <w:tcW w:w="2551" w:type="dxa"/>
            <w:gridSpan w:val="2"/>
            <w:vMerge/>
            <w:tcBorders>
              <w:left w:val="single" w:sz="4" w:space="0" w:color="FFFFFF"/>
            </w:tcBorders>
          </w:tcPr>
          <w:p w:rsidR="00913A0A" w:rsidRPr="004B208C" w:rsidRDefault="00913A0A">
            <w:pPr>
              <w:rPr>
                <w:rFonts w:cs="Tahoma"/>
                <w:sz w:val="20"/>
              </w:rPr>
            </w:pPr>
          </w:p>
        </w:tc>
        <w:tc>
          <w:tcPr>
            <w:tcW w:w="449" w:type="dxa"/>
            <w:vMerge/>
          </w:tcPr>
          <w:p w:rsidR="00913A0A" w:rsidRPr="004B208C" w:rsidRDefault="00913A0A">
            <w:pPr>
              <w:rPr>
                <w:rFonts w:cs="Tahoma"/>
                <w:b/>
                <w:sz w:val="20"/>
              </w:rPr>
            </w:pPr>
          </w:p>
        </w:tc>
        <w:tc>
          <w:tcPr>
            <w:tcW w:w="449" w:type="dxa"/>
            <w:vMerge/>
          </w:tcPr>
          <w:p w:rsidR="00913A0A" w:rsidRPr="004B208C" w:rsidRDefault="00913A0A">
            <w:pPr>
              <w:rPr>
                <w:rFonts w:cs="Tahoma"/>
                <w:sz w:val="20"/>
              </w:rPr>
            </w:pPr>
          </w:p>
        </w:tc>
        <w:tc>
          <w:tcPr>
            <w:tcW w:w="360" w:type="dxa"/>
            <w:vMerge/>
            <w:tcBorders>
              <w:right w:val="single" w:sz="18" w:space="0" w:color="auto"/>
            </w:tcBorders>
          </w:tcPr>
          <w:p w:rsidR="00913A0A" w:rsidRPr="004B208C" w:rsidRDefault="00913A0A">
            <w:pPr>
              <w:rPr>
                <w:rFonts w:cs="Tahoma"/>
                <w:sz w:val="20"/>
              </w:rPr>
            </w:pPr>
          </w:p>
        </w:tc>
        <w:tc>
          <w:tcPr>
            <w:tcW w:w="326" w:type="dxa"/>
            <w:gridSpan w:val="2"/>
            <w:vMerge w:val="restart"/>
            <w:tcBorders>
              <w:left w:val="single" w:sz="18" w:space="0" w:color="auto"/>
            </w:tcBorders>
            <w:vAlign w:val="center"/>
          </w:tcPr>
          <w:p w:rsidR="00913A0A" w:rsidRPr="004B208C" w:rsidRDefault="00913A0A">
            <w:pPr>
              <w:pStyle w:val="TableHeadingsRed"/>
              <w:rPr>
                <w:rFonts w:ascii="Tahoma" w:hAnsi="Tahoma" w:cs="Tahoma"/>
                <w:sz w:val="9"/>
              </w:rPr>
            </w:pPr>
            <w:r w:rsidRPr="004B208C">
              <w:rPr>
                <w:rFonts w:ascii="Tahoma" w:hAnsi="Tahoma" w:cs="Tahoma"/>
                <w:sz w:val="9"/>
              </w:rPr>
              <w:t>L</w:t>
            </w:r>
          </w:p>
        </w:tc>
        <w:tc>
          <w:tcPr>
            <w:tcW w:w="1350" w:type="dxa"/>
            <w:gridSpan w:val="6"/>
            <w:vAlign w:val="center"/>
          </w:tcPr>
          <w:p w:rsidR="00913A0A" w:rsidRPr="004B208C" w:rsidRDefault="00913A0A">
            <w:pPr>
              <w:pStyle w:val="TableHeadingsGreen"/>
              <w:rPr>
                <w:rFonts w:ascii="Tahoma" w:hAnsi="Tahoma" w:cs="Tahoma"/>
                <w:sz w:val="9"/>
              </w:rPr>
            </w:pPr>
            <w:r w:rsidRPr="004B208C">
              <w:rPr>
                <w:rFonts w:ascii="Tahoma" w:hAnsi="Tahoma" w:cs="Tahoma"/>
                <w:sz w:val="9"/>
              </w:rPr>
              <w:t>L&amp;SA</w:t>
            </w:r>
          </w:p>
        </w:tc>
        <w:tc>
          <w:tcPr>
            <w:tcW w:w="1265" w:type="dxa"/>
            <w:gridSpan w:val="5"/>
            <w:tcBorders>
              <w:right w:val="single" w:sz="18"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SA</w:t>
            </w:r>
          </w:p>
        </w:tc>
        <w:tc>
          <w:tcPr>
            <w:tcW w:w="450" w:type="dxa"/>
            <w:vMerge w:val="restart"/>
            <w:tcBorders>
              <w:left w:val="single" w:sz="18" w:space="0" w:color="auto"/>
            </w:tcBorders>
            <w:vAlign w:val="center"/>
          </w:tcPr>
          <w:p w:rsidR="00913A0A" w:rsidRPr="004B208C" w:rsidRDefault="00913A0A">
            <w:pPr>
              <w:pStyle w:val="TableHeadingsRed"/>
              <w:rPr>
                <w:rFonts w:ascii="Tahoma" w:hAnsi="Tahoma" w:cs="Tahoma"/>
                <w:sz w:val="9"/>
              </w:rPr>
            </w:pPr>
            <w:r w:rsidRPr="004B208C">
              <w:rPr>
                <w:rFonts w:ascii="Tahoma" w:hAnsi="Tahoma" w:cs="Tahoma"/>
                <w:sz w:val="9"/>
              </w:rPr>
              <w:t>L</w:t>
            </w:r>
          </w:p>
        </w:tc>
        <w:tc>
          <w:tcPr>
            <w:tcW w:w="450" w:type="dxa"/>
            <w:vAlign w:val="center"/>
          </w:tcPr>
          <w:p w:rsidR="00913A0A" w:rsidRPr="004B208C" w:rsidRDefault="00913A0A">
            <w:pPr>
              <w:pStyle w:val="TableHeadingsGreen"/>
              <w:rPr>
                <w:rFonts w:ascii="Tahoma" w:hAnsi="Tahoma" w:cs="Tahoma"/>
                <w:sz w:val="9"/>
              </w:rPr>
            </w:pPr>
            <w:r w:rsidRPr="004B208C">
              <w:rPr>
                <w:rFonts w:ascii="Tahoma" w:hAnsi="Tahoma" w:cs="Tahoma"/>
                <w:sz w:val="9"/>
              </w:rPr>
              <w:t>L&amp;SA</w:t>
            </w:r>
          </w:p>
        </w:tc>
        <w:tc>
          <w:tcPr>
            <w:tcW w:w="450" w:type="dxa"/>
            <w:vMerge w:val="restart"/>
            <w:tcBorders>
              <w:right w:val="single" w:sz="18"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SA</w:t>
            </w:r>
          </w:p>
        </w:tc>
        <w:tc>
          <w:tcPr>
            <w:tcW w:w="450" w:type="dxa"/>
            <w:vMerge/>
            <w:tcBorders>
              <w:left w:val="single" w:sz="18" w:space="0" w:color="auto"/>
            </w:tcBorders>
          </w:tcPr>
          <w:p w:rsidR="00913A0A" w:rsidRPr="004B208C" w:rsidRDefault="00913A0A">
            <w:pPr>
              <w:rPr>
                <w:rFonts w:cs="Tahoma"/>
                <w:sz w:val="20"/>
              </w:rPr>
            </w:pPr>
          </w:p>
        </w:tc>
        <w:tc>
          <w:tcPr>
            <w:tcW w:w="450" w:type="dxa"/>
            <w:vMerge/>
            <w:tcBorders>
              <w:right w:val="single" w:sz="18" w:space="0" w:color="auto"/>
            </w:tcBorders>
          </w:tcPr>
          <w:p w:rsidR="00913A0A" w:rsidRPr="004B208C" w:rsidRDefault="00913A0A">
            <w:pPr>
              <w:rPr>
                <w:rFonts w:cs="Tahoma"/>
                <w:sz w:val="20"/>
              </w:rPr>
            </w:pPr>
          </w:p>
        </w:tc>
        <w:tc>
          <w:tcPr>
            <w:tcW w:w="394" w:type="dxa"/>
            <w:vMerge/>
            <w:tcBorders>
              <w:left w:val="single" w:sz="18" w:space="0" w:color="auto"/>
              <w:right w:val="single" w:sz="18" w:space="0" w:color="auto"/>
            </w:tcBorders>
          </w:tcPr>
          <w:p w:rsidR="00913A0A" w:rsidRPr="004B208C" w:rsidRDefault="00913A0A">
            <w:pPr>
              <w:rPr>
                <w:rFonts w:cs="Tahoma"/>
                <w:sz w:val="20"/>
              </w:rPr>
            </w:pPr>
          </w:p>
        </w:tc>
        <w:tc>
          <w:tcPr>
            <w:tcW w:w="621" w:type="dxa"/>
            <w:vMerge/>
          </w:tcPr>
          <w:p w:rsidR="00913A0A" w:rsidRPr="004B208C" w:rsidRDefault="00913A0A">
            <w:pPr>
              <w:rPr>
                <w:rFonts w:cs="Tahoma"/>
                <w:sz w:val="20"/>
              </w:rPr>
            </w:pPr>
          </w:p>
        </w:tc>
        <w:tc>
          <w:tcPr>
            <w:tcW w:w="504" w:type="dxa"/>
            <w:vMerge/>
          </w:tcPr>
          <w:p w:rsidR="00913A0A" w:rsidRPr="004B208C" w:rsidRDefault="00913A0A">
            <w:pPr>
              <w:rPr>
                <w:rFonts w:cs="Tahoma"/>
                <w:sz w:val="20"/>
              </w:rPr>
            </w:pPr>
          </w:p>
        </w:tc>
        <w:tc>
          <w:tcPr>
            <w:tcW w:w="371" w:type="dxa"/>
            <w:vMerge/>
          </w:tcPr>
          <w:p w:rsidR="00913A0A" w:rsidRPr="004B208C" w:rsidRDefault="00913A0A">
            <w:pPr>
              <w:rPr>
                <w:rFonts w:cs="Tahoma"/>
                <w:sz w:val="20"/>
              </w:rPr>
            </w:pPr>
          </w:p>
        </w:tc>
      </w:tr>
      <w:tr w:rsidR="00600C32" w:rsidRPr="004B208C" w:rsidTr="00515DFA">
        <w:trPr>
          <w:cantSplit/>
          <w:trHeight w:val="287"/>
          <w:tblHeader/>
        </w:trPr>
        <w:tc>
          <w:tcPr>
            <w:tcW w:w="2551" w:type="dxa"/>
            <w:gridSpan w:val="2"/>
            <w:vMerge/>
            <w:tcBorders>
              <w:left w:val="single" w:sz="4" w:space="0" w:color="FFFFFF"/>
              <w:bottom w:val="single" w:sz="4" w:space="0" w:color="auto"/>
            </w:tcBorders>
          </w:tcPr>
          <w:p w:rsidR="00913A0A" w:rsidRPr="004B208C" w:rsidRDefault="00913A0A">
            <w:pPr>
              <w:rPr>
                <w:rFonts w:cs="Tahoma"/>
                <w:sz w:val="20"/>
              </w:rPr>
            </w:pPr>
          </w:p>
        </w:tc>
        <w:tc>
          <w:tcPr>
            <w:tcW w:w="449" w:type="dxa"/>
            <w:vMerge/>
            <w:tcBorders>
              <w:bottom w:val="single" w:sz="4" w:space="0" w:color="auto"/>
            </w:tcBorders>
          </w:tcPr>
          <w:p w:rsidR="00913A0A" w:rsidRPr="004B208C" w:rsidRDefault="00913A0A">
            <w:pPr>
              <w:rPr>
                <w:rFonts w:cs="Tahoma"/>
                <w:b/>
                <w:sz w:val="20"/>
              </w:rPr>
            </w:pPr>
          </w:p>
        </w:tc>
        <w:tc>
          <w:tcPr>
            <w:tcW w:w="449" w:type="dxa"/>
            <w:vMerge/>
            <w:tcBorders>
              <w:bottom w:val="single" w:sz="4" w:space="0" w:color="auto"/>
            </w:tcBorders>
          </w:tcPr>
          <w:p w:rsidR="00913A0A" w:rsidRPr="004B208C" w:rsidRDefault="00913A0A">
            <w:pPr>
              <w:rPr>
                <w:rFonts w:cs="Tahoma"/>
                <w:sz w:val="20"/>
              </w:rPr>
            </w:pPr>
          </w:p>
        </w:tc>
        <w:tc>
          <w:tcPr>
            <w:tcW w:w="360" w:type="dxa"/>
            <w:vMerge/>
            <w:tcBorders>
              <w:bottom w:val="single" w:sz="4" w:space="0" w:color="auto"/>
              <w:right w:val="single" w:sz="18" w:space="0" w:color="auto"/>
            </w:tcBorders>
          </w:tcPr>
          <w:p w:rsidR="00913A0A" w:rsidRPr="004B208C" w:rsidRDefault="00913A0A">
            <w:pPr>
              <w:rPr>
                <w:rFonts w:cs="Tahoma"/>
                <w:sz w:val="20"/>
              </w:rPr>
            </w:pPr>
          </w:p>
        </w:tc>
        <w:tc>
          <w:tcPr>
            <w:tcW w:w="326" w:type="dxa"/>
            <w:gridSpan w:val="2"/>
            <w:vMerge/>
            <w:tcBorders>
              <w:left w:val="single" w:sz="18" w:space="0" w:color="auto"/>
              <w:bottom w:val="single" w:sz="4" w:space="0" w:color="auto"/>
            </w:tcBorders>
            <w:vAlign w:val="center"/>
          </w:tcPr>
          <w:p w:rsidR="00913A0A" w:rsidRPr="004B208C" w:rsidRDefault="00913A0A">
            <w:pPr>
              <w:jc w:val="center"/>
              <w:rPr>
                <w:rFonts w:cs="Tahoma"/>
                <w:sz w:val="20"/>
              </w:rPr>
            </w:pPr>
          </w:p>
        </w:tc>
        <w:tc>
          <w:tcPr>
            <w:tcW w:w="450" w:type="dxa"/>
            <w:gridSpan w:val="2"/>
            <w:tcBorders>
              <w:bottom w:val="single" w:sz="4" w:space="0" w:color="auto"/>
            </w:tcBorders>
            <w:vAlign w:val="center"/>
          </w:tcPr>
          <w:p w:rsidR="00913A0A" w:rsidRPr="004B208C" w:rsidRDefault="00913A0A">
            <w:pPr>
              <w:pStyle w:val="TableHeadingsGreen"/>
              <w:rPr>
                <w:rFonts w:ascii="Tahoma" w:hAnsi="Tahoma" w:cs="Tahoma"/>
                <w:sz w:val="9"/>
              </w:rPr>
            </w:pPr>
            <w:r w:rsidRPr="004B208C">
              <w:rPr>
                <w:rFonts w:ascii="Tahoma" w:hAnsi="Tahoma" w:cs="Tahoma"/>
                <w:sz w:val="9"/>
              </w:rPr>
              <w:t>3An</w:t>
            </w:r>
          </w:p>
        </w:tc>
        <w:tc>
          <w:tcPr>
            <w:tcW w:w="435" w:type="dxa"/>
            <w:tcBorders>
              <w:bottom w:val="single" w:sz="4" w:space="0" w:color="auto"/>
            </w:tcBorders>
            <w:vAlign w:val="center"/>
          </w:tcPr>
          <w:p w:rsidR="00913A0A" w:rsidRPr="004B208C" w:rsidRDefault="00913A0A">
            <w:pPr>
              <w:pStyle w:val="TableHeadingsGreen"/>
              <w:rPr>
                <w:rFonts w:ascii="Tahoma" w:hAnsi="Tahoma" w:cs="Tahoma"/>
                <w:sz w:val="9"/>
              </w:rPr>
            </w:pPr>
            <w:r w:rsidRPr="004B208C">
              <w:rPr>
                <w:rFonts w:ascii="Tahoma" w:hAnsi="Tahoma" w:cs="Tahoma"/>
                <w:sz w:val="9"/>
              </w:rPr>
              <w:t>2An</w:t>
            </w:r>
          </w:p>
        </w:tc>
        <w:tc>
          <w:tcPr>
            <w:tcW w:w="465" w:type="dxa"/>
            <w:gridSpan w:val="3"/>
            <w:tcBorders>
              <w:bottom w:val="single" w:sz="4" w:space="0" w:color="auto"/>
            </w:tcBorders>
            <w:vAlign w:val="center"/>
          </w:tcPr>
          <w:p w:rsidR="00913A0A" w:rsidRPr="004B208C" w:rsidRDefault="00913A0A">
            <w:pPr>
              <w:pStyle w:val="TableHeadingsGreen"/>
              <w:rPr>
                <w:rFonts w:ascii="Tahoma" w:hAnsi="Tahoma" w:cs="Tahoma"/>
                <w:sz w:val="9"/>
              </w:rPr>
            </w:pPr>
            <w:r w:rsidRPr="004B208C">
              <w:rPr>
                <w:rFonts w:ascii="Tahoma" w:hAnsi="Tahoma" w:cs="Tahoma"/>
                <w:sz w:val="9"/>
              </w:rPr>
              <w:t>1An</w:t>
            </w:r>
          </w:p>
        </w:tc>
        <w:tc>
          <w:tcPr>
            <w:tcW w:w="450" w:type="dxa"/>
            <w:gridSpan w:val="2"/>
            <w:tcBorders>
              <w:bottom w:val="single" w:sz="4"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3An</w:t>
            </w:r>
          </w:p>
        </w:tc>
        <w:tc>
          <w:tcPr>
            <w:tcW w:w="450" w:type="dxa"/>
            <w:gridSpan w:val="2"/>
            <w:tcBorders>
              <w:bottom w:val="single" w:sz="4"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2An</w:t>
            </w:r>
          </w:p>
        </w:tc>
        <w:tc>
          <w:tcPr>
            <w:tcW w:w="365" w:type="dxa"/>
            <w:tcBorders>
              <w:bottom w:val="single" w:sz="4" w:space="0" w:color="auto"/>
              <w:right w:val="single" w:sz="18" w:space="0" w:color="auto"/>
            </w:tcBorders>
            <w:vAlign w:val="center"/>
          </w:tcPr>
          <w:p w:rsidR="00913A0A" w:rsidRPr="004B208C" w:rsidRDefault="00913A0A">
            <w:pPr>
              <w:pStyle w:val="TableHeadingsBlue"/>
              <w:rPr>
                <w:rFonts w:ascii="Tahoma" w:hAnsi="Tahoma" w:cs="Tahoma"/>
                <w:sz w:val="9"/>
              </w:rPr>
            </w:pPr>
            <w:r w:rsidRPr="004B208C">
              <w:rPr>
                <w:rFonts w:ascii="Tahoma" w:hAnsi="Tahoma" w:cs="Tahoma"/>
                <w:sz w:val="9"/>
              </w:rPr>
              <w:t>1An</w:t>
            </w:r>
          </w:p>
        </w:tc>
        <w:tc>
          <w:tcPr>
            <w:tcW w:w="450" w:type="dxa"/>
            <w:vMerge/>
            <w:tcBorders>
              <w:left w:val="single" w:sz="18" w:space="0" w:color="auto"/>
              <w:bottom w:val="single" w:sz="4" w:space="0" w:color="auto"/>
            </w:tcBorders>
            <w:vAlign w:val="center"/>
          </w:tcPr>
          <w:p w:rsidR="00913A0A" w:rsidRPr="004B208C" w:rsidRDefault="00913A0A">
            <w:pPr>
              <w:jc w:val="center"/>
              <w:rPr>
                <w:rFonts w:cs="Tahoma"/>
                <w:sz w:val="20"/>
              </w:rPr>
            </w:pPr>
          </w:p>
        </w:tc>
        <w:tc>
          <w:tcPr>
            <w:tcW w:w="450" w:type="dxa"/>
            <w:tcBorders>
              <w:bottom w:val="single" w:sz="4" w:space="0" w:color="auto"/>
            </w:tcBorders>
            <w:vAlign w:val="center"/>
          </w:tcPr>
          <w:p w:rsidR="00913A0A" w:rsidRPr="004B208C" w:rsidRDefault="00913A0A">
            <w:pPr>
              <w:pStyle w:val="TableHeadingsGreen"/>
              <w:rPr>
                <w:rFonts w:ascii="Tahoma" w:hAnsi="Tahoma" w:cs="Tahoma"/>
                <w:sz w:val="9"/>
              </w:rPr>
            </w:pPr>
            <w:r w:rsidRPr="004B208C">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4B208C" w:rsidRDefault="00913A0A">
            <w:pPr>
              <w:jc w:val="center"/>
              <w:rPr>
                <w:rFonts w:cs="Tahoma"/>
                <w:sz w:val="20"/>
              </w:rPr>
            </w:pPr>
          </w:p>
        </w:tc>
        <w:tc>
          <w:tcPr>
            <w:tcW w:w="450" w:type="dxa"/>
            <w:vMerge/>
            <w:tcBorders>
              <w:left w:val="single" w:sz="18" w:space="0" w:color="auto"/>
              <w:bottom w:val="single" w:sz="4" w:space="0" w:color="auto"/>
            </w:tcBorders>
          </w:tcPr>
          <w:p w:rsidR="00913A0A" w:rsidRPr="004B208C" w:rsidRDefault="00913A0A">
            <w:pPr>
              <w:rPr>
                <w:rFonts w:cs="Tahoma"/>
                <w:sz w:val="20"/>
              </w:rPr>
            </w:pPr>
          </w:p>
        </w:tc>
        <w:tc>
          <w:tcPr>
            <w:tcW w:w="450" w:type="dxa"/>
            <w:vMerge/>
            <w:tcBorders>
              <w:bottom w:val="single" w:sz="4" w:space="0" w:color="auto"/>
              <w:right w:val="single" w:sz="18" w:space="0" w:color="auto"/>
            </w:tcBorders>
          </w:tcPr>
          <w:p w:rsidR="00913A0A" w:rsidRPr="004B208C" w:rsidRDefault="00913A0A">
            <w:pPr>
              <w:rPr>
                <w:rFonts w:cs="Tahoma"/>
                <w:sz w:val="20"/>
              </w:rPr>
            </w:pPr>
          </w:p>
        </w:tc>
        <w:tc>
          <w:tcPr>
            <w:tcW w:w="394" w:type="dxa"/>
            <w:vMerge/>
            <w:tcBorders>
              <w:left w:val="single" w:sz="18" w:space="0" w:color="auto"/>
              <w:bottom w:val="single" w:sz="4" w:space="0" w:color="auto"/>
              <w:right w:val="single" w:sz="18" w:space="0" w:color="auto"/>
            </w:tcBorders>
          </w:tcPr>
          <w:p w:rsidR="00913A0A" w:rsidRPr="004B208C" w:rsidRDefault="00913A0A">
            <w:pPr>
              <w:rPr>
                <w:rFonts w:cs="Tahoma"/>
                <w:sz w:val="20"/>
              </w:rPr>
            </w:pPr>
          </w:p>
        </w:tc>
        <w:tc>
          <w:tcPr>
            <w:tcW w:w="621" w:type="dxa"/>
            <w:vMerge/>
            <w:tcBorders>
              <w:bottom w:val="single" w:sz="4" w:space="0" w:color="auto"/>
            </w:tcBorders>
          </w:tcPr>
          <w:p w:rsidR="00913A0A" w:rsidRPr="004B208C" w:rsidRDefault="00913A0A">
            <w:pPr>
              <w:rPr>
                <w:rFonts w:cs="Tahoma"/>
                <w:sz w:val="20"/>
              </w:rPr>
            </w:pPr>
          </w:p>
        </w:tc>
        <w:tc>
          <w:tcPr>
            <w:tcW w:w="504" w:type="dxa"/>
            <w:vMerge/>
            <w:tcBorders>
              <w:bottom w:val="single" w:sz="4" w:space="0" w:color="auto"/>
            </w:tcBorders>
          </w:tcPr>
          <w:p w:rsidR="00913A0A" w:rsidRPr="004B208C" w:rsidRDefault="00913A0A">
            <w:pPr>
              <w:rPr>
                <w:rFonts w:cs="Tahoma"/>
                <w:sz w:val="20"/>
              </w:rPr>
            </w:pPr>
          </w:p>
        </w:tc>
        <w:tc>
          <w:tcPr>
            <w:tcW w:w="371" w:type="dxa"/>
            <w:vMerge/>
            <w:tcBorders>
              <w:bottom w:val="single" w:sz="4" w:space="0" w:color="auto"/>
            </w:tcBorders>
          </w:tcPr>
          <w:p w:rsidR="00913A0A" w:rsidRPr="004B208C" w:rsidRDefault="00913A0A">
            <w:pPr>
              <w:rPr>
                <w:rFonts w:cs="Tahoma"/>
                <w:sz w:val="20"/>
              </w:rPr>
            </w:pPr>
          </w:p>
        </w:tc>
      </w:tr>
      <w:tr w:rsidR="00600C32" w:rsidRPr="004B208C" w:rsidTr="00916AA6">
        <w:trPr>
          <w:trHeight w:val="145"/>
        </w:trPr>
        <w:tc>
          <w:tcPr>
            <w:tcW w:w="2551" w:type="dxa"/>
            <w:gridSpan w:val="2"/>
            <w:tcBorders>
              <w:bottom w:val="single" w:sz="4" w:space="0" w:color="auto"/>
            </w:tcBorders>
            <w:shd w:val="clear" w:color="auto" w:fill="auto"/>
            <w:vAlign w:val="center"/>
          </w:tcPr>
          <w:p w:rsidR="00913A0A" w:rsidRPr="004B208C" w:rsidRDefault="00913A0A" w:rsidP="00600C32">
            <w:pPr>
              <w:pStyle w:val="ProductNames"/>
              <w:spacing w:before="0" w:after="0"/>
              <w:rPr>
                <w:rFonts w:ascii="Tahoma" w:hAnsi="Tahoma" w:cs="Tahoma"/>
                <w:sz w:val="14"/>
              </w:rPr>
            </w:pPr>
            <w:bookmarkStart w:id="137" w:name="_Toc370981042"/>
            <w:r w:rsidRPr="004B208C">
              <w:rPr>
                <w:rFonts w:ascii="Tahoma" w:hAnsi="Tahoma" w:cs="Tahoma"/>
                <w:sz w:val="14"/>
              </w:rPr>
              <w:t>Bing Maps Consumer Controlado por</w:t>
            </w:r>
            <w:r w:rsidR="00600C32">
              <w:rPr>
                <w:rFonts w:ascii="Tahoma" w:hAnsi="Tahoma" w:cs="Tahoma"/>
                <w:sz w:val="14"/>
              </w:rPr>
              <w:t> </w:t>
            </w:r>
            <w:r w:rsidRPr="004B208C">
              <w:rPr>
                <w:rFonts w:ascii="Tahoma" w:hAnsi="Tahoma" w:cs="Tahoma"/>
                <w:sz w:val="14"/>
              </w:rPr>
              <w:t>Assinatura Mensal de Ativos</w:t>
            </w:r>
            <w:bookmarkEnd w:id="137"/>
          </w:p>
        </w:tc>
        <w:tc>
          <w:tcPr>
            <w:tcW w:w="449" w:type="dxa"/>
            <w:tcBorders>
              <w:bottom w:val="single" w:sz="4" w:space="0" w:color="auto"/>
            </w:tcBorders>
            <w:shd w:val="clear" w:color="auto" w:fill="auto"/>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rsidR="00913A0A" w:rsidRPr="004B208C" w:rsidRDefault="00913A0A" w:rsidP="002253A3">
            <w:pPr>
              <w:jc w:val="center"/>
              <w:rPr>
                <w:rFonts w:cs="Tahoma"/>
                <w:sz w:val="13"/>
              </w:rPr>
            </w:pPr>
            <w:r w:rsidRPr="004B208C">
              <w:rPr>
                <w:rFonts w:cs="Tahoma"/>
                <w:sz w:val="13"/>
              </w:rPr>
              <w:t>04/13</w:t>
            </w:r>
          </w:p>
        </w:tc>
        <w:tc>
          <w:tcPr>
            <w:tcW w:w="36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r w:rsidRPr="004B208C">
              <w:rPr>
                <w:rFonts w:cs="Tahoma"/>
                <w:sz w:val="13"/>
              </w:rPr>
              <w:t>1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3"/>
              </w:rPr>
            </w:pPr>
            <w:r w:rsidRPr="004B208C">
              <w:rPr>
                <w:rFonts w:cs="Tahoma"/>
                <w:sz w:val="13"/>
              </w:rPr>
              <w:t>1</w:t>
            </w:r>
          </w:p>
        </w:tc>
        <w:tc>
          <w:tcPr>
            <w:tcW w:w="450"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r w:rsidRPr="004B208C">
              <w:rPr>
                <w:rFonts w:cs="Tahoma"/>
                <w:sz w:val="13"/>
              </w:rPr>
              <w:t>P</w:t>
            </w:r>
          </w:p>
        </w:tc>
        <w:tc>
          <w:tcPr>
            <w:tcW w:w="621"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auto"/>
            <w:vAlign w:val="center"/>
          </w:tcPr>
          <w:p w:rsidR="00913A0A" w:rsidRPr="004B208C" w:rsidRDefault="00913A0A" w:rsidP="002253A3">
            <w:pPr>
              <w:jc w:val="center"/>
              <w:rPr>
                <w:rFonts w:cs="Tahoma"/>
                <w:sz w:val="13"/>
              </w:rPr>
            </w:pPr>
            <w:r w:rsidRPr="004B208C">
              <w:rPr>
                <w:rFonts w:cs="Tahoma"/>
                <w:sz w:val="13"/>
              </w:rPr>
              <w:t>LO/OV</w:t>
            </w:r>
          </w:p>
        </w:tc>
        <w:tc>
          <w:tcPr>
            <w:tcW w:w="371" w:type="dxa"/>
            <w:tcBorders>
              <w:bottom w:val="single" w:sz="4" w:space="0" w:color="auto"/>
            </w:tcBorders>
          </w:tcPr>
          <w:p w:rsidR="00913A0A" w:rsidRPr="004B208C" w:rsidRDefault="00913A0A" w:rsidP="002253A3">
            <w:pPr>
              <w:jc w:val="center"/>
              <w:rPr>
                <w:rFonts w:cs="Tahoma"/>
                <w:sz w:val="13"/>
              </w:rPr>
            </w:pPr>
            <w:r w:rsidRPr="004B208C">
              <w:rPr>
                <w:rFonts w:cs="Tahoma"/>
                <w:sz w:val="13"/>
              </w:rPr>
              <w:t>A</w:t>
            </w:r>
          </w:p>
        </w:tc>
      </w:tr>
      <w:tr w:rsidR="00600C32" w:rsidRPr="004B208C" w:rsidTr="00916AA6">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1" w:type="dxa"/>
            <w:gridSpan w:val="2"/>
            <w:tcBorders>
              <w:bottom w:val="single" w:sz="3" w:space="0" w:color="auto"/>
            </w:tcBorders>
            <w:shd w:val="clear" w:color="auto" w:fill="FABF8F"/>
          </w:tcPr>
          <w:p w:rsidR="00913A0A" w:rsidRPr="004B208C" w:rsidRDefault="00913A0A" w:rsidP="00600C32">
            <w:pPr>
              <w:pStyle w:val="ProductNames"/>
              <w:spacing w:before="0" w:after="0"/>
              <w:rPr>
                <w:rFonts w:ascii="Tahoma" w:hAnsi="Tahoma" w:cs="Tahoma"/>
                <w:sz w:val="14"/>
              </w:rPr>
            </w:pPr>
            <w:bookmarkStart w:id="138" w:name="_Toc370981043"/>
            <w:r w:rsidRPr="004B208C">
              <w:rPr>
                <w:rFonts w:ascii="Tahoma" w:hAnsi="Tahoma" w:cs="Tahoma"/>
                <w:sz w:val="14"/>
              </w:rPr>
              <w:t>Valor da Assinatura Mensal do</w:t>
            </w:r>
            <w:r w:rsidR="00600C32">
              <w:rPr>
                <w:rFonts w:ascii="Tahoma" w:hAnsi="Tahoma" w:cs="Tahoma"/>
                <w:sz w:val="14"/>
              </w:rPr>
              <w:t> </w:t>
            </w:r>
            <w:r w:rsidRPr="004B208C">
              <w:rPr>
                <w:rFonts w:ascii="Tahoma" w:hAnsi="Tahoma" w:cs="Tahoma"/>
                <w:sz w:val="14"/>
              </w:rPr>
              <w:t>Bing</w:t>
            </w:r>
            <w:r w:rsidR="00600C32">
              <w:rPr>
                <w:rFonts w:ascii="Tahoma" w:hAnsi="Tahoma" w:cs="Tahoma"/>
                <w:sz w:val="14"/>
              </w:rPr>
              <w:t> </w:t>
            </w:r>
            <w:r w:rsidRPr="004B208C">
              <w:rPr>
                <w:rFonts w:ascii="Tahoma" w:hAnsi="Tahoma" w:cs="Tahoma"/>
                <w:sz w:val="14"/>
              </w:rPr>
              <w:t>Maps Enterprise</w:t>
            </w:r>
            <w:bookmarkEnd w:id="138"/>
          </w:p>
        </w:tc>
        <w:tc>
          <w:tcPr>
            <w:tcW w:w="449" w:type="dxa"/>
            <w:tcBorders>
              <w:bottom w:val="single" w:sz="3" w:space="0" w:color="auto"/>
            </w:tcBorders>
            <w:shd w:val="clear" w:color="auto" w:fill="FABF8F"/>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3"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3" w:space="0" w:color="auto"/>
              <w:right w:val="single" w:sz="15" w:space="0" w:color="auto"/>
            </w:tcBorders>
            <w:shd w:val="clear" w:color="auto" w:fill="FABF8F"/>
            <w:vAlign w:val="center"/>
          </w:tcPr>
          <w:p w:rsidR="00913A0A" w:rsidRPr="004B208C" w:rsidRDefault="00913A0A" w:rsidP="002253A3">
            <w:pPr>
              <w:jc w:val="center"/>
              <w:rPr>
                <w:rFonts w:cs="Tahoma"/>
                <w:sz w:val="14"/>
              </w:rPr>
            </w:pPr>
          </w:p>
        </w:tc>
        <w:tc>
          <w:tcPr>
            <w:tcW w:w="2941" w:type="dxa"/>
            <w:gridSpan w:val="13"/>
            <w:tcBorders>
              <w:left w:val="single" w:sz="15" w:space="0" w:color="auto"/>
              <w:bottom w:val="single" w:sz="3" w:space="0" w:color="auto"/>
              <w:right w:val="single" w:sz="15"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25 ponto</w:t>
            </w:r>
          </w:p>
        </w:tc>
        <w:tc>
          <w:tcPr>
            <w:tcW w:w="450" w:type="dxa"/>
            <w:tcBorders>
              <w:left w:val="single" w:sz="15" w:space="0" w:color="auto"/>
              <w:bottom w:val="single" w:sz="3"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25</w:t>
            </w:r>
          </w:p>
        </w:tc>
        <w:tc>
          <w:tcPr>
            <w:tcW w:w="450" w:type="dxa"/>
            <w:tcBorders>
              <w:bottom w:val="single" w:sz="3" w:space="0" w:color="auto"/>
            </w:tcBorders>
            <w:shd w:val="clear" w:color="auto" w:fill="FABF8F"/>
            <w:vAlign w:val="center"/>
          </w:tcPr>
          <w:p w:rsidR="00913A0A" w:rsidRPr="004B208C" w:rsidRDefault="00913A0A" w:rsidP="002253A3">
            <w:pPr>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4B208C" w:rsidRDefault="00913A0A" w:rsidP="002253A3">
            <w:pPr>
              <w:jc w:val="center"/>
              <w:rPr>
                <w:rFonts w:cs="Tahoma"/>
                <w:sz w:val="14"/>
              </w:rPr>
            </w:pPr>
          </w:p>
        </w:tc>
        <w:tc>
          <w:tcPr>
            <w:tcW w:w="450" w:type="dxa"/>
            <w:tcBorders>
              <w:left w:val="single" w:sz="15" w:space="0" w:color="auto"/>
              <w:bottom w:val="single" w:sz="3" w:space="0" w:color="auto"/>
            </w:tcBorders>
            <w:shd w:val="clear" w:color="auto" w:fill="FABF8F"/>
            <w:vAlign w:val="center"/>
          </w:tcPr>
          <w:p w:rsidR="00913A0A" w:rsidRPr="004B208C" w:rsidRDefault="00913A0A" w:rsidP="002253A3">
            <w:pPr>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5" w:space="0" w:color="auto"/>
              <w:bottom w:val="single" w:sz="3" w:space="0" w:color="auto"/>
              <w:right w:val="single" w:sz="15"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3" w:space="0" w:color="auto"/>
            </w:tcBorders>
            <w:shd w:val="clear" w:color="auto" w:fill="FABF8F"/>
            <w:vAlign w:val="center"/>
          </w:tcPr>
          <w:p w:rsidR="00913A0A" w:rsidRPr="004B208C" w:rsidRDefault="00913A0A" w:rsidP="002253A3">
            <w:pPr>
              <w:jc w:val="center"/>
              <w:rPr>
                <w:rFonts w:cs="Tahoma"/>
                <w:sz w:val="14"/>
              </w:rPr>
            </w:pPr>
          </w:p>
        </w:tc>
        <w:tc>
          <w:tcPr>
            <w:tcW w:w="504" w:type="dxa"/>
            <w:tcBorders>
              <w:bottom w:val="single" w:sz="3"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3" w:space="0" w:color="auto"/>
            </w:tcBorders>
            <w:shd w:val="clear" w:color="auto" w:fill="FABF8F"/>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auto"/>
          </w:tcPr>
          <w:p w:rsidR="00913A0A" w:rsidRPr="004B208C" w:rsidRDefault="00913A0A" w:rsidP="00600C32">
            <w:pPr>
              <w:pStyle w:val="ProductNames"/>
              <w:spacing w:before="0" w:after="0"/>
              <w:rPr>
                <w:rFonts w:ascii="Tahoma" w:hAnsi="Tahoma" w:cs="Tahoma"/>
                <w:sz w:val="14"/>
              </w:rPr>
            </w:pPr>
            <w:bookmarkStart w:id="139" w:name="_Toc370981044"/>
            <w:r w:rsidRPr="004B208C">
              <w:rPr>
                <w:rFonts w:ascii="Tahoma" w:hAnsi="Tahoma" w:cs="Tahoma"/>
                <w:sz w:val="14"/>
              </w:rPr>
              <w:t>Assinatura Mensal de 100 Mil Transações de Uso de Site Público do</w:t>
            </w:r>
            <w:r w:rsidR="00600C32">
              <w:rPr>
                <w:rFonts w:ascii="Tahoma" w:hAnsi="Tahoma" w:cs="Tahoma"/>
                <w:sz w:val="14"/>
              </w:rPr>
              <w:t> </w:t>
            </w:r>
            <w:r w:rsidRPr="004B208C">
              <w:rPr>
                <w:rFonts w:ascii="Tahoma" w:hAnsi="Tahoma" w:cs="Tahoma"/>
                <w:sz w:val="14"/>
              </w:rPr>
              <w:t>Bing Maps</w:t>
            </w:r>
            <w:bookmarkEnd w:id="139"/>
          </w:p>
        </w:tc>
        <w:tc>
          <w:tcPr>
            <w:tcW w:w="449" w:type="dxa"/>
            <w:tcBorders>
              <w:bottom w:val="single" w:sz="4" w:space="0" w:color="auto"/>
            </w:tcBorders>
            <w:shd w:val="clear" w:color="auto" w:fill="auto"/>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50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50</w:t>
            </w:r>
          </w:p>
        </w:tc>
        <w:tc>
          <w:tcPr>
            <w:tcW w:w="450" w:type="dxa"/>
            <w:tcBorders>
              <w:bottom w:val="single" w:sz="4" w:space="0" w:color="auto"/>
            </w:tcBorders>
            <w:shd w:val="clear" w:color="auto" w:fill="auto"/>
            <w:vAlign w:val="center"/>
          </w:tcPr>
          <w:p w:rsidR="00913A0A" w:rsidRPr="004B20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auto"/>
            <w:vAlign w:val="center"/>
          </w:tcPr>
          <w:p w:rsidR="00913A0A" w:rsidRPr="004B208C" w:rsidRDefault="00913A0A" w:rsidP="002253A3">
            <w:pPr>
              <w:jc w:val="center"/>
              <w:rPr>
                <w:rFonts w:cs="Tahoma"/>
                <w:sz w:val="14"/>
              </w:rPr>
            </w:pPr>
          </w:p>
        </w:tc>
        <w:tc>
          <w:tcPr>
            <w:tcW w:w="504"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spacing w:before="0" w:after="0"/>
              <w:rPr>
                <w:rFonts w:ascii="Tahoma" w:hAnsi="Tahoma" w:cs="Tahoma"/>
                <w:sz w:val="14"/>
              </w:rPr>
            </w:pPr>
            <w:bookmarkStart w:id="140" w:name="_Toc370981045"/>
            <w:r w:rsidRPr="004B208C">
              <w:rPr>
                <w:rFonts w:ascii="Tahoma" w:hAnsi="Tahoma" w:cs="Tahoma"/>
                <w:sz w:val="14"/>
              </w:rPr>
              <w:t>Assinatura Mensal de 420 Mil (e valores superiores) Transações de Uso de Site Público do Bing Maps</w:t>
            </w:r>
            <w:bookmarkEnd w:id="140"/>
          </w:p>
        </w:tc>
        <w:tc>
          <w:tcPr>
            <w:tcW w:w="449" w:type="dxa"/>
            <w:tcBorders>
              <w:bottom w:val="single" w:sz="4" w:space="0" w:color="auto"/>
            </w:tcBorders>
            <w:shd w:val="clear" w:color="auto" w:fill="FABF8F"/>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200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200</w:t>
            </w:r>
          </w:p>
        </w:tc>
        <w:tc>
          <w:tcPr>
            <w:tcW w:w="450" w:type="dxa"/>
            <w:tcBorders>
              <w:bottom w:val="single" w:sz="4" w:space="0" w:color="auto"/>
            </w:tcBorders>
            <w:shd w:val="clear" w:color="auto" w:fill="FABF8F"/>
            <w:vAlign w:val="center"/>
          </w:tcPr>
          <w:p w:rsidR="00913A0A" w:rsidRPr="004B20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FABF8F"/>
            <w:vAlign w:val="center"/>
          </w:tcPr>
          <w:p w:rsidR="00913A0A" w:rsidRPr="004B208C" w:rsidRDefault="00913A0A" w:rsidP="002253A3">
            <w:pPr>
              <w:jc w:val="center"/>
              <w:rPr>
                <w:rFonts w:cs="Tahoma"/>
                <w:sz w:val="14"/>
              </w:rPr>
            </w:pPr>
          </w:p>
        </w:tc>
        <w:tc>
          <w:tcPr>
            <w:tcW w:w="504"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shd w:val="clear" w:color="auto" w:fill="FABF8F"/>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auto"/>
          </w:tcPr>
          <w:p w:rsidR="00913A0A" w:rsidRPr="004B208C" w:rsidRDefault="00913A0A" w:rsidP="00600C32">
            <w:pPr>
              <w:pStyle w:val="ProductNames"/>
              <w:spacing w:before="0" w:after="0"/>
              <w:rPr>
                <w:rFonts w:ascii="Tahoma" w:hAnsi="Tahoma" w:cs="Tahoma"/>
                <w:sz w:val="14"/>
              </w:rPr>
            </w:pPr>
            <w:bookmarkStart w:id="141" w:name="_Toc370981046"/>
            <w:r w:rsidRPr="004B208C">
              <w:rPr>
                <w:rFonts w:ascii="Tahoma" w:hAnsi="Tahoma" w:cs="Tahoma"/>
                <w:sz w:val="14"/>
              </w:rPr>
              <w:t>Assinatura Mensal de 100 Mil Transações de Uso de Site Interno do</w:t>
            </w:r>
            <w:r w:rsidR="00600C32">
              <w:rPr>
                <w:rFonts w:ascii="Tahoma" w:hAnsi="Tahoma" w:cs="Tahoma"/>
                <w:sz w:val="14"/>
              </w:rPr>
              <w:t> </w:t>
            </w:r>
            <w:r w:rsidRPr="004B208C">
              <w:rPr>
                <w:rFonts w:ascii="Tahoma" w:hAnsi="Tahoma" w:cs="Tahoma"/>
                <w:sz w:val="14"/>
              </w:rPr>
              <w:t>Bing Maps</w:t>
            </w:r>
            <w:bookmarkEnd w:id="141"/>
          </w:p>
        </w:tc>
        <w:tc>
          <w:tcPr>
            <w:tcW w:w="449" w:type="dxa"/>
            <w:tcBorders>
              <w:bottom w:val="single" w:sz="4" w:space="0" w:color="auto"/>
            </w:tcBorders>
            <w:shd w:val="clear" w:color="auto" w:fill="auto"/>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125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125</w:t>
            </w:r>
          </w:p>
        </w:tc>
        <w:tc>
          <w:tcPr>
            <w:tcW w:w="450" w:type="dxa"/>
            <w:tcBorders>
              <w:bottom w:val="single" w:sz="4" w:space="0" w:color="auto"/>
            </w:tcBorders>
            <w:shd w:val="clear" w:color="auto" w:fill="auto"/>
            <w:vAlign w:val="center"/>
          </w:tcPr>
          <w:p w:rsidR="00913A0A" w:rsidRPr="004B20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auto"/>
            <w:vAlign w:val="center"/>
          </w:tcPr>
          <w:p w:rsidR="00913A0A" w:rsidRPr="004B208C" w:rsidRDefault="00913A0A" w:rsidP="002253A3">
            <w:pPr>
              <w:jc w:val="center"/>
              <w:rPr>
                <w:rFonts w:cs="Tahoma"/>
                <w:sz w:val="14"/>
              </w:rPr>
            </w:pPr>
          </w:p>
        </w:tc>
        <w:tc>
          <w:tcPr>
            <w:tcW w:w="504"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spacing w:before="0" w:after="0"/>
              <w:rPr>
                <w:rFonts w:ascii="Tahoma" w:hAnsi="Tahoma" w:cs="Tahoma"/>
                <w:sz w:val="14"/>
              </w:rPr>
            </w:pPr>
            <w:bookmarkStart w:id="142" w:name="_Toc370981047"/>
            <w:r w:rsidRPr="004B208C">
              <w:rPr>
                <w:rFonts w:ascii="Tahoma" w:hAnsi="Tahoma" w:cs="Tahoma"/>
                <w:sz w:val="14"/>
              </w:rPr>
              <w:t>Assinatura Mensal de 250 Mil (e valores superiores) Transações de Uso de Site Interno do Bing Maps</w:t>
            </w:r>
            <w:bookmarkEnd w:id="142"/>
          </w:p>
        </w:tc>
        <w:tc>
          <w:tcPr>
            <w:tcW w:w="449" w:type="dxa"/>
            <w:tcBorders>
              <w:bottom w:val="single" w:sz="4" w:space="0" w:color="auto"/>
            </w:tcBorders>
            <w:shd w:val="clear" w:color="auto" w:fill="FABF8F"/>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200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200</w:t>
            </w:r>
          </w:p>
        </w:tc>
        <w:tc>
          <w:tcPr>
            <w:tcW w:w="450" w:type="dxa"/>
            <w:tcBorders>
              <w:bottom w:val="single" w:sz="4" w:space="0" w:color="auto"/>
            </w:tcBorders>
            <w:shd w:val="clear" w:color="auto" w:fill="FABF8F"/>
            <w:vAlign w:val="center"/>
          </w:tcPr>
          <w:p w:rsidR="00913A0A" w:rsidRPr="004B20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FABF8F"/>
            <w:vAlign w:val="center"/>
          </w:tcPr>
          <w:p w:rsidR="00913A0A" w:rsidRPr="004B208C" w:rsidRDefault="00913A0A" w:rsidP="002253A3">
            <w:pPr>
              <w:jc w:val="center"/>
              <w:rPr>
                <w:rFonts w:cs="Tahoma"/>
                <w:sz w:val="14"/>
              </w:rPr>
            </w:pPr>
          </w:p>
        </w:tc>
        <w:tc>
          <w:tcPr>
            <w:tcW w:w="504"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shd w:val="clear" w:color="auto" w:fill="FABF8F"/>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auto"/>
          </w:tcPr>
          <w:p w:rsidR="00913A0A" w:rsidRPr="004B208C" w:rsidRDefault="00913A0A" w:rsidP="00600C32">
            <w:pPr>
              <w:pStyle w:val="ProductNames"/>
              <w:spacing w:beforeLines="20" w:before="48" w:afterLines="20" w:after="48"/>
              <w:rPr>
                <w:rFonts w:ascii="Tahoma" w:hAnsi="Tahoma" w:cs="Tahoma"/>
                <w:sz w:val="14"/>
              </w:rPr>
            </w:pPr>
            <w:bookmarkStart w:id="143" w:name="_Toc370981048"/>
            <w:r w:rsidRPr="004B208C">
              <w:rPr>
                <w:rFonts w:ascii="Tahoma" w:hAnsi="Tahoma" w:cs="Tahoma"/>
                <w:sz w:val="14"/>
              </w:rPr>
              <w:t>Bing Maps por Assinatura Mensal de</w:t>
            </w:r>
            <w:r w:rsidR="00600C32">
              <w:rPr>
                <w:rFonts w:ascii="Tahoma" w:hAnsi="Tahoma" w:cs="Tahoma"/>
                <w:sz w:val="14"/>
              </w:rPr>
              <w:t> </w:t>
            </w:r>
            <w:r w:rsidRPr="004B208C">
              <w:rPr>
                <w:rFonts w:ascii="Tahoma" w:hAnsi="Tahoma" w:cs="Tahoma"/>
                <w:sz w:val="14"/>
              </w:rPr>
              <w:t>Usuários Conhecidos</w:t>
            </w:r>
            <w:bookmarkEnd w:id="143"/>
          </w:p>
        </w:tc>
        <w:tc>
          <w:tcPr>
            <w:tcW w:w="449" w:type="dxa"/>
            <w:tcBorders>
              <w:bottom w:val="single" w:sz="4" w:space="0" w:color="auto"/>
            </w:tcBorders>
            <w:shd w:val="clear" w:color="auto" w:fill="auto"/>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w:t>
            </w:r>
          </w:p>
        </w:tc>
        <w:tc>
          <w:tcPr>
            <w:tcW w:w="450"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2378E5">
            <w:pPr>
              <w:pStyle w:val="ProductNames"/>
              <w:spacing w:beforeLines="20" w:before="48" w:afterLines="20" w:after="48"/>
              <w:rPr>
                <w:rFonts w:ascii="Tahoma" w:hAnsi="Tahoma" w:cs="Tahoma"/>
                <w:sz w:val="14"/>
              </w:rPr>
            </w:pPr>
            <w:bookmarkStart w:id="144" w:name="_Toc370981049"/>
            <w:r w:rsidRPr="004B208C">
              <w:rPr>
                <w:rFonts w:ascii="Tahoma" w:hAnsi="Tahoma" w:cs="Tahoma"/>
                <w:sz w:val="14"/>
              </w:rPr>
              <w:t xml:space="preserve">Bing Maps por Assinatura Mensal de </w:t>
            </w:r>
            <w:r w:rsidRPr="004B208C">
              <w:rPr>
                <w:rFonts w:ascii="Tahoma" w:hAnsi="Tahoma" w:cs="Tahoma"/>
                <w:sz w:val="14"/>
              </w:rPr>
              <w:lastRenderedPageBreak/>
              <w:t>Pacote de 5 Mil Usuários Conhecidos</w:t>
            </w:r>
            <w:bookmarkEnd w:id="144"/>
          </w:p>
        </w:tc>
        <w:tc>
          <w:tcPr>
            <w:tcW w:w="449" w:type="dxa"/>
            <w:tcBorders>
              <w:bottom w:val="single" w:sz="4" w:space="0" w:color="auto"/>
            </w:tcBorders>
            <w:shd w:val="clear" w:color="auto" w:fill="FABF8F"/>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200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200</w:t>
            </w:r>
          </w:p>
        </w:tc>
        <w:tc>
          <w:tcPr>
            <w:tcW w:w="450" w:type="dxa"/>
            <w:tcBorders>
              <w:bottom w:val="single" w:sz="4" w:space="0" w:color="auto"/>
            </w:tcBorders>
            <w:shd w:val="clear" w:color="auto" w:fill="FABF8F"/>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FABF8F"/>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shd w:val="clear" w:color="auto" w:fill="FABF8F"/>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auto"/>
          </w:tcPr>
          <w:p w:rsidR="00913A0A" w:rsidRPr="004B208C" w:rsidRDefault="00913A0A" w:rsidP="002378E5">
            <w:pPr>
              <w:pStyle w:val="ProductNames"/>
              <w:spacing w:beforeLines="20" w:before="48" w:afterLines="20" w:after="48"/>
              <w:rPr>
                <w:rFonts w:ascii="Tahoma" w:hAnsi="Tahoma" w:cs="Tahoma"/>
                <w:sz w:val="14"/>
              </w:rPr>
            </w:pPr>
            <w:bookmarkStart w:id="145" w:name="_Toc370981050"/>
            <w:r w:rsidRPr="004B208C">
              <w:rPr>
                <w:rFonts w:ascii="Tahoma" w:hAnsi="Tahoma" w:cs="Tahoma"/>
                <w:sz w:val="14"/>
              </w:rPr>
              <w:lastRenderedPageBreak/>
              <w:t>Bing Maps Light Conhecido por Assinatura Mensal de Usuários</w:t>
            </w:r>
            <w:bookmarkEnd w:id="145"/>
          </w:p>
        </w:tc>
        <w:tc>
          <w:tcPr>
            <w:tcW w:w="449" w:type="dxa"/>
            <w:tcBorders>
              <w:bottom w:val="single" w:sz="4" w:space="0" w:color="auto"/>
            </w:tcBorders>
            <w:shd w:val="clear" w:color="auto" w:fill="auto"/>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w:t>
            </w:r>
          </w:p>
        </w:tc>
        <w:tc>
          <w:tcPr>
            <w:tcW w:w="450"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600C32">
            <w:pPr>
              <w:pStyle w:val="ProductNames"/>
              <w:spacing w:beforeLines="20" w:before="48" w:afterLines="20" w:after="48"/>
              <w:rPr>
                <w:rFonts w:ascii="Tahoma" w:hAnsi="Tahoma" w:cs="Tahoma"/>
                <w:sz w:val="14"/>
              </w:rPr>
            </w:pPr>
            <w:bookmarkStart w:id="146" w:name="_Toc370981051"/>
            <w:r w:rsidRPr="004B208C">
              <w:rPr>
                <w:rFonts w:ascii="Tahoma" w:hAnsi="Tahoma" w:cs="Tahoma"/>
                <w:sz w:val="14"/>
              </w:rPr>
              <w:t>Bing Maps Light Conhecido por Assinatura Mensal de Pacote de</w:t>
            </w:r>
            <w:r w:rsidR="00600C32">
              <w:rPr>
                <w:rFonts w:ascii="Tahoma" w:hAnsi="Tahoma" w:cs="Tahoma"/>
                <w:sz w:val="14"/>
              </w:rPr>
              <w:t> </w:t>
            </w:r>
            <w:r w:rsidRPr="004B208C">
              <w:rPr>
                <w:rFonts w:ascii="Tahoma" w:hAnsi="Tahoma" w:cs="Tahoma"/>
                <w:sz w:val="14"/>
              </w:rPr>
              <w:t>5</w:t>
            </w:r>
            <w:r w:rsidR="00600C32">
              <w:rPr>
                <w:rFonts w:ascii="Tahoma" w:hAnsi="Tahoma" w:cs="Tahoma"/>
                <w:sz w:val="14"/>
              </w:rPr>
              <w:t> </w:t>
            </w:r>
            <w:r w:rsidRPr="004B208C">
              <w:rPr>
                <w:rFonts w:ascii="Tahoma" w:hAnsi="Tahoma" w:cs="Tahoma"/>
                <w:sz w:val="14"/>
              </w:rPr>
              <w:t>Mil</w:t>
            </w:r>
            <w:r w:rsidR="00600C32">
              <w:rPr>
                <w:rFonts w:ascii="Tahoma" w:hAnsi="Tahoma" w:cs="Tahoma"/>
                <w:sz w:val="14"/>
              </w:rPr>
              <w:t> </w:t>
            </w:r>
            <w:r w:rsidRPr="004B208C">
              <w:rPr>
                <w:rFonts w:ascii="Tahoma" w:hAnsi="Tahoma" w:cs="Tahoma"/>
                <w:sz w:val="14"/>
              </w:rPr>
              <w:t>Usuários</w:t>
            </w:r>
            <w:bookmarkEnd w:id="146"/>
          </w:p>
        </w:tc>
        <w:tc>
          <w:tcPr>
            <w:tcW w:w="449" w:type="dxa"/>
            <w:tcBorders>
              <w:bottom w:val="single" w:sz="4" w:space="0" w:color="auto"/>
            </w:tcBorders>
            <w:shd w:val="clear" w:color="auto" w:fill="FABF8F"/>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125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125</w:t>
            </w:r>
          </w:p>
        </w:tc>
        <w:tc>
          <w:tcPr>
            <w:tcW w:w="450" w:type="dxa"/>
            <w:tcBorders>
              <w:bottom w:val="single" w:sz="4" w:space="0" w:color="auto"/>
            </w:tcBorders>
            <w:shd w:val="clear" w:color="auto" w:fill="FABF8F"/>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FABF8F"/>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shd w:val="clear" w:color="auto" w:fill="FABF8F"/>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auto"/>
          </w:tcPr>
          <w:p w:rsidR="00913A0A" w:rsidRPr="004B208C" w:rsidRDefault="00913A0A" w:rsidP="00600C32">
            <w:pPr>
              <w:pStyle w:val="ProductNames"/>
              <w:spacing w:beforeLines="20" w:before="48" w:afterLines="20" w:after="48"/>
              <w:rPr>
                <w:rFonts w:ascii="Tahoma" w:hAnsi="Tahoma" w:cs="Tahoma"/>
                <w:sz w:val="14"/>
              </w:rPr>
            </w:pPr>
            <w:bookmarkStart w:id="147" w:name="_Toc370981052"/>
            <w:r w:rsidRPr="004B208C">
              <w:rPr>
                <w:rFonts w:ascii="Tahoma" w:hAnsi="Tahoma" w:cs="Tahoma"/>
                <w:sz w:val="14"/>
              </w:rPr>
              <w:t>Assinatura Mensal de Tarifa por Plataforma de Gerenciamento de</w:t>
            </w:r>
            <w:r w:rsidR="00600C32">
              <w:rPr>
                <w:rFonts w:ascii="Tahoma" w:hAnsi="Tahoma" w:cs="Tahoma"/>
                <w:sz w:val="14"/>
              </w:rPr>
              <w:t> </w:t>
            </w:r>
            <w:r w:rsidRPr="004B208C">
              <w:rPr>
                <w:rFonts w:ascii="Tahoma" w:hAnsi="Tahoma" w:cs="Tahoma"/>
                <w:sz w:val="14"/>
              </w:rPr>
              <w:t>Ativos</w:t>
            </w:r>
            <w:r w:rsidR="00600C32">
              <w:rPr>
                <w:rFonts w:ascii="Tahoma" w:hAnsi="Tahoma" w:cs="Tahoma"/>
                <w:sz w:val="14"/>
              </w:rPr>
              <w:t> </w:t>
            </w:r>
            <w:r w:rsidRPr="004B208C">
              <w:rPr>
                <w:rFonts w:ascii="Tahoma" w:hAnsi="Tahoma" w:cs="Tahoma"/>
                <w:sz w:val="14"/>
              </w:rPr>
              <w:t>Móveis do Bing Maps</w:t>
            </w:r>
            <w:bookmarkEnd w:id="147"/>
          </w:p>
        </w:tc>
        <w:tc>
          <w:tcPr>
            <w:tcW w:w="449" w:type="dxa"/>
            <w:tcBorders>
              <w:bottom w:val="single" w:sz="4" w:space="0" w:color="auto"/>
            </w:tcBorders>
            <w:shd w:val="clear" w:color="auto" w:fill="auto"/>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25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25</w:t>
            </w:r>
          </w:p>
        </w:tc>
        <w:tc>
          <w:tcPr>
            <w:tcW w:w="450"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600C32">
            <w:pPr>
              <w:pStyle w:val="ProductNames"/>
              <w:spacing w:beforeLines="20" w:before="48" w:afterLines="20" w:after="48"/>
              <w:rPr>
                <w:rFonts w:ascii="Tahoma" w:hAnsi="Tahoma" w:cs="Tahoma"/>
                <w:sz w:val="14"/>
              </w:rPr>
            </w:pPr>
            <w:bookmarkStart w:id="148" w:name="_Toc370981053"/>
            <w:r w:rsidRPr="004B208C">
              <w:rPr>
                <w:rFonts w:ascii="Tahoma" w:hAnsi="Tahoma" w:cs="Tahoma"/>
                <w:sz w:val="14"/>
              </w:rPr>
              <w:t>Gerenciamento de Ativos Móveis do Bing Maps (América do Norte) com roteamento por Assinatura Mensal de</w:t>
            </w:r>
            <w:r w:rsidR="00600C32">
              <w:rPr>
                <w:rFonts w:ascii="Tahoma" w:hAnsi="Tahoma" w:cs="Tahoma"/>
                <w:sz w:val="14"/>
              </w:rPr>
              <w:t> </w:t>
            </w:r>
            <w:r w:rsidRPr="004B208C">
              <w:rPr>
                <w:rFonts w:ascii="Tahoma" w:hAnsi="Tahoma" w:cs="Tahoma"/>
                <w:sz w:val="14"/>
              </w:rPr>
              <w:t>Ativos</w:t>
            </w:r>
            <w:bookmarkEnd w:id="148"/>
          </w:p>
        </w:tc>
        <w:tc>
          <w:tcPr>
            <w:tcW w:w="449" w:type="dxa"/>
            <w:tcBorders>
              <w:bottom w:val="single" w:sz="4" w:space="0" w:color="auto"/>
            </w:tcBorders>
            <w:shd w:val="clear" w:color="auto" w:fill="FABF8F"/>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1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1</w:t>
            </w:r>
          </w:p>
        </w:tc>
        <w:tc>
          <w:tcPr>
            <w:tcW w:w="450" w:type="dxa"/>
            <w:tcBorders>
              <w:bottom w:val="single" w:sz="4" w:space="0" w:color="auto"/>
            </w:tcBorders>
            <w:shd w:val="clear" w:color="auto" w:fill="FABF8F"/>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FABF8F"/>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shd w:val="clear" w:color="auto" w:fill="FABF8F"/>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auto"/>
          </w:tcPr>
          <w:p w:rsidR="00913A0A" w:rsidRPr="004B208C" w:rsidRDefault="00913A0A" w:rsidP="00600C32">
            <w:pPr>
              <w:pStyle w:val="ProductNames"/>
              <w:spacing w:beforeLines="20" w:before="48" w:afterLines="20" w:after="48"/>
              <w:rPr>
                <w:rFonts w:ascii="Tahoma" w:hAnsi="Tahoma" w:cs="Tahoma"/>
                <w:sz w:val="14"/>
              </w:rPr>
            </w:pPr>
            <w:bookmarkStart w:id="149" w:name="_Toc370981054"/>
            <w:r w:rsidRPr="004B208C">
              <w:rPr>
                <w:rFonts w:ascii="Tahoma" w:hAnsi="Tahoma" w:cs="Tahoma"/>
                <w:sz w:val="14"/>
              </w:rPr>
              <w:t>Gerenciamento de Ativos Móveis do Bing Maps (América do Norte) sem roteamento por Assinatura Mensal de</w:t>
            </w:r>
            <w:r w:rsidR="00600C32">
              <w:rPr>
                <w:rFonts w:ascii="Tahoma" w:hAnsi="Tahoma" w:cs="Tahoma"/>
                <w:sz w:val="14"/>
              </w:rPr>
              <w:t> </w:t>
            </w:r>
            <w:r w:rsidRPr="004B208C">
              <w:rPr>
                <w:rFonts w:ascii="Tahoma" w:hAnsi="Tahoma" w:cs="Tahoma"/>
                <w:sz w:val="14"/>
              </w:rPr>
              <w:t>Ativos</w:t>
            </w:r>
            <w:bookmarkEnd w:id="149"/>
          </w:p>
        </w:tc>
        <w:tc>
          <w:tcPr>
            <w:tcW w:w="449" w:type="dxa"/>
            <w:tcBorders>
              <w:bottom w:val="single" w:sz="4" w:space="0" w:color="auto"/>
            </w:tcBorders>
            <w:shd w:val="clear" w:color="auto" w:fill="auto"/>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w:t>
            </w:r>
          </w:p>
        </w:tc>
        <w:tc>
          <w:tcPr>
            <w:tcW w:w="450"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2378E5">
            <w:pPr>
              <w:pStyle w:val="ProductNames"/>
              <w:spacing w:beforeLines="20" w:before="48" w:afterLines="20" w:after="48"/>
              <w:rPr>
                <w:rFonts w:ascii="Tahoma" w:hAnsi="Tahoma" w:cs="Tahoma"/>
                <w:sz w:val="14"/>
              </w:rPr>
            </w:pPr>
            <w:bookmarkStart w:id="150" w:name="_Toc370981055"/>
            <w:r w:rsidRPr="004B208C">
              <w:rPr>
                <w:rFonts w:ascii="Tahoma" w:hAnsi="Tahoma" w:cs="Tahoma"/>
                <w:sz w:val="14"/>
              </w:rPr>
              <w:t>Gerenciamento de Ativos Móveis do Bing Maps (Europa) com roteamento por Assinatura Mensal de Ativos</w:t>
            </w:r>
            <w:bookmarkEnd w:id="150"/>
          </w:p>
        </w:tc>
        <w:tc>
          <w:tcPr>
            <w:tcW w:w="449" w:type="dxa"/>
            <w:tcBorders>
              <w:bottom w:val="single" w:sz="4" w:space="0" w:color="auto"/>
            </w:tcBorders>
            <w:shd w:val="clear" w:color="auto" w:fill="FABF8F"/>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1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4"/>
              </w:rPr>
              <w:t>1</w:t>
            </w:r>
          </w:p>
        </w:tc>
        <w:tc>
          <w:tcPr>
            <w:tcW w:w="450" w:type="dxa"/>
            <w:tcBorders>
              <w:bottom w:val="single" w:sz="4" w:space="0" w:color="auto"/>
            </w:tcBorders>
            <w:shd w:val="clear" w:color="auto" w:fill="FABF8F"/>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FABF8F"/>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FABF8F"/>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shd w:val="clear" w:color="auto" w:fill="FABF8F"/>
          </w:tcPr>
          <w:p w:rsidR="00913A0A" w:rsidRPr="004B208C" w:rsidRDefault="00913A0A" w:rsidP="002253A3">
            <w:pPr>
              <w:jc w:val="center"/>
              <w:rPr>
                <w:rFonts w:cs="Tahoma"/>
                <w:sz w:val="13"/>
              </w:rPr>
            </w:pPr>
            <w:r w:rsidRPr="004B208C">
              <w:rPr>
                <w:rFonts w:cs="Tahoma"/>
                <w:sz w:val="13"/>
              </w:rPr>
              <w:t>A</w:t>
            </w:r>
          </w:p>
        </w:tc>
      </w:tr>
      <w:tr w:rsidR="00600C32" w:rsidRPr="004B208C" w:rsidTr="00916AA6">
        <w:trPr>
          <w:trHeight w:val="145"/>
        </w:trPr>
        <w:tc>
          <w:tcPr>
            <w:tcW w:w="2551" w:type="dxa"/>
            <w:gridSpan w:val="2"/>
            <w:tcBorders>
              <w:bottom w:val="single" w:sz="4" w:space="0" w:color="auto"/>
            </w:tcBorders>
            <w:shd w:val="clear" w:color="auto" w:fill="auto"/>
          </w:tcPr>
          <w:p w:rsidR="00913A0A" w:rsidRPr="004B208C" w:rsidRDefault="00913A0A" w:rsidP="002378E5">
            <w:pPr>
              <w:pStyle w:val="ProductNames"/>
              <w:spacing w:beforeLines="20" w:before="48" w:afterLines="20" w:after="48"/>
              <w:rPr>
                <w:rFonts w:ascii="Tahoma" w:hAnsi="Tahoma" w:cs="Tahoma"/>
                <w:sz w:val="14"/>
              </w:rPr>
            </w:pPr>
            <w:bookmarkStart w:id="151" w:name="_Toc370981056"/>
            <w:r w:rsidRPr="004B208C">
              <w:rPr>
                <w:rFonts w:ascii="Tahoma" w:hAnsi="Tahoma" w:cs="Tahoma"/>
                <w:sz w:val="14"/>
              </w:rPr>
              <w:t>Gerenciamento de Ativos Móveis do Bing Maps (Europa) sem roteamento por Assinatura Mensal de Ativos</w:t>
            </w:r>
            <w:bookmarkEnd w:id="151"/>
          </w:p>
        </w:tc>
        <w:tc>
          <w:tcPr>
            <w:tcW w:w="449" w:type="dxa"/>
            <w:tcBorders>
              <w:bottom w:val="single" w:sz="4" w:space="0" w:color="auto"/>
            </w:tcBorders>
            <w:shd w:val="clear" w:color="auto" w:fill="auto"/>
            <w:vAlign w:val="center"/>
          </w:tcPr>
          <w:p w:rsidR="00913A0A" w:rsidRPr="00600C32" w:rsidRDefault="00C70EF2" w:rsidP="003D4F46">
            <w:pPr>
              <w:jc w:val="center"/>
              <w:rPr>
                <w:rFonts w:ascii="Trebuchet MS" w:hAnsi="Trebuchet MS" w:cs="Tahoma"/>
                <w:b/>
                <w:sz w:val="13"/>
                <w:szCs w:val="13"/>
              </w:rPr>
            </w:pPr>
            <w:hyperlink w:anchor="_34_Bing_Maps" w:history="1">
              <w:r w:rsidR="00CF5A3E" w:rsidRPr="00600C32">
                <w:rPr>
                  <w:rStyle w:val="Hyperlink"/>
                  <w:rFonts w:ascii="Trebuchet MS" w:hAnsi="Trebuchet MS" w:cs="Tahoma"/>
                  <w:b/>
                  <w:sz w:val="13"/>
                  <w:szCs w:val="13"/>
                </w:rPr>
                <w:t>34</w:t>
              </w:r>
            </w:hyperlink>
          </w:p>
        </w:tc>
        <w:tc>
          <w:tcPr>
            <w:tcW w:w="449" w:type="dxa"/>
            <w:tcBorders>
              <w:bottom w:val="single" w:sz="4" w:space="0" w:color="auto"/>
            </w:tcBorders>
            <w:shd w:val="clear" w:color="auto" w:fill="auto"/>
            <w:vAlign w:val="center"/>
          </w:tcPr>
          <w:p w:rsidR="00913A0A" w:rsidRPr="004B208C" w:rsidRDefault="00913A0A" w:rsidP="00D15BAA">
            <w:pPr>
              <w:jc w:val="center"/>
              <w:rPr>
                <w:rFonts w:cs="Tahoma"/>
                <w:sz w:val="14"/>
              </w:rPr>
            </w:pPr>
            <w:r w:rsidRPr="004B208C">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4"/>
              </w:rPr>
              <w:t>1</w:t>
            </w:r>
          </w:p>
        </w:tc>
        <w:tc>
          <w:tcPr>
            <w:tcW w:w="450"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P</w:t>
            </w:r>
          </w:p>
        </w:tc>
        <w:tc>
          <w:tcPr>
            <w:tcW w:w="621" w:type="dxa"/>
            <w:tcBorders>
              <w:bottom w:val="single" w:sz="4" w:space="0" w:color="auto"/>
            </w:tcBorders>
            <w:shd w:val="clear" w:color="auto" w:fill="auto"/>
            <w:vAlign w:val="center"/>
          </w:tcPr>
          <w:p w:rsidR="00913A0A" w:rsidRPr="004B208C" w:rsidRDefault="00913A0A" w:rsidP="002253A3">
            <w:pPr>
              <w:jc w:val="center"/>
              <w:rPr>
                <w:rFonts w:cs="Tahoma"/>
                <w:sz w:val="13"/>
              </w:rPr>
            </w:pPr>
          </w:p>
        </w:tc>
        <w:tc>
          <w:tcPr>
            <w:tcW w:w="504" w:type="dxa"/>
            <w:tcBorders>
              <w:bottom w:val="single" w:sz="4" w:space="0" w:color="auto"/>
            </w:tcBorders>
            <w:shd w:val="clear" w:color="auto" w:fill="auto"/>
            <w:vAlign w:val="center"/>
          </w:tcPr>
          <w:p w:rsidR="00913A0A" w:rsidRPr="004B208C" w:rsidRDefault="00913A0A" w:rsidP="002253A3">
            <w:pPr>
              <w:jc w:val="center"/>
              <w:rPr>
                <w:rFonts w:cs="Tahoma"/>
                <w:sz w:val="14"/>
              </w:rPr>
            </w:pPr>
            <w:r w:rsidRPr="004B208C">
              <w:rPr>
                <w:rFonts w:cs="Tahoma"/>
                <w:sz w:val="13"/>
              </w:rPr>
              <w:t>LO/OV</w:t>
            </w:r>
          </w:p>
        </w:tc>
        <w:tc>
          <w:tcPr>
            <w:tcW w:w="371" w:type="dxa"/>
            <w:tcBorders>
              <w:bottom w:val="single" w:sz="4" w:space="0" w:color="auto"/>
            </w:tcBorders>
          </w:tcPr>
          <w:p w:rsidR="00913A0A" w:rsidRPr="004B208C" w:rsidRDefault="00913A0A" w:rsidP="002253A3">
            <w:pPr>
              <w:jc w:val="center"/>
              <w:rPr>
                <w:rFonts w:cs="Tahoma"/>
                <w:sz w:val="13"/>
              </w:rPr>
            </w:pPr>
            <w:r w:rsidRPr="004B208C">
              <w:rPr>
                <w:rFonts w:cs="Tahoma"/>
                <w:sz w:val="13"/>
              </w:rPr>
              <w:t>A</w:t>
            </w:r>
          </w:p>
        </w:tc>
      </w:tr>
      <w:tr w:rsidR="00600C32" w:rsidRPr="004B208C" w:rsidTr="00515DFA">
        <w:trPr>
          <w:trHeight w:val="64"/>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152" w:name="_Toc336337919"/>
            <w:bookmarkStart w:id="153" w:name="_Toc370981057"/>
            <w:r w:rsidRPr="004B208C">
              <w:rPr>
                <w:rFonts w:ascii="Tahoma" w:hAnsi="Tahoma" w:cs="Tahoma"/>
                <w:sz w:val="14"/>
              </w:rPr>
              <w:t>BizTalk</w:t>
            </w:r>
            <w:r w:rsidR="00172F11" w:rsidRPr="00172F11">
              <w:rPr>
                <w:rFonts w:ascii="Tahoma" w:hAnsi="Tahoma" w:cs="Tahoma"/>
                <w:szCs w:val="18"/>
                <w:vertAlign w:val="superscript"/>
              </w:rPr>
              <w:t>®</w:t>
            </w:r>
            <w:r w:rsidRPr="004B208C">
              <w:rPr>
                <w:rFonts w:ascii="Tahoma" w:hAnsi="Tahoma" w:cs="Tahoma"/>
                <w:sz w:val="14"/>
              </w:rPr>
              <w:t xml:space="preserve"> Server 2013 Branch Edition</w:t>
            </w:r>
            <w:bookmarkEnd w:id="152"/>
            <w:bookmarkEnd w:id="153"/>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600C32" w:rsidRDefault="00C70EF2" w:rsidP="003D4F46">
            <w:pPr>
              <w:pStyle w:val="TableText"/>
              <w:widowControl w:val="0"/>
              <w:rPr>
                <w:rStyle w:val="EndnoteReference"/>
                <w:rFonts w:cs="Tahoma"/>
                <w:b w:val="0"/>
                <w:color w:val="0000FF"/>
                <w:sz w:val="13"/>
                <w:szCs w:val="13"/>
                <w:u w:val="single"/>
              </w:rPr>
            </w:pPr>
            <w:hyperlink w:anchor="_29_BizTalk®_Server" w:history="1">
              <w:r w:rsidR="00CF5A3E" w:rsidRPr="00600C32">
                <w:rPr>
                  <w:rStyle w:val="Hyperlink"/>
                  <w:rFonts w:cs="Tahoma"/>
                  <w:b/>
                  <w:sz w:val="13"/>
                  <w:szCs w:val="13"/>
                </w:rPr>
                <w:t>35</w:t>
              </w:r>
            </w:hyperlink>
            <w:hyperlink w:anchor="Srv_26_BizTalkServerBranch" w:history="1"/>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63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A,S,D</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LO/OV</w:t>
            </w:r>
          </w:p>
        </w:tc>
        <w:tc>
          <w:tcPr>
            <w:tcW w:w="371" w:type="dxa"/>
            <w:tcBorders>
              <w:bottom w:val="single" w:sz="4" w:space="0" w:color="auto"/>
            </w:tcBorders>
            <w:shd w:val="clear" w:color="auto" w:fill="FABF8F"/>
          </w:tcPr>
          <w:p w:rsidR="00913A0A" w:rsidRPr="004B208C" w:rsidRDefault="00D93CA3" w:rsidP="001A63C6">
            <w:pPr>
              <w:pStyle w:val="TableText"/>
              <w:widowControl w:val="0"/>
              <w:rPr>
                <w:rFonts w:ascii="Tahoma" w:hAnsi="Tahoma" w:cs="Tahoma"/>
                <w:color w:val="000000"/>
                <w:sz w:val="13"/>
              </w:rPr>
            </w:pPr>
            <w:r w:rsidRPr="004B208C">
              <w:rPr>
                <w:rFonts w:ascii="Tahoma" w:hAnsi="Tahoma" w:cs="Tahoma"/>
                <w:color w:val="000000"/>
                <w:sz w:val="13"/>
              </w:rPr>
              <w:t>STP</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154" w:name="_Toc336337920"/>
            <w:bookmarkStart w:id="155" w:name="_Toc370981058"/>
            <w:r w:rsidRPr="004B208C">
              <w:rPr>
                <w:rFonts w:ascii="Tahoma" w:hAnsi="Tahoma" w:cs="Tahoma"/>
                <w:sz w:val="14"/>
              </w:rPr>
              <w:t>BizTalk</w:t>
            </w:r>
            <w:r w:rsidR="00172F11" w:rsidRPr="00172F11">
              <w:rPr>
                <w:rFonts w:ascii="Tahoma" w:hAnsi="Tahoma" w:cs="Tahoma"/>
                <w:szCs w:val="18"/>
                <w:vertAlign w:val="superscript"/>
              </w:rPr>
              <w:t>®</w:t>
            </w:r>
            <w:r w:rsidRPr="004B208C">
              <w:rPr>
                <w:rFonts w:ascii="Tahoma" w:hAnsi="Tahoma" w:cs="Tahoma"/>
                <w:sz w:val="14"/>
              </w:rPr>
              <w:t xml:space="preserve"> Server 2013 Enterprise Edition</w:t>
            </w:r>
            <w:bookmarkEnd w:id="154"/>
            <w:bookmarkEnd w:id="155"/>
          </w:p>
        </w:tc>
        <w:tc>
          <w:tcPr>
            <w:tcW w:w="449" w:type="dxa"/>
            <w:tcBorders>
              <w:bottom w:val="single" w:sz="4" w:space="0" w:color="auto"/>
            </w:tcBorders>
            <w:shd w:val="clear" w:color="auto" w:fill="auto"/>
            <w:vAlign w:val="center"/>
          </w:tcPr>
          <w:p w:rsidR="00913A0A" w:rsidRPr="00600C32" w:rsidRDefault="00C70EF2" w:rsidP="003D4F46">
            <w:pPr>
              <w:pStyle w:val="TableText"/>
              <w:widowControl w:val="0"/>
              <w:rPr>
                <w:rStyle w:val="EndnoteReference"/>
                <w:rFonts w:cs="Tahoma"/>
                <w:b w:val="0"/>
                <w:color w:val="0000FF"/>
                <w:sz w:val="13"/>
                <w:szCs w:val="13"/>
                <w:u w:val="single"/>
              </w:rPr>
            </w:pPr>
            <w:hyperlink w:anchor="_36_BizTalk_Server®" w:history="1">
              <w:r w:rsidR="00CF5A3E" w:rsidRPr="00600C32">
                <w:rPr>
                  <w:rStyle w:val="Hyperlink"/>
                  <w:rFonts w:cs="Tahoma"/>
                  <w:b/>
                  <w:sz w:val="13"/>
                  <w:szCs w:val="13"/>
                </w:rPr>
                <w:t>36</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ED3095"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ED3095">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ED3095"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D93CA3" w:rsidP="001A63C6">
            <w:pPr>
              <w:pStyle w:val="TableText"/>
              <w:widowControl w:val="0"/>
              <w:rPr>
                <w:rFonts w:ascii="Tahoma" w:hAnsi="Tahoma" w:cs="Tahoma"/>
                <w:color w:val="000000"/>
                <w:sz w:val="13"/>
              </w:rPr>
            </w:pPr>
            <w:r w:rsidRPr="004B208C">
              <w:rPr>
                <w:rFonts w:ascii="Tahoma" w:hAnsi="Tahoma" w:cs="Tahoma"/>
                <w:color w:val="000000"/>
                <w:sz w:val="13"/>
              </w:rPr>
              <w:t>STP</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156" w:name="_Toc370981059"/>
            <w:r w:rsidRPr="004B208C">
              <w:rPr>
                <w:rFonts w:ascii="Tahoma" w:hAnsi="Tahoma" w:cs="Tahoma"/>
                <w:sz w:val="14"/>
              </w:rPr>
              <w:t>BizTalk</w:t>
            </w:r>
            <w:r w:rsidR="00172F11" w:rsidRPr="00172F11">
              <w:rPr>
                <w:rFonts w:ascii="Tahoma" w:hAnsi="Tahoma" w:cs="Tahoma"/>
                <w:szCs w:val="18"/>
                <w:vertAlign w:val="superscript"/>
              </w:rPr>
              <w:t>®</w:t>
            </w:r>
            <w:r w:rsidRPr="004B208C">
              <w:rPr>
                <w:rFonts w:ascii="Tahoma" w:hAnsi="Tahoma" w:cs="Tahoma"/>
                <w:sz w:val="14"/>
              </w:rPr>
              <w:t xml:space="preserve"> Server 2013 Branch IDC</w:t>
            </w:r>
            <w:bookmarkEnd w:id="156"/>
          </w:p>
        </w:tc>
        <w:tc>
          <w:tcPr>
            <w:tcW w:w="449" w:type="dxa"/>
            <w:tcBorders>
              <w:bottom w:val="single" w:sz="4" w:space="0" w:color="auto"/>
            </w:tcBorders>
            <w:shd w:val="clear" w:color="auto" w:fill="FABF8F"/>
            <w:vAlign w:val="center"/>
          </w:tcPr>
          <w:p w:rsidR="00913A0A" w:rsidRPr="00600C32" w:rsidRDefault="00913A0A" w:rsidP="001A63C6">
            <w:pPr>
              <w:pStyle w:val="TableText"/>
              <w:widowControl w:val="0"/>
              <w:rPr>
                <w:rFonts w:cs="Tahoma"/>
              </w:rPr>
            </w:pPr>
          </w:p>
        </w:tc>
        <w:tc>
          <w:tcPr>
            <w:tcW w:w="449" w:type="dxa"/>
            <w:tcBorders>
              <w:bottom w:val="single" w:sz="4" w:space="0" w:color="auto"/>
            </w:tcBorders>
            <w:shd w:val="clear" w:color="auto" w:fill="FABF8F"/>
            <w:vAlign w:val="center"/>
          </w:tcPr>
          <w:p w:rsidR="00913A0A" w:rsidRPr="004B208C" w:rsidDel="004D199A" w:rsidRDefault="00913A0A" w:rsidP="001A63C6">
            <w:pPr>
              <w:pStyle w:val="TableText"/>
              <w:widowControl w:val="0"/>
              <w:rPr>
                <w:rFonts w:ascii="Tahoma" w:hAnsi="Tahoma" w:cs="Tahoma"/>
                <w:color w:val="000000"/>
                <w:sz w:val="13"/>
              </w:rPr>
            </w:pPr>
            <w:r w:rsidRPr="004B208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D</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157" w:name="_Toc336337922"/>
            <w:bookmarkStart w:id="158" w:name="_Toc370981060"/>
            <w:r w:rsidRPr="004B208C">
              <w:rPr>
                <w:rFonts w:ascii="Tahoma" w:hAnsi="Tahoma" w:cs="Tahoma"/>
                <w:sz w:val="14"/>
              </w:rPr>
              <w:t>BizTalk</w:t>
            </w:r>
            <w:r w:rsidR="00172F11" w:rsidRPr="00172F11">
              <w:rPr>
                <w:rFonts w:ascii="Tahoma" w:hAnsi="Tahoma" w:cs="Tahoma"/>
                <w:szCs w:val="18"/>
                <w:vertAlign w:val="superscript"/>
              </w:rPr>
              <w:t>®</w:t>
            </w:r>
            <w:r w:rsidRPr="004B208C">
              <w:rPr>
                <w:rFonts w:ascii="Tahoma" w:hAnsi="Tahoma" w:cs="Tahoma"/>
                <w:sz w:val="14"/>
              </w:rPr>
              <w:t xml:space="preserve"> Server 2013 Standard Edition</w:t>
            </w:r>
            <w:bookmarkEnd w:id="157"/>
            <w:bookmarkEnd w:id="158"/>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600C32" w:rsidRDefault="00C70EF2" w:rsidP="003D4F46">
            <w:pPr>
              <w:pStyle w:val="TableText"/>
              <w:widowControl w:val="0"/>
              <w:rPr>
                <w:rStyle w:val="EndnoteReference"/>
                <w:rFonts w:cs="Tahoma"/>
                <w:b w:val="0"/>
                <w:color w:val="0000FF"/>
                <w:sz w:val="13"/>
                <w:szCs w:val="13"/>
                <w:u w:val="single"/>
              </w:rPr>
            </w:pPr>
            <w:hyperlink w:anchor="_37_BizTalk_Server®" w:history="1">
              <w:r w:rsidR="00CF5A3E" w:rsidRPr="00600C32">
                <w:rPr>
                  <w:rStyle w:val="Hyperlink"/>
                  <w:rFonts w:cs="Tahoma"/>
                  <w:b/>
                  <w:sz w:val="13"/>
                  <w:szCs w:val="13"/>
                </w:rPr>
                <w:t>37</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LO/OV</w:t>
            </w:r>
          </w:p>
        </w:tc>
        <w:tc>
          <w:tcPr>
            <w:tcW w:w="371" w:type="dxa"/>
            <w:tcBorders>
              <w:bottom w:val="single" w:sz="4" w:space="0" w:color="auto"/>
            </w:tcBorders>
          </w:tcPr>
          <w:p w:rsidR="00913A0A" w:rsidRPr="004B208C" w:rsidRDefault="00D93CA3" w:rsidP="001A63C6">
            <w:pPr>
              <w:pStyle w:val="TableText"/>
              <w:widowControl w:val="0"/>
              <w:rPr>
                <w:rFonts w:ascii="Tahoma" w:hAnsi="Tahoma" w:cs="Tahoma"/>
                <w:color w:val="000000"/>
                <w:sz w:val="13"/>
              </w:rPr>
            </w:pPr>
            <w:r w:rsidRPr="004B208C">
              <w:rPr>
                <w:rFonts w:ascii="Tahoma" w:hAnsi="Tahoma" w:cs="Tahoma"/>
                <w:color w:val="000000"/>
                <w:sz w:val="13"/>
              </w:rPr>
              <w:t>STP</w:t>
            </w:r>
          </w:p>
        </w:tc>
      </w:tr>
      <w:tr w:rsidR="00600C32" w:rsidRPr="004B208C" w:rsidDel="00E7100E" w:rsidTr="00515DFA">
        <w:trPr>
          <w:trHeight w:val="145"/>
        </w:trPr>
        <w:tc>
          <w:tcPr>
            <w:tcW w:w="2551" w:type="dxa"/>
            <w:gridSpan w:val="2"/>
            <w:tcBorders>
              <w:bottom w:val="single" w:sz="4" w:space="0" w:color="auto"/>
            </w:tcBorders>
            <w:shd w:val="clear" w:color="auto" w:fill="FABF8F"/>
            <w:vAlign w:val="center"/>
          </w:tcPr>
          <w:p w:rsidR="00913A0A" w:rsidRPr="004B208C" w:rsidDel="002B327C" w:rsidRDefault="00913A0A" w:rsidP="00600C32">
            <w:pPr>
              <w:pStyle w:val="Heading2"/>
              <w:spacing w:beforeLines="20" w:before="48" w:afterLines="20" w:after="48"/>
              <w:ind w:left="0"/>
              <w:rPr>
                <w:rFonts w:ascii="Tahoma" w:hAnsi="Tahoma" w:cs="Tahoma"/>
                <w:b w:val="0"/>
                <w:sz w:val="14"/>
              </w:rPr>
            </w:pPr>
            <w:bookmarkStart w:id="159" w:name="_Toc370981061"/>
            <w:r w:rsidRPr="004B208C">
              <w:rPr>
                <w:rFonts w:ascii="Tahoma" w:hAnsi="Tahoma" w:cs="Tahoma"/>
                <w:b w:val="0"/>
                <w:sz w:val="14"/>
              </w:rPr>
              <w:t>BizTalk</w:t>
            </w:r>
            <w:r w:rsidR="00172F11" w:rsidRPr="00172F11">
              <w:rPr>
                <w:rFonts w:ascii="Tahoma" w:hAnsi="Tahoma" w:cs="Tahoma"/>
                <w:b w:val="0"/>
                <w:sz w:val="14"/>
                <w:vertAlign w:val="superscript"/>
              </w:rPr>
              <w:t>®</w:t>
            </w:r>
            <w:r w:rsidRPr="004B208C">
              <w:rPr>
                <w:rFonts w:ascii="Tahoma" w:hAnsi="Tahoma" w:cs="Tahoma"/>
                <w:b w:val="0"/>
                <w:sz w:val="14"/>
              </w:rPr>
              <w:t xml:space="preserve"> Server 2013 Standard Edition</w:t>
            </w:r>
            <w:r w:rsidR="00600C32">
              <w:rPr>
                <w:rFonts w:ascii="Tahoma" w:hAnsi="Tahoma" w:cs="Tahoma"/>
                <w:b w:val="0"/>
                <w:sz w:val="14"/>
              </w:rPr>
              <w:t> </w:t>
            </w:r>
            <w:r w:rsidRPr="004B208C">
              <w:rPr>
                <w:rFonts w:ascii="Tahoma" w:hAnsi="Tahoma" w:cs="Tahoma"/>
                <w:b w:val="0"/>
                <w:sz w:val="14"/>
              </w:rPr>
              <w:t>IDC</w:t>
            </w:r>
            <w:bookmarkEnd w:id="159"/>
          </w:p>
        </w:tc>
        <w:tc>
          <w:tcPr>
            <w:tcW w:w="449" w:type="dxa"/>
            <w:tcBorders>
              <w:bottom w:val="single" w:sz="4" w:space="0" w:color="auto"/>
            </w:tcBorders>
            <w:shd w:val="clear" w:color="auto" w:fill="FABF8F"/>
            <w:vAlign w:val="center"/>
          </w:tcPr>
          <w:p w:rsidR="00913A0A" w:rsidRPr="00600C32" w:rsidDel="00E7100E" w:rsidRDefault="00913A0A" w:rsidP="002253A3">
            <w:pPr>
              <w:jc w:val="center"/>
              <w:rPr>
                <w:rFonts w:ascii="Trebuchet MS" w:hAnsi="Trebuchet MS" w:cs="Tahoma"/>
                <w:sz w:val="13"/>
                <w:szCs w:val="13"/>
              </w:rPr>
            </w:pPr>
          </w:p>
        </w:tc>
        <w:tc>
          <w:tcPr>
            <w:tcW w:w="449" w:type="dxa"/>
            <w:tcBorders>
              <w:bottom w:val="single" w:sz="4" w:space="0" w:color="auto"/>
            </w:tcBorders>
            <w:shd w:val="clear" w:color="auto" w:fill="FABF8F"/>
            <w:vAlign w:val="center"/>
          </w:tcPr>
          <w:p w:rsidR="00913A0A" w:rsidRPr="004B208C" w:rsidDel="00A53269" w:rsidRDefault="00913A0A" w:rsidP="002253A3">
            <w:pPr>
              <w:jc w:val="center"/>
              <w:rPr>
                <w:rFonts w:cs="Tahoma"/>
                <w:color w:val="000000"/>
                <w:sz w:val="13"/>
                <w:szCs w:val="13"/>
              </w:rPr>
            </w:pPr>
            <w:r w:rsidRPr="004B208C">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913A0A" w:rsidRPr="004B208C" w:rsidDel="00E7100E" w:rsidRDefault="00913A0A" w:rsidP="002253A3">
            <w:pPr>
              <w:jc w:val="center"/>
              <w:rPr>
                <w:rFonts w:cs="Tahoma"/>
                <w:color w:val="000000"/>
                <w:sz w:val="13"/>
                <w:szCs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35" w:type="dxa"/>
            <w:tcBorders>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65" w:type="dxa"/>
            <w:gridSpan w:val="3"/>
            <w:tcBorders>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365" w:type="dxa"/>
            <w:tcBorders>
              <w:bottom w:val="single" w:sz="4" w:space="0" w:color="auto"/>
              <w:right w:val="single" w:sz="18"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50" w:type="dxa"/>
            <w:tcBorders>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Del="00A53269" w:rsidRDefault="00913A0A" w:rsidP="002253A3">
            <w:pPr>
              <w:jc w:val="center"/>
              <w:rPr>
                <w:rFonts w:cs="Tahoma"/>
                <w:sz w:val="13"/>
                <w:szCs w:val="13"/>
              </w:rPr>
            </w:pPr>
            <w:r w:rsidRPr="004B208C">
              <w:rPr>
                <w:rFonts w:cs="Tahoma"/>
                <w:sz w:val="13"/>
                <w:szCs w:val="13"/>
              </w:rPr>
              <w:t>D</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621" w:type="dxa"/>
            <w:tcBorders>
              <w:bottom w:val="single" w:sz="4" w:space="0" w:color="auto"/>
            </w:tcBorders>
            <w:shd w:val="clear" w:color="auto" w:fill="FABF8F"/>
            <w:vAlign w:val="center"/>
          </w:tcPr>
          <w:p w:rsidR="00913A0A" w:rsidRPr="004B208C" w:rsidDel="00E7100E" w:rsidRDefault="00913A0A" w:rsidP="002253A3">
            <w:pPr>
              <w:jc w:val="center"/>
              <w:rPr>
                <w:rFonts w:cs="Tahoma"/>
                <w:sz w:val="13"/>
                <w:szCs w:val="13"/>
              </w:rPr>
            </w:pPr>
          </w:p>
        </w:tc>
        <w:tc>
          <w:tcPr>
            <w:tcW w:w="504" w:type="dxa"/>
            <w:tcBorders>
              <w:bottom w:val="single" w:sz="4" w:space="0" w:color="auto"/>
            </w:tcBorders>
            <w:shd w:val="clear" w:color="auto" w:fill="FABF8F"/>
            <w:vAlign w:val="center"/>
          </w:tcPr>
          <w:p w:rsidR="00913A0A" w:rsidRPr="004B208C" w:rsidDel="00E7100E" w:rsidRDefault="00913A0A" w:rsidP="002253A3">
            <w:pPr>
              <w:jc w:val="center"/>
              <w:rPr>
                <w:rFonts w:cs="Tahoma"/>
                <w:color w:val="000000"/>
                <w:sz w:val="13"/>
                <w:szCs w:val="13"/>
              </w:rPr>
            </w:pPr>
          </w:p>
        </w:tc>
        <w:tc>
          <w:tcPr>
            <w:tcW w:w="371" w:type="dxa"/>
            <w:tcBorders>
              <w:bottom w:val="single" w:sz="4" w:space="0" w:color="auto"/>
            </w:tcBorders>
            <w:shd w:val="clear" w:color="auto" w:fill="FABF8F"/>
          </w:tcPr>
          <w:p w:rsidR="00913A0A" w:rsidRPr="004B208C" w:rsidDel="00E7100E" w:rsidRDefault="00913A0A" w:rsidP="002253A3">
            <w:pPr>
              <w:jc w:val="center"/>
              <w:rPr>
                <w:rFonts w:cs="Tahoma"/>
                <w:color w:val="000000"/>
                <w:sz w:val="13"/>
                <w:szCs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6"/>
                <w:szCs w:val="16"/>
              </w:rPr>
            </w:pPr>
            <w:bookmarkStart w:id="160" w:name="_Toc336337925"/>
            <w:bookmarkStart w:id="161" w:name="_Toc370981062"/>
            <w:r w:rsidRPr="004B208C">
              <w:rPr>
                <w:rFonts w:ascii="Tahoma" w:hAnsi="Tahoma" w:cs="Tahoma"/>
                <w:b w:val="0"/>
                <w:sz w:val="14"/>
                <w:szCs w:val="16"/>
              </w:rPr>
              <w:t>Business Intelligence Appliance 2012</w:t>
            </w:r>
            <w:bookmarkEnd w:id="160"/>
            <w:bookmarkEnd w:id="161"/>
          </w:p>
        </w:tc>
        <w:tc>
          <w:tcPr>
            <w:tcW w:w="449" w:type="dxa"/>
            <w:tcBorders>
              <w:bottom w:val="single" w:sz="4" w:space="0" w:color="auto"/>
            </w:tcBorders>
            <w:shd w:val="clear" w:color="auto" w:fill="auto"/>
            <w:vAlign w:val="center"/>
          </w:tcPr>
          <w:p w:rsidR="00913A0A" w:rsidRPr="00600C32" w:rsidRDefault="00C70EF2" w:rsidP="003D4F46">
            <w:pPr>
              <w:pStyle w:val="TableText"/>
              <w:widowControl w:val="0"/>
              <w:rPr>
                <w:rStyle w:val="EndnoteReference"/>
                <w:rFonts w:cs="Tahoma"/>
                <w:b w:val="0"/>
                <w:color w:val="0000FF"/>
                <w:sz w:val="13"/>
                <w:szCs w:val="13"/>
                <w:u w:val="single"/>
              </w:rPr>
            </w:pPr>
            <w:hyperlink w:anchor="_38_Business_Intelligence" w:history="1">
              <w:r w:rsidR="00CF5A3E" w:rsidRPr="00600C32">
                <w:rPr>
                  <w:rStyle w:val="Hyperlink"/>
                  <w:rFonts w:cs="Tahoma"/>
                  <w:b/>
                  <w:sz w:val="13"/>
                  <w:szCs w:val="13"/>
                </w:rPr>
                <w:t>38</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313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250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125</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D93CA3" w:rsidP="001A63C6">
            <w:pPr>
              <w:pStyle w:val="TableText"/>
              <w:widowControl w:val="0"/>
              <w:rPr>
                <w:rFonts w:ascii="Tahoma" w:hAnsi="Tahoma" w:cs="Tahoma"/>
                <w:color w:val="000000"/>
                <w:sz w:val="13"/>
              </w:rPr>
            </w:pPr>
            <w:r w:rsidRPr="004B208C">
              <w:rPr>
                <w:rFonts w:ascii="Tahoma" w:hAnsi="Tahoma" w:cs="Tahoma"/>
                <w:color w:val="000000"/>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162" w:name="_Toc336337926"/>
            <w:bookmarkStart w:id="163" w:name="_Toc370981063"/>
            <w:r w:rsidRPr="004B208C">
              <w:rPr>
                <w:rFonts w:ascii="Tahoma" w:hAnsi="Tahoma" w:cs="Tahoma"/>
                <w:sz w:val="14"/>
              </w:rPr>
              <w:t>Bridge do Pacote de CALs Principais para Office 365 (Usuário e Dispositivo)</w:t>
            </w:r>
            <w:bookmarkEnd w:id="162"/>
            <w:bookmarkEnd w:id="163"/>
          </w:p>
        </w:tc>
        <w:tc>
          <w:tcPr>
            <w:tcW w:w="449" w:type="dxa"/>
            <w:tcBorders>
              <w:bottom w:val="single" w:sz="4" w:space="0" w:color="auto"/>
            </w:tcBorders>
            <w:shd w:val="clear" w:color="auto" w:fill="FABF8F"/>
            <w:vAlign w:val="center"/>
          </w:tcPr>
          <w:p w:rsidR="00913A0A" w:rsidRPr="00600C32" w:rsidRDefault="00C70EF2" w:rsidP="003D4F46">
            <w:pPr>
              <w:pStyle w:val="TableText"/>
              <w:widowControl w:val="0"/>
              <w:rPr>
                <w:rFonts w:cs="Tahoma"/>
                <w:b/>
                <w:color w:val="0000FF"/>
                <w:sz w:val="13"/>
                <w:szCs w:val="13"/>
                <w:u w:val="single"/>
              </w:rPr>
            </w:pPr>
            <w:hyperlink w:anchor="_39_Core_CAL" w:history="1">
              <w:r w:rsidR="00CF5A3E" w:rsidRPr="00600C32">
                <w:rPr>
                  <w:rStyle w:val="Hyperlink"/>
                  <w:rFonts w:cs="Tahoma"/>
                  <w:b/>
                  <w:sz w:val="13"/>
                  <w:szCs w:val="13"/>
                </w:rPr>
                <w:t>39</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w:t>
            </w: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164" w:name="_Toc336337927"/>
            <w:bookmarkStart w:id="165" w:name="_Toc370981064"/>
            <w:r w:rsidRPr="004B208C">
              <w:rPr>
                <w:rFonts w:ascii="Tahoma" w:hAnsi="Tahoma" w:cs="Tahoma"/>
                <w:sz w:val="14"/>
              </w:rPr>
              <w:t>Bridge do Pacote de CALs Principais para Office 365 e Windows</w:t>
            </w:r>
            <w:r w:rsidR="00172F11" w:rsidRPr="00172F11">
              <w:rPr>
                <w:rFonts w:ascii="Tahoma" w:hAnsi="Tahoma" w:cs="Tahoma"/>
                <w:sz w:val="14"/>
                <w:vertAlign w:val="superscript"/>
              </w:rPr>
              <w:t>®</w:t>
            </w:r>
            <w:r w:rsidRPr="004B208C">
              <w:rPr>
                <w:rFonts w:ascii="Tahoma" w:hAnsi="Tahoma" w:cs="Tahoma"/>
                <w:sz w:val="14"/>
              </w:rPr>
              <w:t xml:space="preserve"> Intune (Usuário e Dispositivo)</w:t>
            </w:r>
            <w:bookmarkEnd w:id="164"/>
            <w:bookmarkEnd w:id="165"/>
          </w:p>
        </w:tc>
        <w:tc>
          <w:tcPr>
            <w:tcW w:w="449" w:type="dxa"/>
            <w:tcBorders>
              <w:bottom w:val="single" w:sz="4" w:space="0" w:color="auto"/>
            </w:tcBorders>
            <w:shd w:val="clear" w:color="auto" w:fill="auto"/>
            <w:vAlign w:val="center"/>
          </w:tcPr>
          <w:p w:rsidR="00913A0A" w:rsidRPr="00600C32" w:rsidRDefault="00C70EF2" w:rsidP="003D4F46">
            <w:pPr>
              <w:pStyle w:val="TableText"/>
              <w:widowControl w:val="0"/>
              <w:rPr>
                <w:rFonts w:cs="Tahoma"/>
                <w:b/>
                <w:color w:val="0000FF"/>
                <w:sz w:val="13"/>
                <w:szCs w:val="13"/>
                <w:u w:val="single"/>
              </w:rPr>
            </w:pPr>
            <w:hyperlink w:anchor="_39_Core_CAL" w:history="1">
              <w:r w:rsidR="00CF5A3E" w:rsidRPr="00600C32">
                <w:rPr>
                  <w:rStyle w:val="Hyperlink"/>
                  <w:rFonts w:cs="Tahoma"/>
                  <w:b/>
                  <w:sz w:val="13"/>
                  <w:szCs w:val="13"/>
                </w:rPr>
                <w:t>39</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w:t>
            </w: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cantSplit/>
          <w:trHeight w:val="145"/>
        </w:trPr>
        <w:tc>
          <w:tcPr>
            <w:tcW w:w="2551" w:type="dxa"/>
            <w:gridSpan w:val="2"/>
            <w:tcBorders>
              <w:bottom w:val="single" w:sz="4" w:space="0" w:color="auto"/>
            </w:tcBorders>
            <w:shd w:val="clear" w:color="auto" w:fill="FABF8F"/>
            <w:vAlign w:val="center"/>
          </w:tcPr>
          <w:p w:rsidR="00913A0A" w:rsidRPr="004B208C" w:rsidRDefault="00913A0A" w:rsidP="00731EEF">
            <w:pPr>
              <w:pStyle w:val="ProductNames"/>
              <w:spacing w:beforeLines="20" w:before="48" w:afterLines="20" w:after="48"/>
              <w:rPr>
                <w:rFonts w:ascii="Tahoma" w:hAnsi="Tahoma" w:cs="Tahoma"/>
                <w:sz w:val="14"/>
              </w:rPr>
            </w:pPr>
            <w:bookmarkStart w:id="166" w:name="_Toc336337928"/>
            <w:bookmarkStart w:id="167" w:name="_Toc370981065"/>
            <w:r w:rsidRPr="004B208C">
              <w:rPr>
                <w:rFonts w:ascii="Tahoma" w:hAnsi="Tahoma" w:cs="Tahoma"/>
                <w:sz w:val="14"/>
              </w:rPr>
              <w:t>Bridge do Pacote de CALs Principais para Windows</w:t>
            </w:r>
            <w:r w:rsidR="00172F11" w:rsidRPr="00172F11">
              <w:rPr>
                <w:rFonts w:ascii="Tahoma" w:hAnsi="Tahoma" w:cs="Tahoma"/>
                <w:sz w:val="14"/>
                <w:vertAlign w:val="superscript"/>
              </w:rPr>
              <w:t>®</w:t>
            </w:r>
            <w:r w:rsidRPr="004B208C">
              <w:rPr>
                <w:rFonts w:ascii="Tahoma" w:hAnsi="Tahoma" w:cs="Tahoma"/>
                <w:sz w:val="14"/>
              </w:rPr>
              <w:t xml:space="preserve"> Intune (Usuário</w:t>
            </w:r>
            <w:r w:rsidR="00731EEF">
              <w:rPr>
                <w:rFonts w:ascii="Tahoma" w:hAnsi="Tahoma" w:cs="Tahoma"/>
                <w:sz w:val="14"/>
              </w:rPr>
              <w:t> </w:t>
            </w:r>
            <w:r w:rsidRPr="004B208C">
              <w:rPr>
                <w:rFonts w:ascii="Tahoma" w:hAnsi="Tahoma" w:cs="Tahoma"/>
                <w:sz w:val="14"/>
              </w:rPr>
              <w:t>e</w:t>
            </w:r>
            <w:r w:rsidR="00731EEF">
              <w:rPr>
                <w:rFonts w:ascii="Tahoma" w:hAnsi="Tahoma" w:cs="Tahoma"/>
                <w:sz w:val="14"/>
              </w:rPr>
              <w:t> </w:t>
            </w:r>
            <w:r w:rsidRPr="004B208C">
              <w:rPr>
                <w:rFonts w:ascii="Tahoma" w:hAnsi="Tahoma" w:cs="Tahoma"/>
                <w:sz w:val="14"/>
              </w:rPr>
              <w:t>Dispositivo)</w:t>
            </w:r>
            <w:bookmarkEnd w:id="166"/>
            <w:bookmarkEnd w:id="167"/>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color w:val="0000FF"/>
                <w:sz w:val="13"/>
                <w:szCs w:val="13"/>
                <w:u w:val="single"/>
              </w:rPr>
            </w:pPr>
            <w:hyperlink w:anchor="_39_Core_CAL" w:history="1">
              <w:r w:rsidR="00CF5A3E" w:rsidRPr="00731EEF">
                <w:rPr>
                  <w:rStyle w:val="Hyperlink"/>
                  <w:rFonts w:cs="Tahoma"/>
                  <w:b/>
                  <w:sz w:val="13"/>
                  <w:szCs w:val="13"/>
                </w:rPr>
                <w:t>39</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168" w:name="_Toc336337929"/>
            <w:bookmarkStart w:id="169" w:name="_Toc370981066"/>
            <w:r w:rsidRPr="004B208C">
              <w:rPr>
                <w:rFonts w:ascii="Tahoma" w:hAnsi="Tahoma" w:cs="Tahoma"/>
                <w:sz w:val="14"/>
              </w:rPr>
              <w:t>Core CAL Suite (Usuário e Dispositivo)</w:t>
            </w:r>
            <w:bookmarkEnd w:id="168"/>
            <w:bookmarkEnd w:id="169"/>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Style w:val="EndnoteReference"/>
                <w:rFonts w:cs="Tahoma"/>
                <w:color w:val="0000FF"/>
                <w:sz w:val="13"/>
                <w:szCs w:val="13"/>
                <w:u w:val="single"/>
              </w:rPr>
            </w:pPr>
            <w:hyperlink w:anchor="_40_Core_CAL" w:history="1">
              <w:r w:rsidR="00CF5A3E" w:rsidRPr="00731EEF">
                <w:rPr>
                  <w:rStyle w:val="Hyperlink"/>
                  <w:rFonts w:cs="Tahoma"/>
                  <w:b/>
                  <w:sz w:val="13"/>
                  <w:szCs w:val="13"/>
                </w:rPr>
                <w:t>40</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 P</w:t>
            </w: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E</w:t>
            </w:r>
            <w:r w:rsidRPr="004B208C">
              <w:rPr>
                <w:rFonts w:ascii="Tahoma" w:hAnsi="Tahoma" w:cs="Tahoma"/>
                <w:sz w:val="13"/>
              </w:rPr>
              <w:t>,ST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170" w:name="_Toc336337930"/>
            <w:bookmarkStart w:id="171" w:name="_Toc370981067"/>
            <w:r w:rsidRPr="004B208C">
              <w:rPr>
                <w:rFonts w:ascii="Tahoma" w:hAnsi="Tahoma" w:cs="Tahoma"/>
                <w:sz w:val="14"/>
              </w:rPr>
              <w:t>Core Infrastructure Server Suite Standard</w:t>
            </w:r>
            <w:bookmarkEnd w:id="170"/>
            <w:bookmarkEnd w:id="171"/>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Style w:val="EndnoteReference"/>
                <w:rFonts w:cs="Tahoma"/>
                <w:color w:val="0000FF"/>
                <w:sz w:val="13"/>
                <w:szCs w:val="13"/>
                <w:u w:val="single"/>
              </w:rPr>
            </w:pPr>
            <w:hyperlink w:anchor="_41_Core_Infrastructure" w:history="1">
              <w:r w:rsidR="00CF5A3E" w:rsidRPr="00731EEF">
                <w:rPr>
                  <w:rStyle w:val="Hyperlink"/>
                  <w:rFonts w:cs="Tahoma"/>
                  <w:b/>
                  <w:sz w:val="13"/>
                  <w:szCs w:val="13"/>
                </w:rPr>
                <w:t>41</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63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50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C</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172" w:name="_Toc336337931"/>
            <w:bookmarkStart w:id="173" w:name="_Toc370981068"/>
            <w:r w:rsidRPr="004B208C">
              <w:rPr>
                <w:rFonts w:ascii="Tahoma" w:hAnsi="Tahoma" w:cs="Tahoma"/>
                <w:sz w:val="14"/>
              </w:rPr>
              <w:t>Core Infrastructure Server Suite Enterprise</w:t>
            </w:r>
            <w:bookmarkEnd w:id="172"/>
            <w:bookmarkEnd w:id="173"/>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Style w:val="EndnoteReference"/>
                <w:rFonts w:cs="Tahoma"/>
                <w:color w:val="0000FF"/>
                <w:sz w:val="13"/>
                <w:szCs w:val="13"/>
                <w:u w:val="single"/>
              </w:rPr>
            </w:pPr>
            <w:hyperlink w:anchor="_38_Core_Infrastructure" w:history="1">
              <w:r w:rsidR="00CF5A3E" w:rsidRPr="00731EEF">
                <w:rPr>
                  <w:rStyle w:val="Hyperlink"/>
                  <w:rFonts w:cs="Tahoma"/>
                  <w:b/>
                  <w:sz w:val="13"/>
                  <w:szCs w:val="13"/>
                </w:rPr>
                <w:t>42</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174" w:name="_Toc336337932"/>
            <w:bookmarkStart w:id="175" w:name="_Toc370981069"/>
            <w:r w:rsidRPr="004B208C">
              <w:rPr>
                <w:rFonts w:ascii="Tahoma" w:hAnsi="Tahoma" w:cs="Tahoma"/>
                <w:sz w:val="14"/>
              </w:rPr>
              <w:t>Core Infrastructure Server Suite Datacenter</w:t>
            </w:r>
            <w:bookmarkEnd w:id="174"/>
            <w:bookmarkEnd w:id="175"/>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Style w:val="EndnoteReference"/>
                <w:rFonts w:cs="Tahoma"/>
                <w:color w:val="0000FF"/>
                <w:sz w:val="13"/>
                <w:szCs w:val="13"/>
                <w:u w:val="single"/>
              </w:rPr>
            </w:pPr>
            <w:hyperlink w:anchor="_39_Core_Infrastructure" w:history="1">
              <w:r w:rsidR="00CF5A3E" w:rsidRPr="00731EEF">
                <w:rPr>
                  <w:rStyle w:val="Hyperlink"/>
                  <w:rFonts w:cs="Tahoma"/>
                  <w:b/>
                  <w:sz w:val="13"/>
                  <w:szCs w:val="13"/>
                </w:rPr>
                <w:t>43</w:t>
              </w:r>
            </w:hyperlink>
            <w:hyperlink w:anchor="_39_Core_Infrastructure" w:history="1"/>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188</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150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lang w:eastAsia="ja-JP"/>
              </w:rPr>
            </w:pPr>
            <w:r w:rsidRPr="004B208C">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75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lang w:eastAsia="ja-JP"/>
              </w:rPr>
            </w:pPr>
            <w:r w:rsidRPr="004B208C">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lang w:eastAsia="ja-JP"/>
              </w:rPr>
            </w:pPr>
            <w:r w:rsidRPr="004B208C">
              <w:rPr>
                <w:rFonts w:ascii="Tahoma" w:hAnsi="Tahoma" w:cs="Tahoma"/>
                <w:sz w:val="13"/>
                <w:szCs w:val="13"/>
              </w:rPr>
              <w:t>75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lang w:eastAsia="ja-JP"/>
              </w:rPr>
            </w:pPr>
            <w:r w:rsidRPr="004B208C">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lang w:eastAsia="ja-JP"/>
              </w:rPr>
            </w:pPr>
            <w:r w:rsidRPr="004B208C">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lang w:eastAsia="ja-JP"/>
              </w:rPr>
            </w:pPr>
            <w:r w:rsidRPr="004B208C">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C</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color w:val="000000"/>
                <w:sz w:val="14"/>
                <w:szCs w:val="18"/>
              </w:rPr>
            </w:pPr>
            <w:bookmarkStart w:id="176" w:name="_Toc370981070"/>
            <w:r w:rsidRPr="004B208C">
              <w:rPr>
                <w:rFonts w:ascii="Tahoma" w:hAnsi="Tahoma" w:cs="Tahoma"/>
                <w:color w:val="000000"/>
                <w:sz w:val="14"/>
                <w:szCs w:val="18"/>
              </w:rPr>
              <w:t>Duet Enterprise 2.0</w:t>
            </w:r>
            <w:bookmarkEnd w:id="176"/>
          </w:p>
        </w:tc>
        <w:tc>
          <w:tcPr>
            <w:tcW w:w="449" w:type="dxa"/>
            <w:tcBorders>
              <w:bottom w:val="single" w:sz="4" w:space="0" w:color="auto"/>
            </w:tcBorders>
            <w:shd w:val="clear" w:color="auto" w:fill="auto"/>
            <w:vAlign w:val="center"/>
          </w:tcPr>
          <w:p w:rsidR="00913A0A" w:rsidRPr="00731EEF" w:rsidDel="00132E08" w:rsidRDefault="00C70EF2" w:rsidP="003D4F46">
            <w:pPr>
              <w:pStyle w:val="TableText"/>
              <w:widowControl w:val="0"/>
              <w:rPr>
                <w:rFonts w:cs="Tahoma"/>
                <w:b/>
                <w:sz w:val="13"/>
                <w:szCs w:val="13"/>
              </w:rPr>
            </w:pPr>
            <w:hyperlink w:anchor="_44_Duet_Enterprise" w:history="1">
              <w:r w:rsidR="00CF5A3E" w:rsidRPr="00731EEF">
                <w:rPr>
                  <w:rStyle w:val="Hyperlink"/>
                  <w:rFonts w:cs="Tahoma"/>
                  <w:b/>
                  <w:sz w:val="13"/>
                  <w:szCs w:val="13"/>
                </w:rPr>
                <w:t>44</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177" w:name="_Toc336337942"/>
            <w:bookmarkStart w:id="178" w:name="_Toc370981071"/>
            <w:r w:rsidRPr="004B208C">
              <w:rPr>
                <w:rFonts w:ascii="Tahoma" w:hAnsi="Tahoma" w:cs="Tahoma"/>
                <w:sz w:val="14"/>
              </w:rPr>
              <w:t>Bridge do Pacote de CALs Empresariais para Office 365 (Usuário e Dispositivo)</w:t>
            </w:r>
            <w:bookmarkEnd w:id="177"/>
            <w:bookmarkEnd w:id="178"/>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color w:val="0000FF"/>
                <w:sz w:val="13"/>
                <w:szCs w:val="13"/>
                <w:u w:val="single"/>
              </w:rPr>
            </w:pPr>
            <w:hyperlink w:anchor="_46_Enterprise_CAL" w:history="1">
              <w:r w:rsidR="00CF5A3E" w:rsidRPr="00731EEF">
                <w:rPr>
                  <w:rStyle w:val="Hyperlink"/>
                  <w:rFonts w:cs="Tahoma"/>
                  <w:b/>
                  <w:sz w:val="13"/>
                  <w:szCs w:val="13"/>
                </w:rPr>
                <w:t>45</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4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35" w:type="dxa"/>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65" w:type="dxa"/>
            <w:gridSpan w:val="3"/>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365"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179" w:name="_Toc336337943"/>
            <w:bookmarkStart w:id="180" w:name="_Toc370981072"/>
            <w:r w:rsidRPr="004B208C">
              <w:rPr>
                <w:rFonts w:ascii="Tahoma" w:hAnsi="Tahoma" w:cs="Tahoma"/>
                <w:sz w:val="14"/>
              </w:rPr>
              <w:t>Bridge do Pacote de CALs Empresariais para Office 365 e Windows</w:t>
            </w:r>
            <w:r w:rsidR="00172F11" w:rsidRPr="00172F11">
              <w:rPr>
                <w:rFonts w:ascii="Tahoma" w:hAnsi="Tahoma" w:cs="Tahoma"/>
                <w:sz w:val="14"/>
                <w:vertAlign w:val="superscript"/>
              </w:rPr>
              <w:t>®</w:t>
            </w:r>
            <w:r w:rsidRPr="004B208C">
              <w:rPr>
                <w:rFonts w:ascii="Tahoma" w:hAnsi="Tahoma" w:cs="Tahoma"/>
                <w:sz w:val="14"/>
              </w:rPr>
              <w:t xml:space="preserve"> Intune (Usuário e Dispositivo)</w:t>
            </w:r>
            <w:bookmarkEnd w:id="179"/>
            <w:bookmarkEnd w:id="180"/>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Fonts w:cs="Tahoma"/>
                <w:b/>
                <w:color w:val="0000FF"/>
                <w:sz w:val="13"/>
                <w:szCs w:val="13"/>
                <w:u w:val="single"/>
              </w:rPr>
            </w:pPr>
            <w:hyperlink w:anchor="_46_Enterprise_CAL" w:history="1">
              <w:r w:rsidR="00CF5A3E" w:rsidRPr="00731EEF">
                <w:rPr>
                  <w:rStyle w:val="Hyperlink"/>
                  <w:rFonts w:cs="Tahoma"/>
                  <w:b/>
                  <w:sz w:val="13"/>
                  <w:szCs w:val="13"/>
                </w:rPr>
                <w:t>45</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4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35" w:type="dxa"/>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65" w:type="dxa"/>
            <w:gridSpan w:val="3"/>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365"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78"/>
        </w:trPr>
        <w:tc>
          <w:tcPr>
            <w:tcW w:w="2551" w:type="dxa"/>
            <w:gridSpan w:val="2"/>
            <w:tcBorders>
              <w:bottom w:val="single" w:sz="4" w:space="0" w:color="auto"/>
            </w:tcBorders>
            <w:shd w:val="clear" w:color="auto" w:fill="FABF8F"/>
            <w:vAlign w:val="center"/>
          </w:tcPr>
          <w:p w:rsidR="00913A0A" w:rsidRPr="004B208C" w:rsidRDefault="00913A0A" w:rsidP="00731EEF">
            <w:pPr>
              <w:pStyle w:val="ProductNames"/>
              <w:spacing w:beforeLines="20" w:before="48" w:afterLines="20" w:after="48"/>
              <w:rPr>
                <w:rFonts w:ascii="Tahoma" w:hAnsi="Tahoma" w:cs="Tahoma"/>
                <w:sz w:val="14"/>
              </w:rPr>
            </w:pPr>
            <w:bookmarkStart w:id="181" w:name="_Toc336337944"/>
            <w:bookmarkStart w:id="182" w:name="_Toc370981073"/>
            <w:r w:rsidRPr="004B208C">
              <w:rPr>
                <w:rFonts w:ascii="Tahoma" w:hAnsi="Tahoma" w:cs="Tahoma"/>
                <w:sz w:val="14"/>
              </w:rPr>
              <w:t>Bridge do Pacote de CALs Empresariais para Windows</w:t>
            </w:r>
            <w:r w:rsidR="00172F11" w:rsidRPr="00172F11">
              <w:rPr>
                <w:rFonts w:ascii="Tahoma" w:hAnsi="Tahoma" w:cs="Tahoma"/>
                <w:sz w:val="14"/>
                <w:vertAlign w:val="superscript"/>
              </w:rPr>
              <w:t>®</w:t>
            </w:r>
            <w:r w:rsidRPr="004B208C">
              <w:rPr>
                <w:rFonts w:ascii="Tahoma" w:hAnsi="Tahoma" w:cs="Tahoma"/>
                <w:sz w:val="14"/>
              </w:rPr>
              <w:t xml:space="preserve"> Intune (Usuário e</w:t>
            </w:r>
            <w:r w:rsidR="00731EEF">
              <w:rPr>
                <w:rFonts w:ascii="Tahoma" w:hAnsi="Tahoma" w:cs="Tahoma"/>
                <w:sz w:val="14"/>
              </w:rPr>
              <w:t> </w:t>
            </w:r>
            <w:r w:rsidRPr="004B208C">
              <w:rPr>
                <w:rFonts w:ascii="Tahoma" w:hAnsi="Tahoma" w:cs="Tahoma"/>
                <w:sz w:val="14"/>
              </w:rPr>
              <w:t>Dispositivo)</w:t>
            </w:r>
            <w:bookmarkEnd w:id="181"/>
            <w:bookmarkEnd w:id="182"/>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color w:val="0000FF"/>
                <w:sz w:val="13"/>
                <w:szCs w:val="13"/>
                <w:u w:val="single"/>
              </w:rPr>
            </w:pPr>
            <w:hyperlink w:anchor="_46_Enterprise_CAL" w:history="1">
              <w:r w:rsidR="00CF5A3E" w:rsidRPr="00731EEF">
                <w:rPr>
                  <w:rStyle w:val="Hyperlink"/>
                  <w:rFonts w:cs="Tahoma"/>
                  <w:b/>
                  <w:sz w:val="13"/>
                  <w:szCs w:val="13"/>
                </w:rPr>
                <w:t>45</w:t>
              </w:r>
            </w:hyperlink>
            <w:hyperlink w:anchor="Srv_45EntCALBridgeWinIntune" w:history="1"/>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40"/>
              <w:rPr>
                <w:rFonts w:ascii="Tahoma" w:hAnsi="Tahoma" w:cs="Tahoma"/>
                <w:sz w:val="13"/>
              </w:rPr>
            </w:pPr>
            <w:r w:rsidRPr="004B208C">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183" w:name="_Toc336337945"/>
            <w:bookmarkStart w:id="184" w:name="_Toc370981074"/>
            <w:r w:rsidRPr="004B208C">
              <w:rPr>
                <w:rFonts w:ascii="Tahoma" w:hAnsi="Tahoma" w:cs="Tahoma"/>
                <w:sz w:val="14"/>
              </w:rPr>
              <w:lastRenderedPageBreak/>
              <w:t xml:space="preserve">Pacote de CALs Empresariais </w:t>
            </w:r>
            <w:r w:rsidR="00731EEF">
              <w:rPr>
                <w:rFonts w:ascii="Tahoma" w:hAnsi="Tahoma" w:cs="Tahoma"/>
                <w:sz w:val="14"/>
              </w:rPr>
              <w:br/>
            </w:r>
            <w:r w:rsidRPr="004B208C">
              <w:rPr>
                <w:rFonts w:ascii="Tahoma" w:hAnsi="Tahoma" w:cs="Tahoma"/>
                <w:sz w:val="14"/>
              </w:rPr>
              <w:t>(Usuário e Dispositivo)</w:t>
            </w:r>
            <w:bookmarkEnd w:id="183"/>
            <w:bookmarkEnd w:id="184"/>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Style w:val="EndnoteReference"/>
                <w:rFonts w:cs="Tahoma"/>
                <w:color w:val="0000FF"/>
                <w:position w:val="-11"/>
                <w:sz w:val="13"/>
                <w:szCs w:val="13"/>
                <w:u w:val="single"/>
              </w:rPr>
            </w:pPr>
            <w:hyperlink w:anchor="_47_Enterprise_CAL" w:history="1">
              <w:r w:rsidR="00CF5A3E" w:rsidRPr="00731EEF">
                <w:rPr>
                  <w:rStyle w:val="Hyperlink"/>
                  <w:rFonts w:cs="Tahoma"/>
                  <w:b/>
                  <w:sz w:val="13"/>
                  <w:szCs w:val="13"/>
                </w:rPr>
                <w:t>46</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40"/>
              <w:rPr>
                <w:rFonts w:ascii="Tahoma" w:hAnsi="Tahoma" w:cs="Tahoma"/>
                <w:sz w:val="13"/>
              </w:rPr>
            </w:pPr>
            <w:r w:rsidRPr="004B208C">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bCs/>
                <w:color w:val="000000"/>
                <w:sz w:val="13"/>
              </w:rPr>
              <w:t>13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bCs/>
                <w:color w:val="000000"/>
                <w:sz w:val="13"/>
              </w:rPr>
              <w:t>10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bCs/>
                <w:color w:val="000000"/>
                <w:sz w:val="13"/>
              </w:rPr>
              <w:t>5</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 P</w:t>
            </w: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731EEF">
            <w:pPr>
              <w:pStyle w:val="ProductNames"/>
              <w:rPr>
                <w:rFonts w:ascii="Tahoma" w:hAnsi="Tahoma" w:cs="Tahoma"/>
                <w:sz w:val="14"/>
              </w:rPr>
            </w:pPr>
            <w:bookmarkStart w:id="185" w:name="_Toc370981075"/>
            <w:r w:rsidRPr="004B208C">
              <w:rPr>
                <w:rFonts w:ascii="Tahoma" w:hAnsi="Tahoma" w:cs="Tahoma"/>
                <w:sz w:val="14"/>
              </w:rPr>
              <w:t>CAL Empresarial do Exchange com</w:t>
            </w:r>
            <w:r w:rsidR="00731EEF">
              <w:rPr>
                <w:rFonts w:ascii="Tahoma" w:hAnsi="Tahoma" w:cs="Tahoma"/>
                <w:sz w:val="14"/>
              </w:rPr>
              <w:t> </w:t>
            </w:r>
            <w:r w:rsidRPr="004B208C">
              <w:rPr>
                <w:rFonts w:ascii="Tahoma" w:hAnsi="Tahoma" w:cs="Tahoma"/>
                <w:sz w:val="14"/>
              </w:rPr>
              <w:t>Serviços 2013</w:t>
            </w:r>
            <w:bookmarkEnd w:id="185"/>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sz w:val="13"/>
                <w:szCs w:val="13"/>
                <w:u w:val="single"/>
              </w:rPr>
            </w:pPr>
            <w:hyperlink w:anchor="_48_Exchange_Enterprise" w:history="1">
              <w:r w:rsidR="00CF5A3E" w:rsidRPr="00731EEF">
                <w:rPr>
                  <w:rStyle w:val="Hyperlink"/>
                  <w:rFonts w:cs="Tahoma"/>
                  <w:b/>
                  <w:sz w:val="13"/>
                  <w:szCs w:val="13"/>
                </w:rPr>
                <w:t>47</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40"/>
              <w:rPr>
                <w:rFonts w:ascii="Tahoma" w:hAnsi="Tahoma" w:cs="Tahoma"/>
                <w:sz w:val="13"/>
              </w:rPr>
            </w:pPr>
            <w:r w:rsidRPr="004B208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r w:rsidRPr="004B208C">
              <w:rPr>
                <w:rFonts w:ascii="Tahoma" w:hAnsi="Tahoma" w:cs="Tahoma"/>
                <w:bCs/>
                <w:color w:val="000000"/>
                <w:sz w:val="13"/>
              </w:rPr>
              <w:t>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r w:rsidRPr="004B208C">
              <w:rPr>
                <w:rFonts w:ascii="Tahoma" w:hAnsi="Tahoma" w:cs="Tahoma"/>
                <w:bCs/>
                <w:color w:val="000000"/>
                <w:sz w:val="13"/>
              </w:rPr>
              <w:t>2</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r w:rsidRPr="004B208C">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r w:rsidRPr="004B208C">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bCs/>
                <w:color w:val="000000"/>
                <w:sz w:val="13"/>
              </w:rPr>
            </w:pPr>
            <w:r w:rsidRPr="004B208C">
              <w:rPr>
                <w:rFonts w:ascii="Tahoma" w:hAnsi="Tahoma" w:cs="Tahoma"/>
                <w:bCs/>
                <w:color w:val="000000"/>
                <w:sz w:val="13"/>
              </w:rPr>
              <w:t>1</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731EEF">
            <w:pPr>
              <w:pStyle w:val="Heading2"/>
              <w:ind w:left="0"/>
              <w:rPr>
                <w:rFonts w:ascii="Tahoma" w:hAnsi="Tahoma" w:cs="Tahoma"/>
                <w:b w:val="0"/>
                <w:sz w:val="14"/>
              </w:rPr>
            </w:pPr>
            <w:bookmarkStart w:id="186" w:name="_Toc370981076"/>
            <w:r w:rsidRPr="004B208C">
              <w:rPr>
                <w:rFonts w:ascii="Tahoma" w:hAnsi="Tahoma" w:cs="Tahoma"/>
                <w:b w:val="0"/>
                <w:sz w:val="14"/>
              </w:rPr>
              <w:t>CAL Empresarial do Exchange sem</w:t>
            </w:r>
            <w:r w:rsidR="00731EEF">
              <w:rPr>
                <w:rFonts w:ascii="Tahoma" w:hAnsi="Tahoma" w:cs="Tahoma"/>
                <w:b w:val="0"/>
                <w:sz w:val="14"/>
              </w:rPr>
              <w:t> </w:t>
            </w:r>
            <w:r w:rsidRPr="004B208C">
              <w:rPr>
                <w:rFonts w:ascii="Tahoma" w:hAnsi="Tahoma" w:cs="Tahoma"/>
                <w:b w:val="0"/>
                <w:sz w:val="14"/>
              </w:rPr>
              <w:t>Serviços 2013</w:t>
            </w:r>
            <w:bookmarkEnd w:id="186"/>
          </w:p>
        </w:tc>
        <w:tc>
          <w:tcPr>
            <w:tcW w:w="449" w:type="dxa"/>
            <w:tcBorders>
              <w:bottom w:val="single" w:sz="4" w:space="0" w:color="auto"/>
            </w:tcBorders>
            <w:shd w:val="clear" w:color="auto" w:fill="auto"/>
            <w:vAlign w:val="center"/>
          </w:tcPr>
          <w:p w:rsidR="00913A0A" w:rsidRPr="00731EEF" w:rsidRDefault="00913A0A"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Heading2"/>
              <w:ind w:left="0"/>
              <w:rPr>
                <w:rFonts w:ascii="Tahoma" w:hAnsi="Tahoma" w:cs="Tahoma"/>
                <w:b w:val="0"/>
                <w:sz w:val="14"/>
              </w:rPr>
            </w:pPr>
            <w:bookmarkStart w:id="187" w:name="_Toc336337946"/>
            <w:bookmarkStart w:id="188" w:name="_Toc370981077"/>
            <w:r w:rsidRPr="004B208C">
              <w:rPr>
                <w:rFonts w:ascii="Tahoma" w:hAnsi="Tahoma" w:cs="Tahoma"/>
                <w:b w:val="0"/>
                <w:sz w:val="14"/>
              </w:rPr>
              <w:t>Exchange Online Archiving</w:t>
            </w:r>
            <w:bookmarkEnd w:id="187"/>
            <w:r w:rsidRPr="004B208C">
              <w:rPr>
                <w:rFonts w:ascii="Tahoma" w:hAnsi="Tahoma" w:cs="Tahoma"/>
                <w:b w:val="0"/>
                <w:sz w:val="14"/>
              </w:rPr>
              <w:t xml:space="preserve"> para Exchange Server (SL de Usuário)</w:t>
            </w:r>
            <w:bookmarkEnd w:id="188"/>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color w:val="0000FF"/>
                <w:sz w:val="13"/>
                <w:szCs w:val="13"/>
                <w:u w:val="single"/>
              </w:rPr>
            </w:pPr>
            <w:hyperlink w:anchor="_43_Exchange_Enterprise" w:history="1">
              <w:r w:rsidR="00CF5A3E" w:rsidRPr="00731EEF">
                <w:rPr>
                  <w:rStyle w:val="Hyperlink"/>
                  <w:rFonts w:cs="Tahoma"/>
                  <w:b/>
                  <w:sz w:val="13"/>
                  <w:szCs w:val="13"/>
                </w:rPr>
                <w:t>48</w:t>
              </w:r>
            </w:hyperlink>
          </w:p>
        </w:tc>
        <w:tc>
          <w:tcPr>
            <w:tcW w:w="449" w:type="dxa"/>
            <w:tcBorders>
              <w:bottom w:val="single" w:sz="4" w:space="0" w:color="auto"/>
            </w:tcBorders>
            <w:shd w:val="clear" w:color="auto" w:fill="FABF8F"/>
            <w:vAlign w:val="center"/>
          </w:tcPr>
          <w:p w:rsidR="00913A0A" w:rsidRPr="004B208C" w:rsidDel="00876599" w:rsidRDefault="00913A0A" w:rsidP="001A63C6">
            <w:pPr>
              <w:pStyle w:val="TableText"/>
              <w:widowControl w:val="0"/>
              <w:spacing w:before="8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916AA6"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D66F68">
            <w:pPr>
              <w:pStyle w:val="Heading3"/>
              <w:rPr>
                <w:rFonts w:ascii="Tahoma" w:hAnsi="Tahoma" w:cs="Tahoma"/>
                <w:b w:val="0"/>
              </w:rPr>
            </w:pPr>
            <w:bookmarkStart w:id="189" w:name="_Toc336337947"/>
            <w:bookmarkStart w:id="190" w:name="_Toc370981078"/>
            <w:r w:rsidRPr="004B208C">
              <w:rPr>
                <w:rFonts w:ascii="Tahoma" w:hAnsi="Tahoma" w:cs="Tahoma"/>
                <w:b w:val="0"/>
                <w:sz w:val="14"/>
              </w:rPr>
              <w:t>Servidor A (SL de Usuário)</w:t>
            </w:r>
            <w:bookmarkEnd w:id="189"/>
            <w:bookmarkEnd w:id="190"/>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Fonts w:cs="Tahoma"/>
                <w:b/>
                <w:color w:val="000000"/>
                <w:sz w:val="13"/>
                <w:szCs w:val="13"/>
                <w:u w:val="single"/>
              </w:rPr>
            </w:pPr>
            <w:hyperlink w:anchor="_47__Exchange" w:history="1">
              <w:r w:rsidR="00CF5A3E" w:rsidRPr="00731EEF">
                <w:rPr>
                  <w:rStyle w:val="Hyperlink"/>
                  <w:rFonts w:cs="Tahoma"/>
                  <w:b/>
                  <w:sz w:val="13"/>
                  <w:szCs w:val="13"/>
                </w:rPr>
                <w:t>49</w:t>
              </w:r>
            </w:hyperlink>
            <w:hyperlink w:anchor="_47__Exchange" w:history="1"/>
          </w:p>
        </w:tc>
        <w:tc>
          <w:tcPr>
            <w:tcW w:w="449" w:type="dxa"/>
            <w:tcBorders>
              <w:bottom w:val="single" w:sz="4" w:space="0" w:color="auto"/>
            </w:tcBorders>
            <w:shd w:val="clear" w:color="auto" w:fill="auto"/>
            <w:vAlign w:val="center"/>
          </w:tcPr>
          <w:p w:rsidR="00913A0A" w:rsidRPr="004B208C" w:rsidRDefault="00913A0A" w:rsidP="007E466C">
            <w:pPr>
              <w:pStyle w:val="TableText"/>
              <w:widowControl w:val="0"/>
              <w:rPr>
                <w:rFonts w:ascii="Tahoma" w:hAnsi="Tahoma" w:cs="Tahoma"/>
                <w:sz w:val="13"/>
              </w:rPr>
            </w:pPr>
            <w:r w:rsidRPr="004B208C">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320" w:type="dxa"/>
            <w:tcBorders>
              <w:left w:val="single" w:sz="18" w:space="0" w:color="auto"/>
              <w:bottom w:val="single" w:sz="4" w:space="0" w:color="auto"/>
              <w:right w:val="single" w:sz="4"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371" w:type="dxa"/>
            <w:gridSpan w:val="2"/>
            <w:tcBorders>
              <w:left w:val="single" w:sz="4" w:space="0" w:color="auto"/>
              <w:bottom w:val="single" w:sz="4" w:space="0" w:color="auto"/>
              <w:right w:val="single" w:sz="18"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242B11">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EA31A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EA31A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7E466C">
            <w:pPr>
              <w:pStyle w:val="TableText"/>
              <w:widowControl w:val="0"/>
              <w:rPr>
                <w:rFonts w:ascii="Tahoma" w:hAnsi="Tahoma" w:cs="Tahoma"/>
                <w:sz w:val="13"/>
              </w:rPr>
            </w:pPr>
            <w:r w:rsidRPr="004B208C">
              <w:rPr>
                <w:rFonts w:ascii="Tahoma" w:hAnsi="Tahoma" w:cs="Tahoma"/>
                <w:sz w:val="13"/>
              </w:rPr>
              <w:t>A, ST (Somente EES)</w:t>
            </w:r>
          </w:p>
        </w:tc>
        <w:tc>
          <w:tcPr>
            <w:tcW w:w="504" w:type="dxa"/>
            <w:tcBorders>
              <w:bottom w:val="single" w:sz="4" w:space="0" w:color="auto"/>
            </w:tcBorders>
            <w:shd w:val="clear" w:color="auto" w:fill="auto"/>
            <w:vAlign w:val="center"/>
          </w:tcPr>
          <w:p w:rsidR="00913A0A" w:rsidRPr="004B208C" w:rsidRDefault="00913A0A" w:rsidP="00D66F68">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D66F68">
            <w:pPr>
              <w:pStyle w:val="TableText"/>
              <w:widowControl w:val="0"/>
              <w:rPr>
                <w:rFonts w:ascii="Tahoma" w:hAnsi="Tahoma" w:cs="Tahoma"/>
                <w:sz w:val="13"/>
              </w:rPr>
            </w:pPr>
          </w:p>
        </w:tc>
      </w:tr>
      <w:tr w:rsidR="00916AA6"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191" w:name="_Toc336337948"/>
            <w:bookmarkStart w:id="192" w:name="_Toc370981079"/>
            <w:r w:rsidRPr="004B208C">
              <w:rPr>
                <w:rFonts w:ascii="Tahoma" w:hAnsi="Tahoma" w:cs="Tahoma"/>
                <w:sz w:val="14"/>
              </w:rPr>
              <w:t xml:space="preserve">Exchange Hosted Archive </w:t>
            </w:r>
            <w:r w:rsidR="00731EEF">
              <w:rPr>
                <w:rFonts w:ascii="Tahoma" w:hAnsi="Tahoma" w:cs="Tahoma"/>
                <w:sz w:val="14"/>
              </w:rPr>
              <w:br/>
            </w:r>
            <w:r w:rsidRPr="004B208C">
              <w:rPr>
                <w:rFonts w:ascii="Tahoma" w:hAnsi="Tahoma" w:cs="Tahoma"/>
                <w:sz w:val="14"/>
              </w:rPr>
              <w:t>(SL de Usuário)</w:t>
            </w:r>
            <w:bookmarkEnd w:id="191"/>
            <w:bookmarkEnd w:id="192"/>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color w:val="000000"/>
                <w:sz w:val="13"/>
                <w:szCs w:val="13"/>
                <w:u w:val="single"/>
              </w:rPr>
            </w:pPr>
            <w:hyperlink w:anchor="_45_Exchange_Hosted" w:history="1">
              <w:r w:rsidR="00CF5A3E" w:rsidRPr="00731EEF">
                <w:rPr>
                  <w:rStyle w:val="Hyperlink"/>
                  <w:rFonts w:cs="Tahoma"/>
                  <w:b/>
                  <w:sz w:val="13"/>
                  <w:szCs w:val="13"/>
                </w:rPr>
                <w:t>50</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0" w:type="dxa"/>
            <w:tcBorders>
              <w:left w:val="single" w:sz="18"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gridSpan w:val="2"/>
            <w:tcBorders>
              <w:left w:val="single" w:sz="4"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916AA6"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1A63C6">
            <w:pPr>
              <w:pStyle w:val="ProductNames"/>
              <w:rPr>
                <w:rFonts w:ascii="Tahoma" w:hAnsi="Tahoma" w:cs="Tahoma"/>
                <w:sz w:val="14"/>
              </w:rPr>
            </w:pPr>
            <w:bookmarkStart w:id="193" w:name="_Toc336337949"/>
            <w:bookmarkStart w:id="194" w:name="_Toc370981080"/>
            <w:r w:rsidRPr="004B208C">
              <w:rPr>
                <w:rFonts w:ascii="Tahoma" w:hAnsi="Tahoma" w:cs="Tahoma"/>
                <w:sz w:val="14"/>
              </w:rPr>
              <w:t>Exchange Hosted Archive Extra Storage (SL de Usuário)</w:t>
            </w:r>
            <w:bookmarkEnd w:id="193"/>
            <w:bookmarkEnd w:id="194"/>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Fonts w:cs="Tahoma"/>
                <w:b/>
                <w:color w:val="000000"/>
                <w:sz w:val="13"/>
                <w:szCs w:val="13"/>
                <w:u w:val="single"/>
              </w:rPr>
            </w:pPr>
            <w:hyperlink w:anchor="_45_Exchange_Hosted" w:history="1">
              <w:r w:rsidR="00CF5A3E" w:rsidRPr="00731EEF">
                <w:rPr>
                  <w:rStyle w:val="Hyperlink"/>
                  <w:rFonts w:cs="Tahoma"/>
                  <w:b/>
                  <w:sz w:val="13"/>
                  <w:szCs w:val="13"/>
                </w:rPr>
                <w:t>50</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0" w:type="dxa"/>
            <w:tcBorders>
              <w:left w:val="single" w:sz="18"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9"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gridSpan w:val="2"/>
            <w:tcBorders>
              <w:left w:val="single" w:sz="4"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195" w:name="_Toc336337950"/>
            <w:bookmarkStart w:id="196" w:name="_Toc370981081"/>
            <w:r w:rsidRPr="004B208C">
              <w:rPr>
                <w:rFonts w:ascii="Tahoma" w:hAnsi="Tahoma" w:cs="Tahoma"/>
                <w:sz w:val="14"/>
              </w:rPr>
              <w:t xml:space="preserve">Exchange Hosted Encryption </w:t>
            </w:r>
            <w:r w:rsidR="00731EEF">
              <w:rPr>
                <w:rFonts w:ascii="Tahoma" w:hAnsi="Tahoma" w:cs="Tahoma"/>
                <w:sz w:val="14"/>
              </w:rPr>
              <w:br/>
            </w:r>
            <w:r w:rsidRPr="004B208C">
              <w:rPr>
                <w:rFonts w:ascii="Tahoma" w:hAnsi="Tahoma" w:cs="Tahoma"/>
                <w:sz w:val="14"/>
              </w:rPr>
              <w:t>(SL de Usuário)</w:t>
            </w:r>
            <w:bookmarkEnd w:id="195"/>
            <w:bookmarkEnd w:id="196"/>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Style w:val="EndnoteReference"/>
                <w:rFonts w:cs="Tahoma"/>
                <w:b w:val="0"/>
                <w:color w:val="000000"/>
                <w:position w:val="-11"/>
                <w:sz w:val="13"/>
                <w:szCs w:val="13"/>
                <w:u w:val="single"/>
              </w:rPr>
            </w:pPr>
            <w:hyperlink w:anchor="_46_Exchange_Hosted" w:history="1">
              <w:r w:rsidR="00CF5A3E" w:rsidRPr="00731EEF">
                <w:rPr>
                  <w:rStyle w:val="Hyperlink"/>
                  <w:rFonts w:cs="Tahoma"/>
                  <w:b/>
                  <w:sz w:val="13"/>
                  <w:szCs w:val="13"/>
                </w:rPr>
                <w:t>51</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D66F68">
            <w:pPr>
              <w:pStyle w:val="Heading2"/>
              <w:ind w:left="0"/>
              <w:rPr>
                <w:rFonts w:ascii="Tahoma" w:hAnsi="Tahoma" w:cs="Tahoma"/>
                <w:b w:val="0"/>
                <w:sz w:val="14"/>
              </w:rPr>
            </w:pPr>
            <w:bookmarkStart w:id="197" w:name="_Toc370981082"/>
            <w:r w:rsidRPr="004B208C">
              <w:rPr>
                <w:rFonts w:ascii="Tahoma" w:hAnsi="Tahoma" w:cs="Tahoma"/>
                <w:b w:val="0"/>
                <w:sz w:val="14"/>
              </w:rPr>
              <w:t>Exchange Online Archiving para Exchange Online A</w:t>
            </w:r>
            <w:bookmarkEnd w:id="197"/>
          </w:p>
        </w:tc>
        <w:tc>
          <w:tcPr>
            <w:tcW w:w="449" w:type="dxa"/>
            <w:tcBorders>
              <w:bottom w:val="single" w:sz="4" w:space="0" w:color="auto"/>
            </w:tcBorders>
            <w:shd w:val="clear" w:color="auto" w:fill="auto"/>
            <w:vAlign w:val="center"/>
          </w:tcPr>
          <w:p w:rsidR="00913A0A" w:rsidRPr="00731EEF" w:rsidRDefault="00913A0A" w:rsidP="001A63C6">
            <w:pPr>
              <w:pStyle w:val="TableText"/>
              <w:widowControl w:val="0"/>
              <w:rPr>
                <w:rFonts w:cs="Tahoma"/>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ST (Somente EES</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Heading2"/>
              <w:ind w:left="0"/>
              <w:rPr>
                <w:rFonts w:ascii="Tahoma" w:hAnsi="Tahoma" w:cs="Tahoma"/>
                <w:b w:val="0"/>
                <w:sz w:val="14"/>
              </w:rPr>
            </w:pPr>
            <w:bookmarkStart w:id="198" w:name="_Toc370981083"/>
            <w:r w:rsidRPr="004B208C">
              <w:rPr>
                <w:rFonts w:ascii="Tahoma" w:hAnsi="Tahoma" w:cs="Tahoma"/>
                <w:b w:val="0"/>
                <w:sz w:val="14"/>
              </w:rPr>
              <w:t>Exchange Online Archiving para Exchange Online</w:t>
            </w:r>
            <w:bookmarkEnd w:id="198"/>
          </w:p>
        </w:tc>
        <w:tc>
          <w:tcPr>
            <w:tcW w:w="449" w:type="dxa"/>
            <w:tcBorders>
              <w:bottom w:val="single" w:sz="4" w:space="0" w:color="auto"/>
            </w:tcBorders>
            <w:shd w:val="clear" w:color="auto" w:fill="FABF8F"/>
            <w:vAlign w:val="center"/>
          </w:tcPr>
          <w:p w:rsidR="00913A0A" w:rsidRPr="00731EEF" w:rsidRDefault="00913A0A" w:rsidP="001A63C6">
            <w:pPr>
              <w:pStyle w:val="TableText"/>
              <w:widowControl w:val="0"/>
              <w:rPr>
                <w:rFonts w:cs="Tahoma"/>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1A63C6">
            <w:pPr>
              <w:pStyle w:val="Heading2"/>
              <w:ind w:left="0"/>
              <w:rPr>
                <w:rFonts w:ascii="Tahoma" w:hAnsi="Tahoma" w:cs="Tahoma"/>
                <w:b w:val="0"/>
                <w:sz w:val="14"/>
              </w:rPr>
            </w:pPr>
            <w:bookmarkStart w:id="199" w:name="_Toc336337951"/>
            <w:bookmarkStart w:id="200" w:name="_Toc370981084"/>
            <w:r w:rsidRPr="004B208C">
              <w:rPr>
                <w:rFonts w:ascii="Tahoma" w:hAnsi="Tahoma" w:cs="Tahoma"/>
                <w:b w:val="0"/>
                <w:sz w:val="14"/>
              </w:rPr>
              <w:t xml:space="preserve">Quiosque do Exchange Online </w:t>
            </w:r>
            <w:r w:rsidR="00731EEF">
              <w:rPr>
                <w:rFonts w:ascii="Tahoma" w:hAnsi="Tahoma" w:cs="Tahoma"/>
                <w:b w:val="0"/>
                <w:sz w:val="14"/>
              </w:rPr>
              <w:br/>
            </w:r>
            <w:r w:rsidRPr="004B208C">
              <w:rPr>
                <w:rFonts w:ascii="Tahoma" w:hAnsi="Tahoma" w:cs="Tahoma"/>
                <w:b w:val="0"/>
                <w:sz w:val="14"/>
              </w:rPr>
              <w:t>(SL de Usuário)</w:t>
            </w:r>
            <w:bookmarkEnd w:id="199"/>
            <w:bookmarkEnd w:id="200"/>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Style w:val="EndnoteReference"/>
                <w:rFonts w:cs="Tahoma"/>
                <w:b w:val="0"/>
                <w:color w:val="000000"/>
                <w:sz w:val="13"/>
                <w:szCs w:val="13"/>
                <w:u w:val="single"/>
              </w:rPr>
            </w:pPr>
            <w:hyperlink w:anchor="_53_Exchange_Online" w:history="1">
              <w:r w:rsidR="00CF5A3E" w:rsidRPr="00731EEF">
                <w:rPr>
                  <w:rStyle w:val="Hyperlink"/>
                  <w:rFonts w:cs="Tahoma"/>
                  <w:b/>
                  <w:sz w:val="13"/>
                  <w:szCs w:val="13"/>
                </w:rPr>
                <w:t>52</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 xml:space="preserve"> </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D93CA3"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395"/>
        </w:trPr>
        <w:tc>
          <w:tcPr>
            <w:tcW w:w="2551" w:type="dxa"/>
            <w:gridSpan w:val="2"/>
            <w:tcBorders>
              <w:bottom w:val="single" w:sz="4" w:space="0" w:color="auto"/>
            </w:tcBorders>
            <w:shd w:val="clear" w:color="auto" w:fill="FABF8F"/>
            <w:vAlign w:val="center"/>
          </w:tcPr>
          <w:p w:rsidR="00913A0A" w:rsidRPr="004B208C" w:rsidRDefault="00913A0A" w:rsidP="00D66F68">
            <w:pPr>
              <w:pStyle w:val="Heading2"/>
              <w:ind w:left="0"/>
              <w:rPr>
                <w:rFonts w:ascii="Tahoma" w:hAnsi="Tahoma" w:cs="Tahoma"/>
                <w:b w:val="0"/>
                <w:sz w:val="14"/>
              </w:rPr>
            </w:pPr>
            <w:bookmarkStart w:id="201" w:name="_Toc370981085"/>
            <w:r w:rsidRPr="004B208C">
              <w:rPr>
                <w:rFonts w:ascii="Tahoma" w:hAnsi="Tahoma" w:cs="Tahoma"/>
                <w:b w:val="0"/>
                <w:sz w:val="14"/>
              </w:rPr>
              <w:t>Complemento do Exchange Online Plano 1 (SL de Usuário)</w:t>
            </w:r>
            <w:bookmarkEnd w:id="201"/>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sz w:val="13"/>
                <w:szCs w:val="13"/>
              </w:rPr>
            </w:pPr>
            <w:hyperlink w:anchor="_55Exchange_Online_Plan" w:history="1">
              <w:r w:rsidR="00CF5A3E" w:rsidRPr="00731EEF">
                <w:rPr>
                  <w:rStyle w:val="Hyperlink"/>
                  <w:rFonts w:cs="Tahoma"/>
                  <w:b/>
                  <w:sz w:val="13"/>
                  <w:szCs w:val="13"/>
                </w:rPr>
                <w:t>53</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D93CA3"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395"/>
        </w:trPr>
        <w:tc>
          <w:tcPr>
            <w:tcW w:w="2551" w:type="dxa"/>
            <w:gridSpan w:val="2"/>
            <w:tcBorders>
              <w:bottom w:val="single" w:sz="4" w:space="0" w:color="auto"/>
            </w:tcBorders>
            <w:shd w:val="clear" w:color="auto" w:fill="auto"/>
            <w:vAlign w:val="center"/>
          </w:tcPr>
          <w:p w:rsidR="00913A0A" w:rsidRPr="004B208C" w:rsidRDefault="00913A0A" w:rsidP="00D66F68">
            <w:pPr>
              <w:pStyle w:val="Heading2"/>
              <w:ind w:left="0"/>
              <w:rPr>
                <w:rFonts w:ascii="Tahoma" w:hAnsi="Tahoma" w:cs="Tahoma"/>
                <w:b w:val="0"/>
                <w:sz w:val="14"/>
              </w:rPr>
            </w:pPr>
            <w:bookmarkStart w:id="202" w:name="_Toc336337952"/>
            <w:bookmarkStart w:id="203" w:name="_Toc370981086"/>
            <w:r w:rsidRPr="004B208C">
              <w:rPr>
                <w:rFonts w:ascii="Tahoma" w:hAnsi="Tahoma" w:cs="Tahoma"/>
                <w:b w:val="0"/>
                <w:sz w:val="14"/>
              </w:rPr>
              <w:t xml:space="preserve">Exchange Online Plano 1 </w:t>
            </w:r>
            <w:r w:rsidR="00731EEF">
              <w:rPr>
                <w:rFonts w:ascii="Tahoma" w:hAnsi="Tahoma" w:cs="Tahoma"/>
                <w:b w:val="0"/>
                <w:sz w:val="14"/>
              </w:rPr>
              <w:br/>
            </w:r>
            <w:r w:rsidRPr="004B208C">
              <w:rPr>
                <w:rFonts w:ascii="Tahoma" w:hAnsi="Tahoma" w:cs="Tahoma"/>
                <w:b w:val="0"/>
                <w:sz w:val="14"/>
              </w:rPr>
              <w:t>(SL de Usuário)</w:t>
            </w:r>
            <w:bookmarkEnd w:id="202"/>
            <w:bookmarkEnd w:id="203"/>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Style w:val="EndnoteReference"/>
                <w:rFonts w:cs="Tahoma"/>
                <w:b w:val="0"/>
                <w:color w:val="0000FF"/>
                <w:sz w:val="13"/>
                <w:szCs w:val="13"/>
                <w:u w:val="single"/>
              </w:rPr>
            </w:pPr>
            <w:hyperlink w:anchor="_54_Exchange_Online" w:history="1">
              <w:r w:rsidR="00CF5A3E" w:rsidRPr="00731EEF">
                <w:rPr>
                  <w:rStyle w:val="Hyperlink"/>
                  <w:rFonts w:cs="Tahoma"/>
                  <w:b/>
                  <w:sz w:val="13"/>
                  <w:szCs w:val="13"/>
                </w:rPr>
                <w:t>53</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0956ED"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tcPr>
          <w:p w:rsidR="00913A0A" w:rsidRPr="004B208C" w:rsidRDefault="00D93CA3"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Heading2"/>
              <w:ind w:left="0"/>
              <w:rPr>
                <w:rFonts w:ascii="Tahoma" w:hAnsi="Tahoma" w:cs="Tahoma"/>
                <w:b w:val="0"/>
                <w:sz w:val="14"/>
              </w:rPr>
            </w:pPr>
            <w:bookmarkStart w:id="204" w:name="_Toc336337953"/>
            <w:bookmarkStart w:id="205" w:name="_Toc370981087"/>
            <w:r w:rsidRPr="004B208C">
              <w:rPr>
                <w:rFonts w:ascii="Tahoma" w:hAnsi="Tahoma" w:cs="Tahoma"/>
                <w:b w:val="0"/>
                <w:sz w:val="14"/>
              </w:rPr>
              <w:t xml:space="preserve">Exchange Online Plano 2 </w:t>
            </w:r>
            <w:r w:rsidR="00731EEF">
              <w:rPr>
                <w:rFonts w:ascii="Tahoma" w:hAnsi="Tahoma" w:cs="Tahoma"/>
                <w:b w:val="0"/>
                <w:sz w:val="14"/>
              </w:rPr>
              <w:br/>
            </w:r>
            <w:r w:rsidRPr="004B208C">
              <w:rPr>
                <w:rFonts w:ascii="Tahoma" w:hAnsi="Tahoma" w:cs="Tahoma"/>
                <w:b w:val="0"/>
                <w:sz w:val="14"/>
              </w:rPr>
              <w:t>(SL de Usuário)</w:t>
            </w:r>
            <w:bookmarkEnd w:id="204"/>
            <w:bookmarkEnd w:id="205"/>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Style w:val="EndnoteReference"/>
                <w:rFonts w:cs="Tahoma"/>
                <w:b w:val="0"/>
                <w:color w:val="000000"/>
                <w:sz w:val="13"/>
                <w:szCs w:val="13"/>
                <w:u w:val="single"/>
              </w:rPr>
            </w:pPr>
            <w:hyperlink w:anchor="_55_Exchange_Online" w:history="1">
              <w:r w:rsidR="00CF5A3E" w:rsidRPr="00731EEF">
                <w:rPr>
                  <w:rStyle w:val="Hyperlink"/>
                  <w:rFonts w:cs="Tahoma"/>
                  <w:b/>
                  <w:sz w:val="13"/>
                  <w:szCs w:val="13"/>
                </w:rPr>
                <w:t>54</w:t>
              </w:r>
            </w:hyperlink>
            <w:hyperlink w:anchor="_49_Exchange_Online" w:history="1"/>
          </w:p>
        </w:tc>
        <w:tc>
          <w:tcPr>
            <w:tcW w:w="449" w:type="dxa"/>
            <w:tcBorders>
              <w:bottom w:val="single" w:sz="4" w:space="0" w:color="auto"/>
            </w:tcBorders>
            <w:shd w:val="clear" w:color="auto" w:fill="FABF8F"/>
            <w:vAlign w:val="center"/>
          </w:tcPr>
          <w:p w:rsidR="00913A0A" w:rsidRPr="004B208C" w:rsidRDefault="00913A0A" w:rsidP="007E466C">
            <w:pPr>
              <w:pStyle w:val="TableText"/>
              <w:widowControl w:val="0"/>
              <w:spacing w:before="8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D93CA3"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FFFFF" w:themeFill="background1"/>
          </w:tcPr>
          <w:p w:rsidR="00913A0A" w:rsidRPr="004B208C" w:rsidRDefault="00913A0A" w:rsidP="001A63C6">
            <w:pPr>
              <w:pStyle w:val="Heading3"/>
              <w:rPr>
                <w:rFonts w:ascii="Tahoma" w:hAnsi="Tahoma" w:cs="Tahoma"/>
                <w:b w:val="0"/>
                <w:sz w:val="14"/>
              </w:rPr>
            </w:pPr>
            <w:bookmarkStart w:id="206" w:name="_Toc336337954"/>
            <w:bookmarkStart w:id="207" w:name="_Toc370981088"/>
            <w:r w:rsidRPr="004B208C">
              <w:rPr>
                <w:rFonts w:ascii="Tahoma" w:hAnsi="Tahoma" w:cs="Tahoma"/>
                <w:b w:val="0"/>
                <w:sz w:val="14"/>
              </w:rPr>
              <w:t>Exchange Online Plan 1A para Alunos (SL do Usuário)</w:t>
            </w:r>
            <w:bookmarkEnd w:id="206"/>
            <w:bookmarkEnd w:id="207"/>
          </w:p>
        </w:tc>
        <w:tc>
          <w:tcPr>
            <w:tcW w:w="449" w:type="dxa"/>
            <w:tcBorders>
              <w:bottom w:val="single" w:sz="4" w:space="0" w:color="auto"/>
            </w:tcBorders>
            <w:shd w:val="clear" w:color="auto" w:fill="FFFFFF" w:themeFill="background1"/>
            <w:vAlign w:val="center"/>
          </w:tcPr>
          <w:p w:rsidR="00913A0A" w:rsidRPr="00731EEF" w:rsidRDefault="00913A0A" w:rsidP="001A63C6">
            <w:pPr>
              <w:pStyle w:val="TableText"/>
              <w:widowControl w:val="0"/>
              <w:rPr>
                <w:rFonts w:cs="Tahoma"/>
                <w:b/>
                <w:color w:val="000000"/>
                <w:sz w:val="13"/>
                <w:szCs w:val="13"/>
                <w:u w:val="single"/>
              </w:rPr>
            </w:pPr>
          </w:p>
        </w:tc>
        <w:tc>
          <w:tcPr>
            <w:tcW w:w="449"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(somente EES)</w:t>
            </w:r>
          </w:p>
        </w:tc>
        <w:tc>
          <w:tcPr>
            <w:tcW w:w="504"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Heading3"/>
              <w:rPr>
                <w:rFonts w:ascii="Tahoma" w:hAnsi="Tahoma" w:cs="Tahoma"/>
                <w:b w:val="0"/>
                <w:sz w:val="14"/>
              </w:rPr>
            </w:pPr>
            <w:bookmarkStart w:id="208" w:name="_Toc336337955"/>
            <w:bookmarkStart w:id="209" w:name="_Toc370981089"/>
            <w:r w:rsidRPr="004B208C">
              <w:rPr>
                <w:rFonts w:ascii="Tahoma" w:hAnsi="Tahoma" w:cs="Tahoma"/>
                <w:b w:val="0"/>
                <w:sz w:val="14"/>
              </w:rPr>
              <w:t xml:space="preserve">Exchange Online Plano 2A </w:t>
            </w:r>
            <w:r w:rsidR="00731EEF">
              <w:rPr>
                <w:rFonts w:ascii="Tahoma" w:hAnsi="Tahoma" w:cs="Tahoma"/>
                <w:b w:val="0"/>
                <w:sz w:val="14"/>
              </w:rPr>
              <w:br/>
            </w:r>
            <w:r w:rsidRPr="004B208C">
              <w:rPr>
                <w:rFonts w:ascii="Tahoma" w:hAnsi="Tahoma" w:cs="Tahoma"/>
                <w:b w:val="0"/>
                <w:sz w:val="14"/>
              </w:rPr>
              <w:t>(SL de Usuário)</w:t>
            </w:r>
            <w:bookmarkEnd w:id="208"/>
            <w:bookmarkEnd w:id="209"/>
          </w:p>
        </w:tc>
        <w:tc>
          <w:tcPr>
            <w:tcW w:w="449" w:type="dxa"/>
            <w:tcBorders>
              <w:bottom w:val="single" w:sz="4" w:space="0" w:color="auto"/>
            </w:tcBorders>
            <w:shd w:val="clear" w:color="auto" w:fill="FABF8F"/>
            <w:vAlign w:val="center"/>
          </w:tcPr>
          <w:p w:rsidR="00913A0A" w:rsidRPr="00731EEF" w:rsidRDefault="00913A0A" w:rsidP="001A63C6">
            <w:pPr>
              <w:pStyle w:val="TableText"/>
              <w:widowControl w:val="0"/>
              <w:rPr>
                <w:rFonts w:cs="Tahoma"/>
                <w:b/>
                <w:color w:val="000000"/>
                <w:sz w:val="13"/>
                <w:szCs w:val="13"/>
                <w:u w:val="single"/>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(somente EES)</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FFFFF" w:themeFill="background1"/>
          </w:tcPr>
          <w:p w:rsidR="00913A0A" w:rsidRPr="004B208C" w:rsidRDefault="00913A0A" w:rsidP="001A63C6">
            <w:pPr>
              <w:pStyle w:val="ProductNames"/>
              <w:rPr>
                <w:rFonts w:ascii="Tahoma" w:hAnsi="Tahoma" w:cs="Tahoma"/>
                <w:sz w:val="14"/>
              </w:rPr>
            </w:pPr>
            <w:bookmarkStart w:id="210" w:name="_Toc370981090"/>
            <w:r w:rsidRPr="004B208C">
              <w:rPr>
                <w:rFonts w:ascii="Tahoma" w:hAnsi="Tahoma" w:cs="Tahoma"/>
                <w:sz w:val="14"/>
              </w:rPr>
              <w:t xml:space="preserve">Exchange Online Protection </w:t>
            </w:r>
            <w:r w:rsidR="00731EEF">
              <w:rPr>
                <w:rFonts w:ascii="Tahoma" w:hAnsi="Tahoma" w:cs="Tahoma"/>
                <w:sz w:val="14"/>
              </w:rPr>
              <w:br/>
            </w:r>
            <w:r w:rsidRPr="004B208C">
              <w:rPr>
                <w:rFonts w:ascii="Tahoma" w:hAnsi="Tahoma" w:cs="Tahoma"/>
                <w:sz w:val="14"/>
              </w:rPr>
              <w:t>(SL de Usuário)</w:t>
            </w:r>
            <w:bookmarkEnd w:id="210"/>
          </w:p>
        </w:tc>
        <w:tc>
          <w:tcPr>
            <w:tcW w:w="449" w:type="dxa"/>
            <w:tcBorders>
              <w:bottom w:val="single" w:sz="4" w:space="0" w:color="auto"/>
            </w:tcBorders>
            <w:shd w:val="clear" w:color="auto" w:fill="FFFFFF" w:themeFill="background1"/>
            <w:vAlign w:val="center"/>
          </w:tcPr>
          <w:p w:rsidR="00913A0A" w:rsidRPr="00731EEF" w:rsidRDefault="00C70EF2" w:rsidP="003D4F46">
            <w:pPr>
              <w:pStyle w:val="TableText"/>
              <w:widowControl w:val="0"/>
              <w:rPr>
                <w:rFonts w:cs="Tahoma"/>
              </w:rPr>
            </w:pPr>
            <w:hyperlink w:anchor="_56_Exchange_Online" w:history="1">
              <w:r w:rsidR="00CF5A3E" w:rsidRPr="00731EEF">
                <w:rPr>
                  <w:rStyle w:val="Hyperlink"/>
                  <w:rFonts w:cs="Tahoma"/>
                  <w:b/>
                  <w:sz w:val="13"/>
                  <w:szCs w:val="13"/>
                </w:rPr>
                <w:t>55</w:t>
              </w:r>
            </w:hyperlink>
            <w:hyperlink w:anchor="_49_Exchange_Server" w:history="1"/>
          </w:p>
        </w:tc>
        <w:tc>
          <w:tcPr>
            <w:tcW w:w="449"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FFFFF" w:themeFill="background1"/>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FFFFF" w:themeFill="background1"/>
            <w:vAlign w:val="center"/>
          </w:tcPr>
          <w:p w:rsidR="00913A0A" w:rsidRPr="004B208C" w:rsidRDefault="000956ED"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FFFFF" w:themeFill="background1"/>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11" w:name="_Toc336337958"/>
            <w:bookmarkStart w:id="212" w:name="_Toc370981091"/>
            <w:r w:rsidRPr="004B208C">
              <w:rPr>
                <w:rFonts w:ascii="Tahoma" w:hAnsi="Tahoma" w:cs="Tahoma"/>
                <w:sz w:val="14"/>
              </w:rPr>
              <w:t>Exchange Server Enterprise</w:t>
            </w:r>
            <w:bookmarkEnd w:id="211"/>
            <w:r w:rsidRPr="004B208C">
              <w:rPr>
                <w:rFonts w:ascii="Tahoma" w:hAnsi="Tahoma" w:cs="Tahoma"/>
                <w:sz w:val="14"/>
              </w:rPr>
              <w:t xml:space="preserve"> 2013</w:t>
            </w:r>
            <w:bookmarkEnd w:id="212"/>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color w:val="0000FF"/>
                <w:sz w:val="13"/>
                <w:szCs w:val="13"/>
                <w:u w:val="single"/>
              </w:rPr>
            </w:pPr>
            <w:hyperlink w:anchor="_57_Exchange_Server" w:history="1">
              <w:r w:rsidR="00CF5A3E" w:rsidRPr="00731EEF">
                <w:rPr>
                  <w:rStyle w:val="Hyperlink"/>
                  <w:rFonts w:cs="Tahoma"/>
                  <w:b/>
                  <w:sz w:val="13"/>
                  <w:szCs w:val="13"/>
                </w:rPr>
                <w:t>56</w:t>
              </w:r>
            </w:hyperlink>
            <w:hyperlink w:anchor="_49_Exchange_Server" w:history="1"/>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FFFFF" w:themeFill="background1"/>
          </w:tcPr>
          <w:p w:rsidR="00913A0A" w:rsidRPr="004B208C" w:rsidRDefault="00913A0A" w:rsidP="001A63C6">
            <w:pPr>
              <w:pStyle w:val="ProductNames"/>
              <w:rPr>
                <w:rFonts w:ascii="Tahoma" w:hAnsi="Tahoma" w:cs="Tahoma"/>
                <w:sz w:val="14"/>
              </w:rPr>
            </w:pPr>
            <w:bookmarkStart w:id="213" w:name="_Toc336337959"/>
            <w:bookmarkStart w:id="214" w:name="_Toc370981092"/>
            <w:r w:rsidRPr="004B208C">
              <w:rPr>
                <w:rFonts w:ascii="Tahoma" w:hAnsi="Tahoma" w:cs="Tahoma"/>
                <w:sz w:val="14"/>
              </w:rPr>
              <w:t>Exchange Server Standard</w:t>
            </w:r>
            <w:bookmarkEnd w:id="213"/>
            <w:r w:rsidRPr="004B208C">
              <w:rPr>
                <w:rFonts w:ascii="Tahoma" w:hAnsi="Tahoma" w:cs="Tahoma"/>
                <w:sz w:val="14"/>
              </w:rPr>
              <w:t xml:space="preserve"> 2013</w:t>
            </w:r>
            <w:bookmarkEnd w:id="214"/>
          </w:p>
        </w:tc>
        <w:tc>
          <w:tcPr>
            <w:tcW w:w="449" w:type="dxa"/>
            <w:tcBorders>
              <w:bottom w:val="single" w:sz="4" w:space="0" w:color="auto"/>
            </w:tcBorders>
            <w:shd w:val="clear" w:color="auto" w:fill="FFFFFF" w:themeFill="background1"/>
            <w:vAlign w:val="center"/>
          </w:tcPr>
          <w:p w:rsidR="00913A0A" w:rsidRPr="00731EEF" w:rsidRDefault="00C70EF2" w:rsidP="003D4F46">
            <w:pPr>
              <w:pStyle w:val="TableText"/>
              <w:widowControl w:val="0"/>
              <w:rPr>
                <w:rFonts w:cs="Tahoma"/>
                <w:b/>
                <w:color w:val="0000FF"/>
                <w:sz w:val="13"/>
                <w:szCs w:val="13"/>
                <w:u w:val="single"/>
              </w:rPr>
            </w:pPr>
            <w:hyperlink w:anchor="_57_Exchange_Server" w:history="1">
              <w:r w:rsidR="00CF5A3E" w:rsidRPr="00731EEF">
                <w:rPr>
                  <w:rStyle w:val="Hyperlink"/>
                  <w:rFonts w:cs="Tahoma"/>
                  <w:b/>
                  <w:sz w:val="13"/>
                  <w:szCs w:val="13"/>
                </w:rPr>
                <w:t>56</w:t>
              </w:r>
            </w:hyperlink>
            <w:hyperlink w:anchor="_49_Exchange_Server" w:history="1"/>
          </w:p>
        </w:tc>
        <w:tc>
          <w:tcPr>
            <w:tcW w:w="449"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35"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20</w:t>
            </w:r>
          </w:p>
        </w:tc>
        <w:tc>
          <w:tcPr>
            <w:tcW w:w="465" w:type="dxa"/>
            <w:gridSpan w:val="3"/>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365"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FFFFF" w:themeFill="background1"/>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731EEF">
            <w:pPr>
              <w:pStyle w:val="ProductNames"/>
              <w:rPr>
                <w:rFonts w:ascii="Tahoma" w:hAnsi="Tahoma" w:cs="Tahoma"/>
                <w:sz w:val="14"/>
              </w:rPr>
            </w:pPr>
            <w:bookmarkStart w:id="215" w:name="_Toc336337960"/>
            <w:bookmarkStart w:id="216" w:name="_Toc370981093"/>
            <w:r w:rsidRPr="004B208C">
              <w:rPr>
                <w:rFonts w:ascii="Tahoma" w:hAnsi="Tahoma" w:cs="Tahoma"/>
                <w:sz w:val="14"/>
              </w:rPr>
              <w:t>Exchange Server 2007 Standard for</w:t>
            </w:r>
            <w:r w:rsidR="00731EEF">
              <w:rPr>
                <w:rFonts w:ascii="Tahoma" w:hAnsi="Tahoma" w:cs="Tahoma"/>
                <w:sz w:val="14"/>
              </w:rPr>
              <w:t> </w:t>
            </w:r>
            <w:r w:rsidRPr="004B208C">
              <w:rPr>
                <w:rFonts w:ascii="Tahoma" w:hAnsi="Tahoma" w:cs="Tahoma"/>
                <w:sz w:val="14"/>
              </w:rPr>
              <w:t>Small Business</w:t>
            </w:r>
            <w:bookmarkEnd w:id="215"/>
            <w:bookmarkEnd w:id="216"/>
          </w:p>
        </w:tc>
        <w:tc>
          <w:tcPr>
            <w:tcW w:w="449" w:type="dxa"/>
            <w:tcBorders>
              <w:bottom w:val="single" w:sz="4" w:space="0" w:color="auto"/>
            </w:tcBorders>
            <w:shd w:val="clear" w:color="auto" w:fill="FABF8F"/>
            <w:vAlign w:val="center"/>
          </w:tcPr>
          <w:p w:rsidR="00913A0A" w:rsidRPr="00731EEF"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FFFFF" w:themeFill="background1"/>
          </w:tcPr>
          <w:p w:rsidR="00913A0A" w:rsidRPr="004B208C" w:rsidRDefault="00913A0A" w:rsidP="001A63C6">
            <w:pPr>
              <w:pStyle w:val="ProductNames"/>
              <w:rPr>
                <w:rFonts w:ascii="Tahoma" w:hAnsi="Tahoma" w:cs="Tahoma"/>
                <w:sz w:val="14"/>
              </w:rPr>
            </w:pPr>
            <w:bookmarkStart w:id="217" w:name="_Toc336337961"/>
            <w:bookmarkStart w:id="218" w:name="_Toc370981094"/>
            <w:r w:rsidRPr="004B208C">
              <w:rPr>
                <w:rFonts w:ascii="Tahoma" w:hAnsi="Tahoma" w:cs="Tahoma"/>
                <w:sz w:val="14"/>
              </w:rPr>
              <w:t>CAL do Exchange Server 2007 Standard for Small Business</w:t>
            </w:r>
            <w:bookmarkEnd w:id="217"/>
            <w:bookmarkEnd w:id="218"/>
          </w:p>
        </w:tc>
        <w:tc>
          <w:tcPr>
            <w:tcW w:w="449" w:type="dxa"/>
            <w:tcBorders>
              <w:bottom w:val="single" w:sz="4" w:space="0" w:color="auto"/>
            </w:tcBorders>
            <w:shd w:val="clear" w:color="auto" w:fill="FFFFFF" w:themeFill="background1"/>
            <w:vAlign w:val="center"/>
          </w:tcPr>
          <w:p w:rsidR="00913A0A" w:rsidRPr="00731EEF"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FFFFF" w:themeFill="background1"/>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19" w:name="_Toc336337963"/>
            <w:bookmarkStart w:id="220" w:name="_Toc370981095"/>
            <w:r w:rsidRPr="004B208C">
              <w:rPr>
                <w:rFonts w:ascii="Tahoma" w:hAnsi="Tahoma" w:cs="Tahoma"/>
                <w:sz w:val="14"/>
              </w:rPr>
              <w:t>CAL do Exchange Server 2010 Standard (Dispositivo e Usuário)</w:t>
            </w:r>
            <w:bookmarkEnd w:id="219"/>
            <w:bookmarkEnd w:id="220"/>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Style w:val="EndnoteReference"/>
                <w:rFonts w:cs="Tahoma"/>
                <w:color w:val="0000FF"/>
                <w:position w:val="-11"/>
                <w:sz w:val="13"/>
                <w:szCs w:val="13"/>
                <w:u w:val="single"/>
              </w:rPr>
            </w:pPr>
            <w:hyperlink w:anchor="_58_Exchange_Server" w:history="1">
              <w:r w:rsidR="00CF5A3E" w:rsidRPr="00731EEF">
                <w:rPr>
                  <w:rStyle w:val="Hyperlink"/>
                  <w:rFonts w:cs="Tahoma"/>
                  <w:b/>
                  <w:sz w:val="13"/>
                  <w:szCs w:val="13"/>
                </w:rPr>
                <w:t>57</w:t>
              </w:r>
            </w:hyperlink>
            <w:hyperlink w:anchor="_50_Exchange_Server" w:history="1"/>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Del="00515A83" w:rsidTr="00916AA6">
        <w:trPr>
          <w:trHeight w:val="145"/>
        </w:trPr>
        <w:tc>
          <w:tcPr>
            <w:tcW w:w="2551" w:type="dxa"/>
            <w:gridSpan w:val="2"/>
            <w:tcBorders>
              <w:bottom w:val="single" w:sz="4" w:space="0" w:color="auto"/>
            </w:tcBorders>
            <w:shd w:val="clear" w:color="auto" w:fill="FFFFFF" w:themeFill="background1"/>
          </w:tcPr>
          <w:p w:rsidR="00913A0A" w:rsidRPr="004B208C" w:rsidDel="00515A83" w:rsidRDefault="00913A0A" w:rsidP="001A63C6">
            <w:pPr>
              <w:pStyle w:val="ProductNames"/>
              <w:rPr>
                <w:rFonts w:ascii="Tahoma" w:hAnsi="Tahoma" w:cs="Tahoma"/>
                <w:sz w:val="14"/>
              </w:rPr>
            </w:pPr>
            <w:bookmarkStart w:id="221" w:name="_Toc336337965"/>
            <w:bookmarkStart w:id="222" w:name="_Toc370981096"/>
            <w:r w:rsidRPr="004B208C">
              <w:rPr>
                <w:rFonts w:ascii="Tahoma" w:hAnsi="Tahoma" w:cs="Tahoma"/>
                <w:sz w:val="14"/>
              </w:rPr>
              <w:t>Forefront Endpoint Protection</w:t>
            </w:r>
            <w:bookmarkEnd w:id="221"/>
            <w:bookmarkEnd w:id="222"/>
          </w:p>
        </w:tc>
        <w:tc>
          <w:tcPr>
            <w:tcW w:w="449" w:type="dxa"/>
            <w:tcBorders>
              <w:bottom w:val="single" w:sz="4" w:space="0" w:color="auto"/>
            </w:tcBorders>
            <w:shd w:val="clear" w:color="auto" w:fill="FFFFFF" w:themeFill="background1"/>
            <w:vAlign w:val="center"/>
          </w:tcPr>
          <w:p w:rsidR="00913A0A" w:rsidRPr="00731EEF" w:rsidDel="00515A83" w:rsidRDefault="00C70EF2" w:rsidP="003D4F46">
            <w:pPr>
              <w:pStyle w:val="TableText"/>
              <w:widowControl w:val="0"/>
              <w:rPr>
                <w:rStyle w:val="EndnoteReference"/>
                <w:rFonts w:cs="Tahoma"/>
                <w:color w:val="000000"/>
                <w:position w:val="-11"/>
                <w:sz w:val="13"/>
                <w:szCs w:val="13"/>
                <w:u w:val="single"/>
              </w:rPr>
            </w:pPr>
            <w:hyperlink w:anchor="_59_Forefront_Endpoint" w:history="1">
              <w:r w:rsidR="00CF5A3E" w:rsidRPr="00731EEF">
                <w:rPr>
                  <w:rStyle w:val="Hyperlink"/>
                  <w:rFonts w:cs="Tahoma"/>
                  <w:b/>
                  <w:sz w:val="13"/>
                  <w:szCs w:val="13"/>
                </w:rPr>
                <w:t>58</w:t>
              </w:r>
            </w:hyperlink>
          </w:p>
        </w:tc>
        <w:tc>
          <w:tcPr>
            <w:tcW w:w="449" w:type="dxa"/>
            <w:tcBorders>
              <w:bottom w:val="single" w:sz="4" w:space="0" w:color="auto"/>
            </w:tcBorders>
            <w:shd w:val="clear" w:color="auto" w:fill="FFFFFF" w:themeFill="background1"/>
            <w:vAlign w:val="center"/>
          </w:tcPr>
          <w:p w:rsidR="00913A0A" w:rsidRPr="004B208C" w:rsidDel="00515A83"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2941" w:type="dxa"/>
            <w:gridSpan w:val="13"/>
            <w:tcBorders>
              <w:left w:val="single" w:sz="18" w:space="0" w:color="auto"/>
              <w:bottom w:val="single" w:sz="4" w:space="0" w:color="auto"/>
              <w:right w:val="single" w:sz="18"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FFFFF" w:themeFill="background1"/>
          </w:tcPr>
          <w:p w:rsidR="00913A0A" w:rsidRPr="004B208C" w:rsidDel="00515A83"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FFFFF" w:themeFill="background1"/>
            <w:vAlign w:val="center"/>
          </w:tcPr>
          <w:p w:rsidR="00913A0A" w:rsidRPr="004B208C" w:rsidDel="00515A83"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rsidR="00913A0A" w:rsidRPr="004B208C" w:rsidDel="00515A83"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23" w:name="_Toc336337966"/>
            <w:bookmarkStart w:id="224" w:name="_Toc370981097"/>
            <w:r w:rsidRPr="004B208C">
              <w:rPr>
                <w:rFonts w:ascii="Tahoma" w:hAnsi="Tahoma" w:cs="Tahoma"/>
                <w:sz w:val="14"/>
              </w:rPr>
              <w:t>CAL do Forefront Identity Manager 2010 R2 (Somente usuário)</w:t>
            </w:r>
            <w:bookmarkEnd w:id="223"/>
            <w:bookmarkEnd w:id="224"/>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Style w:val="EndnoteReference"/>
                <w:rFonts w:cs="Tahoma"/>
                <w:b w:val="0"/>
                <w:color w:val="0000FF"/>
                <w:position w:val="-11"/>
                <w:sz w:val="13"/>
                <w:szCs w:val="13"/>
                <w:u w:val="single"/>
              </w:rPr>
            </w:pPr>
            <w:hyperlink w:anchor="_54_Forefront_Identity" w:history="1">
              <w:r w:rsidR="00CF5A3E" w:rsidRPr="00731EEF">
                <w:rPr>
                  <w:rStyle w:val="Hyperlink"/>
                  <w:rFonts w:cs="Tahoma"/>
                  <w:b/>
                  <w:sz w:val="13"/>
                  <w:szCs w:val="13"/>
                </w:rPr>
                <w:t>59</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3</w:t>
            </w:r>
          </w:p>
        </w:tc>
        <w:tc>
          <w:tcPr>
            <w:tcW w:w="435" w:type="dxa"/>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2</w:t>
            </w:r>
          </w:p>
        </w:tc>
        <w:tc>
          <w:tcPr>
            <w:tcW w:w="465" w:type="dxa"/>
            <w:gridSpan w:val="3"/>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w:t>
            </w:r>
          </w:p>
        </w:tc>
        <w:tc>
          <w:tcPr>
            <w:tcW w:w="365"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w:t>
            </w:r>
          </w:p>
        </w:tc>
        <w:tc>
          <w:tcPr>
            <w:tcW w:w="450" w:type="dxa"/>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FFFFF" w:themeFill="background1"/>
          </w:tcPr>
          <w:p w:rsidR="00913A0A" w:rsidRPr="004B208C" w:rsidRDefault="00913A0A" w:rsidP="001A63C6">
            <w:pPr>
              <w:pStyle w:val="ProductNames"/>
              <w:rPr>
                <w:rFonts w:ascii="Tahoma" w:hAnsi="Tahoma" w:cs="Tahoma"/>
                <w:sz w:val="14"/>
              </w:rPr>
            </w:pPr>
            <w:bookmarkStart w:id="225" w:name="_Toc336337967"/>
            <w:bookmarkStart w:id="226" w:name="_Toc370981098"/>
            <w:r w:rsidRPr="004B208C">
              <w:rPr>
                <w:rFonts w:ascii="Tahoma" w:hAnsi="Tahoma" w:cs="Tahoma"/>
                <w:sz w:val="14"/>
              </w:rPr>
              <w:t>Forefront Identity Manager 2010 R2 External Connector</w:t>
            </w:r>
            <w:bookmarkEnd w:id="225"/>
            <w:bookmarkEnd w:id="226"/>
          </w:p>
        </w:tc>
        <w:tc>
          <w:tcPr>
            <w:tcW w:w="449" w:type="dxa"/>
            <w:tcBorders>
              <w:bottom w:val="single" w:sz="4" w:space="0" w:color="auto"/>
            </w:tcBorders>
            <w:shd w:val="clear" w:color="auto" w:fill="FFFFFF" w:themeFill="background1"/>
            <w:vAlign w:val="center"/>
          </w:tcPr>
          <w:p w:rsidR="00913A0A" w:rsidRPr="00731EEF" w:rsidRDefault="00C70EF2" w:rsidP="003D4F46">
            <w:pPr>
              <w:pStyle w:val="TableText"/>
              <w:widowControl w:val="0"/>
              <w:rPr>
                <w:rStyle w:val="EndnoteReference"/>
                <w:rFonts w:cs="Tahoma"/>
                <w:color w:val="000000"/>
                <w:position w:val="-11"/>
                <w:sz w:val="13"/>
                <w:szCs w:val="13"/>
                <w:u w:val="single"/>
              </w:rPr>
            </w:pPr>
            <w:hyperlink w:anchor="_54_Forefront_Identity" w:history="1">
              <w:r w:rsidR="00CF5A3E" w:rsidRPr="00731EEF">
                <w:rPr>
                  <w:rStyle w:val="Hyperlink"/>
                  <w:rFonts w:cs="Tahoma"/>
                  <w:b/>
                  <w:sz w:val="13"/>
                  <w:szCs w:val="13"/>
                </w:rPr>
                <w:t>59</w:t>
              </w:r>
            </w:hyperlink>
          </w:p>
        </w:tc>
        <w:tc>
          <w:tcPr>
            <w:tcW w:w="449"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313</w:t>
            </w:r>
          </w:p>
        </w:tc>
        <w:tc>
          <w:tcPr>
            <w:tcW w:w="435" w:type="dxa"/>
            <w:tcBorders>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250</w:t>
            </w:r>
          </w:p>
        </w:tc>
        <w:tc>
          <w:tcPr>
            <w:tcW w:w="465" w:type="dxa"/>
            <w:gridSpan w:val="3"/>
            <w:tcBorders>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365" w:type="dxa"/>
            <w:tcBorders>
              <w:bottom w:val="single" w:sz="4" w:space="0" w:color="auto"/>
              <w:right w:val="single" w:sz="18"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FFFFF" w:themeFill="background1"/>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27" w:name="_Toc336337968"/>
            <w:bookmarkStart w:id="228" w:name="_Toc370981099"/>
            <w:r w:rsidRPr="004B208C">
              <w:rPr>
                <w:rFonts w:ascii="Tahoma" w:hAnsi="Tahoma" w:cs="Tahoma"/>
                <w:sz w:val="14"/>
              </w:rPr>
              <w:t>Forefront Identity Manager 2010 R2 Server</w:t>
            </w:r>
            <w:bookmarkEnd w:id="227"/>
            <w:bookmarkEnd w:id="228"/>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731EEF" w:rsidRDefault="00C70EF2" w:rsidP="0045693C">
            <w:pPr>
              <w:pStyle w:val="TableText"/>
              <w:widowControl w:val="0"/>
              <w:rPr>
                <w:rStyle w:val="EndnoteReference"/>
                <w:rFonts w:cs="Tahoma"/>
                <w:color w:val="000000"/>
                <w:position w:val="-11"/>
                <w:sz w:val="13"/>
                <w:szCs w:val="13"/>
                <w:u w:val="single"/>
              </w:rPr>
            </w:pPr>
            <w:hyperlink w:anchor="_54_Forefront_Identity" w:history="1">
              <w:r w:rsidR="00CF5A3E" w:rsidRPr="00731EEF">
                <w:rPr>
                  <w:rStyle w:val="Hyperlink"/>
                  <w:rFonts w:cs="Tahoma"/>
                  <w:b/>
                  <w:sz w:val="13"/>
                  <w:szCs w:val="13"/>
                </w:rPr>
                <w:t>59</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313</w:t>
            </w:r>
          </w:p>
        </w:tc>
        <w:tc>
          <w:tcPr>
            <w:tcW w:w="435" w:type="dxa"/>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250</w:t>
            </w:r>
          </w:p>
        </w:tc>
        <w:tc>
          <w:tcPr>
            <w:tcW w:w="465" w:type="dxa"/>
            <w:gridSpan w:val="3"/>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188</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188</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365"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450" w:type="dxa"/>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FFFFF" w:themeFill="background1"/>
          </w:tcPr>
          <w:p w:rsidR="00913A0A" w:rsidRPr="004B208C" w:rsidRDefault="00913A0A" w:rsidP="001A63C6">
            <w:pPr>
              <w:pStyle w:val="Heading2"/>
              <w:ind w:left="0"/>
              <w:rPr>
                <w:rFonts w:ascii="Tahoma" w:hAnsi="Tahoma" w:cs="Tahoma"/>
                <w:b w:val="0"/>
              </w:rPr>
            </w:pPr>
            <w:bookmarkStart w:id="229" w:name="_Toc336337969"/>
            <w:bookmarkStart w:id="230" w:name="_Toc370981100"/>
            <w:r w:rsidRPr="004B208C">
              <w:rPr>
                <w:rFonts w:ascii="Tahoma" w:hAnsi="Tahoma" w:cs="Tahoma"/>
                <w:b w:val="0"/>
                <w:sz w:val="14"/>
              </w:rPr>
              <w:t>Forefront Identity Manager 2010 R2 – Windows Live Edition</w:t>
            </w:r>
            <w:bookmarkEnd w:id="229"/>
            <w:bookmarkEnd w:id="230"/>
          </w:p>
        </w:tc>
        <w:tc>
          <w:tcPr>
            <w:tcW w:w="449" w:type="dxa"/>
            <w:tcBorders>
              <w:bottom w:val="single" w:sz="4" w:space="0" w:color="auto"/>
            </w:tcBorders>
            <w:shd w:val="clear" w:color="auto" w:fill="FFFFFF" w:themeFill="background1"/>
            <w:vAlign w:val="center"/>
          </w:tcPr>
          <w:p w:rsidR="00913A0A" w:rsidRPr="00731EEF" w:rsidRDefault="00C70EF2" w:rsidP="003D4F46">
            <w:pPr>
              <w:pStyle w:val="TableText"/>
              <w:widowControl w:val="0"/>
              <w:rPr>
                <w:rFonts w:cs="Tahoma"/>
                <w:b/>
                <w:color w:val="0000FF"/>
                <w:sz w:val="13"/>
                <w:szCs w:val="13"/>
                <w:u w:val="single"/>
              </w:rPr>
            </w:pPr>
            <w:hyperlink w:anchor="_55_Forefront_Identity" w:history="1">
              <w:r w:rsidR="00CF5A3E" w:rsidRPr="00731EEF">
                <w:rPr>
                  <w:rStyle w:val="Hyperlink"/>
                  <w:rFonts w:cs="Tahoma"/>
                  <w:b/>
                  <w:sz w:val="13"/>
                  <w:szCs w:val="13"/>
                </w:rPr>
                <w:t>60</w:t>
              </w:r>
            </w:hyperlink>
          </w:p>
        </w:tc>
        <w:tc>
          <w:tcPr>
            <w:tcW w:w="449"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25</w:t>
            </w:r>
          </w:p>
        </w:tc>
        <w:tc>
          <w:tcPr>
            <w:tcW w:w="450" w:type="dxa"/>
            <w:gridSpan w:val="2"/>
            <w:tcBorders>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63</w:t>
            </w:r>
          </w:p>
        </w:tc>
        <w:tc>
          <w:tcPr>
            <w:tcW w:w="435" w:type="dxa"/>
            <w:tcBorders>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50</w:t>
            </w:r>
          </w:p>
        </w:tc>
        <w:tc>
          <w:tcPr>
            <w:tcW w:w="465" w:type="dxa"/>
            <w:gridSpan w:val="3"/>
            <w:tcBorders>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38</w:t>
            </w:r>
          </w:p>
        </w:tc>
        <w:tc>
          <w:tcPr>
            <w:tcW w:w="450" w:type="dxa"/>
            <w:gridSpan w:val="2"/>
            <w:tcBorders>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25</w:t>
            </w:r>
          </w:p>
        </w:tc>
        <w:tc>
          <w:tcPr>
            <w:tcW w:w="365" w:type="dxa"/>
            <w:tcBorders>
              <w:bottom w:val="single" w:sz="4" w:space="0" w:color="auto"/>
              <w:right w:val="single" w:sz="18"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913A0A" w:rsidRPr="004B208C" w:rsidRDefault="00913A0A" w:rsidP="001A63C6">
            <w:pPr>
              <w:pStyle w:val="TableText"/>
              <w:widowControl w:val="0"/>
              <w:spacing w:before="100" w:beforeAutospacing="1" w:after="120"/>
              <w:rPr>
                <w:rFonts w:ascii="Tahoma" w:hAnsi="Tahoma" w:cs="Tahoma"/>
                <w:color w:val="000000"/>
                <w:sz w:val="13"/>
                <w:szCs w:val="13"/>
              </w:rPr>
            </w:pPr>
            <w:r w:rsidRPr="004B208C">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FFFFF" w:themeFill="background1"/>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FFFFF" w:themeFill="background1"/>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FFFFF" w:themeFill="background1"/>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Heading2"/>
              <w:ind w:left="0"/>
              <w:rPr>
                <w:rFonts w:ascii="Tahoma" w:hAnsi="Tahoma" w:cs="Tahoma"/>
                <w:b w:val="0"/>
                <w:sz w:val="14"/>
              </w:rPr>
            </w:pPr>
            <w:bookmarkStart w:id="231" w:name="_Toc370981101"/>
            <w:r w:rsidRPr="004B208C">
              <w:rPr>
                <w:rFonts w:ascii="Tahoma" w:hAnsi="Tahoma" w:cs="Tahoma"/>
                <w:b w:val="0"/>
                <w:sz w:val="14"/>
              </w:rPr>
              <w:t>Forefront Online Protection for Exchange (SL de Dispositivo e Usuário)</w:t>
            </w:r>
            <w:bookmarkEnd w:id="231"/>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sz w:val="13"/>
                <w:szCs w:val="13"/>
              </w:rPr>
            </w:pPr>
            <w:hyperlink w:anchor="_59_Forefront_Online" w:history="1">
              <w:r w:rsidR="00CF5A3E" w:rsidRPr="00731EEF">
                <w:rPr>
                  <w:rStyle w:val="Hyperlink"/>
                  <w:rFonts w:cs="Tahoma"/>
                  <w:b/>
                  <w:sz w:val="13"/>
                  <w:szCs w:val="13"/>
                </w:rPr>
                <w:t>61</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35" w:type="dxa"/>
            <w:tcBorders>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65" w:type="dxa"/>
            <w:gridSpan w:val="3"/>
            <w:tcBorders>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365"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1A63C6">
            <w:pPr>
              <w:pStyle w:val="ProductNames"/>
              <w:rPr>
                <w:rFonts w:ascii="Tahoma" w:hAnsi="Tahoma" w:cs="Tahoma"/>
                <w:sz w:val="14"/>
              </w:rPr>
            </w:pPr>
            <w:bookmarkStart w:id="232" w:name="_Toc336337971"/>
            <w:bookmarkStart w:id="233" w:name="_Toc370981102"/>
            <w:r w:rsidRPr="004B208C">
              <w:rPr>
                <w:rFonts w:ascii="Tahoma" w:hAnsi="Tahoma" w:cs="Tahoma"/>
                <w:sz w:val="14"/>
              </w:rPr>
              <w:t>Forefront Protection 2010 for Exchange Server (SL de Dispositivo e Usuário)</w:t>
            </w:r>
            <w:bookmarkEnd w:id="232"/>
            <w:bookmarkEnd w:id="233"/>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Fonts w:cs="Tahoma"/>
                <w:b/>
                <w:color w:val="000000"/>
                <w:sz w:val="13"/>
                <w:szCs w:val="13"/>
                <w:u w:val="single"/>
              </w:rPr>
            </w:pPr>
            <w:hyperlink w:anchor="_54_Forefront_Protection" w:history="1">
              <w:r w:rsidR="00CF5A3E" w:rsidRPr="00731EEF">
                <w:rPr>
                  <w:rStyle w:val="Hyperlink"/>
                  <w:rFonts w:cs="Tahoma"/>
                  <w:b/>
                  <w:sz w:val="13"/>
                  <w:szCs w:val="13"/>
                </w:rPr>
                <w:t>62</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0" w:type="dxa"/>
            <w:tcBorders>
              <w:left w:val="single" w:sz="18"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2" w:type="dxa"/>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7" w:type="dxa"/>
            <w:gridSpan w:val="3"/>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gridSpan w:val="2"/>
            <w:tcBorders>
              <w:left w:val="single" w:sz="4"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34" w:name="_Toc336337976"/>
            <w:bookmarkStart w:id="235" w:name="_Toc370981103"/>
            <w:r w:rsidRPr="004B208C">
              <w:rPr>
                <w:rFonts w:ascii="Tahoma" w:hAnsi="Tahoma" w:cs="Tahoma"/>
                <w:sz w:val="14"/>
              </w:rPr>
              <w:t>Forefront Protection 2010 for SharePoint (SL de Dispositivo e Usuário)</w:t>
            </w:r>
            <w:bookmarkEnd w:id="234"/>
            <w:bookmarkEnd w:id="235"/>
          </w:p>
        </w:tc>
        <w:tc>
          <w:tcPr>
            <w:tcW w:w="449" w:type="dxa"/>
            <w:tcBorders>
              <w:bottom w:val="single" w:sz="4" w:space="0" w:color="auto"/>
            </w:tcBorders>
            <w:shd w:val="clear" w:color="auto" w:fill="FABF8F"/>
            <w:vAlign w:val="center"/>
          </w:tcPr>
          <w:p w:rsidR="00913A0A" w:rsidRPr="007A5CBE" w:rsidRDefault="00C70EF2" w:rsidP="003D4F46">
            <w:pPr>
              <w:pStyle w:val="TableText"/>
              <w:widowControl w:val="0"/>
              <w:rPr>
                <w:rStyle w:val="EndnoteReference"/>
                <w:rFonts w:cs="Tahoma"/>
                <w:b w:val="0"/>
                <w:bCs/>
                <w:color w:val="000000"/>
                <w:position w:val="-11"/>
                <w:sz w:val="13"/>
                <w:szCs w:val="13"/>
                <w:u w:val="single"/>
              </w:rPr>
            </w:pPr>
            <w:hyperlink w:anchor="_54_Forefront_Protection" w:history="1">
              <w:r w:rsidR="00CF5A3E" w:rsidRPr="007A5CBE">
                <w:rPr>
                  <w:rStyle w:val="Hyperlink"/>
                  <w:rFonts w:cs="Tahoma"/>
                  <w:b/>
                  <w:bCs/>
                  <w:sz w:val="13"/>
                  <w:szCs w:val="13"/>
                </w:rPr>
                <w:t>62</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0" w:type="dxa"/>
            <w:tcBorders>
              <w:left w:val="single" w:sz="18"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41"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2" w:type="dxa"/>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7" w:type="dxa"/>
            <w:gridSpan w:val="3"/>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gridSpan w:val="2"/>
            <w:tcBorders>
              <w:left w:val="single" w:sz="4"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916AA6">
        <w:trPr>
          <w:trHeight w:val="145"/>
        </w:trPr>
        <w:tc>
          <w:tcPr>
            <w:tcW w:w="2551" w:type="dxa"/>
            <w:gridSpan w:val="2"/>
            <w:tcBorders>
              <w:bottom w:val="single" w:sz="4" w:space="0" w:color="auto"/>
            </w:tcBorders>
            <w:shd w:val="clear" w:color="auto" w:fill="auto"/>
          </w:tcPr>
          <w:p w:rsidR="00913A0A" w:rsidRPr="004B208C" w:rsidRDefault="00913A0A" w:rsidP="00731EEF">
            <w:pPr>
              <w:pStyle w:val="ProductNames"/>
              <w:rPr>
                <w:rFonts w:ascii="Tahoma" w:hAnsi="Tahoma" w:cs="Tahoma"/>
                <w:sz w:val="14"/>
              </w:rPr>
            </w:pPr>
            <w:bookmarkStart w:id="236" w:name="_Toc336337977"/>
            <w:bookmarkStart w:id="237" w:name="_Toc370981104"/>
            <w:r w:rsidRPr="004B208C">
              <w:rPr>
                <w:rFonts w:ascii="Tahoma" w:hAnsi="Tahoma" w:cs="Tahoma"/>
                <w:sz w:val="14"/>
              </w:rPr>
              <w:t xml:space="preserve">Forefront Protection 2010 for SharePoint for Internet Sites </w:t>
            </w:r>
            <w:r w:rsidRPr="004B208C">
              <w:rPr>
                <w:rFonts w:ascii="Tahoma" w:hAnsi="Tahoma" w:cs="Tahoma"/>
                <w:sz w:val="14"/>
              </w:rPr>
              <w:lastRenderedPageBreak/>
              <w:t>(SL</w:t>
            </w:r>
            <w:r w:rsidR="00731EEF">
              <w:rPr>
                <w:rFonts w:ascii="Tahoma" w:hAnsi="Tahoma" w:cs="Tahoma"/>
                <w:sz w:val="14"/>
              </w:rPr>
              <w:t> </w:t>
            </w:r>
            <w:r w:rsidRPr="004B208C">
              <w:rPr>
                <w:rFonts w:ascii="Tahoma" w:hAnsi="Tahoma" w:cs="Tahoma"/>
                <w:sz w:val="14"/>
              </w:rPr>
              <w:t>Complementar)</w:t>
            </w:r>
            <w:bookmarkEnd w:id="236"/>
            <w:bookmarkEnd w:id="237"/>
          </w:p>
        </w:tc>
        <w:tc>
          <w:tcPr>
            <w:tcW w:w="449" w:type="dxa"/>
            <w:tcBorders>
              <w:bottom w:val="single" w:sz="4" w:space="0" w:color="auto"/>
            </w:tcBorders>
            <w:shd w:val="clear" w:color="auto" w:fill="auto"/>
            <w:vAlign w:val="center"/>
          </w:tcPr>
          <w:p w:rsidR="00913A0A" w:rsidRPr="007A5CBE" w:rsidRDefault="00C70EF2" w:rsidP="003D4F46">
            <w:pPr>
              <w:pStyle w:val="TableText"/>
              <w:widowControl w:val="0"/>
              <w:rPr>
                <w:rStyle w:val="EndnoteReference"/>
                <w:rFonts w:cs="Tahoma"/>
                <w:b w:val="0"/>
                <w:bCs/>
                <w:color w:val="000000"/>
                <w:position w:val="-11"/>
                <w:sz w:val="13"/>
                <w:szCs w:val="13"/>
                <w:u w:val="single"/>
              </w:rPr>
            </w:pPr>
            <w:hyperlink w:anchor="_54_Forefront_Protection" w:history="1">
              <w:r w:rsidR="00CF5A3E" w:rsidRPr="007A5CBE">
                <w:rPr>
                  <w:rStyle w:val="Hyperlink"/>
                  <w:rFonts w:cs="Tahoma"/>
                  <w:b/>
                  <w:bCs/>
                  <w:sz w:val="13"/>
                  <w:szCs w:val="13"/>
                </w:rPr>
                <w:t>62</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OV</w:t>
            </w: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tcPr>
          <w:p w:rsidR="003D4F46" w:rsidRPr="004B208C" w:rsidRDefault="003D4F46" w:rsidP="00731EEF">
            <w:pPr>
              <w:pStyle w:val="ProductNames"/>
              <w:rPr>
                <w:rFonts w:ascii="Tahoma" w:hAnsi="Tahoma" w:cs="Tahoma"/>
                <w:sz w:val="14"/>
              </w:rPr>
            </w:pPr>
            <w:bookmarkStart w:id="238" w:name="_Toc370981105"/>
            <w:r w:rsidRPr="004B208C">
              <w:rPr>
                <w:rFonts w:ascii="Tahoma" w:hAnsi="Tahoma" w:cs="Tahoma"/>
                <w:sz w:val="14"/>
              </w:rPr>
              <w:lastRenderedPageBreak/>
              <w:t>Forefront Protection Suite (SL</w:t>
            </w:r>
            <w:r w:rsidR="00731EEF">
              <w:rPr>
                <w:rFonts w:ascii="Tahoma" w:hAnsi="Tahoma" w:cs="Tahoma"/>
                <w:sz w:val="14"/>
              </w:rPr>
              <w:t> </w:t>
            </w:r>
            <w:r w:rsidRPr="004B208C">
              <w:rPr>
                <w:rFonts w:ascii="Tahoma" w:hAnsi="Tahoma" w:cs="Tahoma"/>
                <w:sz w:val="14"/>
              </w:rPr>
              <w:t>de</w:t>
            </w:r>
            <w:r w:rsidR="00731EEF">
              <w:rPr>
                <w:rFonts w:ascii="Tahoma" w:hAnsi="Tahoma" w:cs="Tahoma"/>
                <w:sz w:val="14"/>
              </w:rPr>
              <w:t> </w:t>
            </w:r>
            <w:r w:rsidRPr="004B208C">
              <w:rPr>
                <w:rFonts w:ascii="Tahoma" w:hAnsi="Tahoma" w:cs="Tahoma"/>
                <w:sz w:val="14"/>
              </w:rPr>
              <w:t>Dispositivo e Usuário)</w:t>
            </w:r>
            <w:bookmarkEnd w:id="238"/>
          </w:p>
        </w:tc>
        <w:tc>
          <w:tcPr>
            <w:tcW w:w="449" w:type="dxa"/>
            <w:tcBorders>
              <w:bottom w:val="single" w:sz="4" w:space="0" w:color="auto"/>
            </w:tcBorders>
            <w:shd w:val="clear" w:color="auto" w:fill="FABF8F"/>
            <w:vAlign w:val="center"/>
          </w:tcPr>
          <w:p w:rsidR="003D4F46" w:rsidRPr="007A5CBE" w:rsidRDefault="00C70EF2">
            <w:pPr>
              <w:pStyle w:val="TableText"/>
              <w:widowControl w:val="0"/>
              <w:rPr>
                <w:rFonts w:cs="Tahoma"/>
                <w:b/>
                <w:bCs/>
                <w:sz w:val="13"/>
                <w:szCs w:val="13"/>
                <w:u w:val="single"/>
              </w:rPr>
            </w:pPr>
            <w:hyperlink w:anchor="_61_Forefront_Protection" w:history="1">
              <w:r w:rsidR="007A5CBE" w:rsidRPr="007A5CBE">
                <w:rPr>
                  <w:rStyle w:val="Hyperlink"/>
                  <w:b/>
                  <w:bCs/>
                  <w:sz w:val="13"/>
                  <w:szCs w:val="13"/>
                </w:rPr>
                <w:t>63</w:t>
              </w:r>
            </w:hyperlink>
          </w:p>
        </w:tc>
        <w:tc>
          <w:tcPr>
            <w:tcW w:w="449" w:type="dxa"/>
            <w:tcBorders>
              <w:bottom w:val="single" w:sz="4" w:space="0" w:color="auto"/>
            </w:tcBorders>
            <w:shd w:val="clear" w:color="auto" w:fill="FABF8F"/>
          </w:tcPr>
          <w:p w:rsidR="003D4F46" w:rsidRPr="004B208C"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3D4F46" w:rsidRPr="004B208C" w:rsidRDefault="003D4F46"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3D4F46" w:rsidRPr="004B208C" w:rsidRDefault="003D4F46"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3D4F46" w:rsidRPr="004B208C" w:rsidRDefault="003D4F46"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tcPr>
          <w:p w:rsidR="003D4F46" w:rsidRPr="004B208C" w:rsidRDefault="003D4F46" w:rsidP="00731EEF">
            <w:pPr>
              <w:pStyle w:val="ProductNames"/>
              <w:rPr>
                <w:rFonts w:ascii="Tahoma" w:hAnsi="Tahoma" w:cs="Tahoma"/>
                <w:sz w:val="14"/>
              </w:rPr>
            </w:pPr>
            <w:bookmarkStart w:id="239" w:name="_Toc370981106"/>
            <w:r w:rsidRPr="004B208C">
              <w:rPr>
                <w:rFonts w:ascii="Tahoma" w:hAnsi="Tahoma" w:cs="Tahoma"/>
                <w:sz w:val="14"/>
              </w:rPr>
              <w:t>Forefront Security for Office Communications Server (SL</w:t>
            </w:r>
            <w:r w:rsidR="00731EEF">
              <w:rPr>
                <w:rFonts w:ascii="Tahoma" w:hAnsi="Tahoma" w:cs="Tahoma"/>
                <w:sz w:val="14"/>
              </w:rPr>
              <w:t> </w:t>
            </w:r>
            <w:r w:rsidRPr="004B208C">
              <w:rPr>
                <w:rFonts w:ascii="Tahoma" w:hAnsi="Tahoma" w:cs="Tahoma"/>
                <w:sz w:val="14"/>
              </w:rPr>
              <w:t>de</w:t>
            </w:r>
            <w:r w:rsidR="00731EEF">
              <w:rPr>
                <w:rFonts w:ascii="Tahoma" w:hAnsi="Tahoma" w:cs="Tahoma"/>
                <w:sz w:val="14"/>
              </w:rPr>
              <w:t> </w:t>
            </w:r>
            <w:r w:rsidRPr="004B208C">
              <w:rPr>
                <w:rFonts w:ascii="Tahoma" w:hAnsi="Tahoma" w:cs="Tahoma"/>
                <w:sz w:val="14"/>
              </w:rPr>
              <w:t>Dispositivo e Usuário)</w:t>
            </w:r>
            <w:bookmarkEnd w:id="239"/>
          </w:p>
        </w:tc>
        <w:tc>
          <w:tcPr>
            <w:tcW w:w="449" w:type="dxa"/>
            <w:tcBorders>
              <w:bottom w:val="single" w:sz="4" w:space="0" w:color="auto"/>
            </w:tcBorders>
            <w:shd w:val="clear" w:color="auto" w:fill="auto"/>
            <w:vAlign w:val="center"/>
          </w:tcPr>
          <w:p w:rsidR="003D4F46" w:rsidRPr="007A5CBE" w:rsidRDefault="00C70EF2" w:rsidP="003D4F46">
            <w:pPr>
              <w:pStyle w:val="TableText"/>
              <w:widowControl w:val="0"/>
              <w:rPr>
                <w:rFonts w:cs="Tahoma"/>
                <w:b/>
                <w:bCs/>
                <w:color w:val="0000FF"/>
                <w:sz w:val="13"/>
                <w:szCs w:val="13"/>
                <w:u w:val="single"/>
              </w:rPr>
            </w:pPr>
            <w:hyperlink w:anchor="_65_Forefront_Security" w:history="1">
              <w:r w:rsidR="007A5CBE" w:rsidRPr="007A5CBE">
                <w:rPr>
                  <w:rStyle w:val="Hyperlink"/>
                  <w:b/>
                  <w:bCs/>
                  <w:sz w:val="13"/>
                  <w:szCs w:val="13"/>
                </w:rPr>
                <w:t>64</w:t>
              </w:r>
            </w:hyperlink>
          </w:p>
        </w:tc>
        <w:tc>
          <w:tcPr>
            <w:tcW w:w="449" w:type="dxa"/>
            <w:tcBorders>
              <w:bottom w:val="single" w:sz="4" w:space="0" w:color="auto"/>
            </w:tcBorders>
            <w:shd w:val="clear" w:color="auto" w:fill="auto"/>
          </w:tcPr>
          <w:p w:rsidR="003D4F46" w:rsidRPr="004B208C" w:rsidRDefault="003D4F46"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3D4F46" w:rsidRPr="004B208C" w:rsidRDefault="003D4F46"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3D4F46" w:rsidRPr="004B208C" w:rsidRDefault="003D4F46"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rsidR="003D4F46" w:rsidRPr="004B208C" w:rsidRDefault="003D4F46"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40" w:name="_Toc336337981"/>
            <w:bookmarkStart w:id="241" w:name="_Toc370981107"/>
            <w:r w:rsidRPr="004B208C">
              <w:rPr>
                <w:rFonts w:ascii="Tahoma" w:hAnsi="Tahoma" w:cs="Tahoma"/>
                <w:sz w:val="14"/>
              </w:rPr>
              <w:t>Forefront Threat Management Gateway Web Protection Services</w:t>
            </w:r>
            <w:bookmarkEnd w:id="240"/>
            <w:bookmarkEnd w:id="241"/>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Style w:val="EndnoteReference"/>
                <w:rFonts w:cs="Tahoma"/>
                <w:b w:val="0"/>
                <w:color w:val="0000FF"/>
                <w:position w:val="-11"/>
                <w:sz w:val="13"/>
                <w:szCs w:val="13"/>
                <w:u w:val="single"/>
              </w:rPr>
            </w:pPr>
            <w:hyperlink w:anchor="_66_Forefront_Threat" w:history="1">
              <w:r w:rsidR="00CF5A3E" w:rsidRPr="00731EEF">
                <w:rPr>
                  <w:rStyle w:val="Hyperlink"/>
                  <w:rFonts w:cs="Tahoma"/>
                  <w:b/>
                  <w:sz w:val="13"/>
                  <w:szCs w:val="13"/>
                </w:rPr>
                <w:t>65</w:t>
              </w:r>
            </w:hyperlink>
            <w:hyperlink w:anchor="_57_Forefront_Threat"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1A63C6">
            <w:pPr>
              <w:pStyle w:val="ProductNames"/>
              <w:rPr>
                <w:rFonts w:ascii="Tahoma" w:hAnsi="Tahoma" w:cs="Tahoma"/>
                <w:sz w:val="14"/>
              </w:rPr>
            </w:pPr>
            <w:bookmarkStart w:id="242" w:name="_Toc336337982"/>
            <w:bookmarkStart w:id="243" w:name="_Toc370981108"/>
            <w:r w:rsidRPr="004B208C">
              <w:rPr>
                <w:rFonts w:ascii="Tahoma" w:hAnsi="Tahoma" w:cs="Tahoma"/>
                <w:sz w:val="14"/>
              </w:rPr>
              <w:t>Forefront Unified Access Gateway Server 2010</w:t>
            </w:r>
            <w:bookmarkEnd w:id="242"/>
            <w:bookmarkEnd w:id="243"/>
          </w:p>
        </w:tc>
        <w:tc>
          <w:tcPr>
            <w:tcW w:w="449" w:type="dxa"/>
            <w:tcBorders>
              <w:bottom w:val="single" w:sz="4" w:space="0" w:color="auto"/>
            </w:tcBorders>
            <w:shd w:val="clear" w:color="auto" w:fill="auto"/>
            <w:vAlign w:val="center"/>
          </w:tcPr>
          <w:p w:rsidR="00913A0A" w:rsidRPr="00731EEF" w:rsidRDefault="00C70EF2" w:rsidP="003D4F46">
            <w:pPr>
              <w:pStyle w:val="TableText"/>
              <w:widowControl w:val="0"/>
              <w:rPr>
                <w:rFonts w:cs="Tahoma"/>
                <w:b/>
                <w:color w:val="000000"/>
                <w:sz w:val="13"/>
                <w:szCs w:val="13"/>
                <w:u w:val="single"/>
              </w:rPr>
            </w:pPr>
            <w:hyperlink w:anchor="_67_Forefront_Unified" w:history="1">
              <w:r w:rsidR="00CF5A3E" w:rsidRPr="00731EEF">
                <w:rPr>
                  <w:rStyle w:val="Hyperlink"/>
                  <w:rFonts w:cs="Tahoma"/>
                  <w:b/>
                  <w:sz w:val="13"/>
                  <w:szCs w:val="13"/>
                </w:rPr>
                <w:t>66</w:t>
              </w:r>
            </w:hyperlink>
            <w:hyperlink w:anchor="Srv_52ForefrontUnifiedAccessGtwy2010" w:history="1"/>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44" w:name="_Toc336337983"/>
            <w:bookmarkStart w:id="245" w:name="_Toc370981109"/>
            <w:r w:rsidRPr="004B208C">
              <w:rPr>
                <w:rFonts w:ascii="Tahoma" w:hAnsi="Tahoma" w:cs="Tahoma"/>
                <w:sz w:val="14"/>
              </w:rPr>
              <w:t>External Connector do Forefront Unified Access Gateway 2010</w:t>
            </w:r>
            <w:bookmarkEnd w:id="244"/>
            <w:bookmarkEnd w:id="245"/>
          </w:p>
        </w:tc>
        <w:tc>
          <w:tcPr>
            <w:tcW w:w="449" w:type="dxa"/>
            <w:tcBorders>
              <w:bottom w:val="single" w:sz="4" w:space="0" w:color="auto"/>
            </w:tcBorders>
            <w:shd w:val="clear" w:color="auto" w:fill="FABF8F"/>
            <w:vAlign w:val="center"/>
          </w:tcPr>
          <w:p w:rsidR="00913A0A" w:rsidRPr="00731EEF" w:rsidRDefault="00C70EF2" w:rsidP="003D4F46">
            <w:pPr>
              <w:pStyle w:val="TableText"/>
              <w:widowControl w:val="0"/>
              <w:rPr>
                <w:rFonts w:cs="Tahoma"/>
                <w:b/>
                <w:color w:val="000000"/>
                <w:sz w:val="13"/>
                <w:szCs w:val="13"/>
                <w:u w:val="single"/>
              </w:rPr>
            </w:pPr>
            <w:hyperlink w:anchor="_67_Forefront_Unified" w:history="1">
              <w:r w:rsidR="00CF5A3E" w:rsidRPr="00731EEF">
                <w:rPr>
                  <w:rStyle w:val="Hyperlink"/>
                  <w:rFonts w:cs="Tahoma"/>
                  <w:b/>
                  <w:sz w:val="13"/>
                  <w:szCs w:val="13"/>
                </w:rPr>
                <w:t>66</w:t>
              </w:r>
            </w:hyperlink>
            <w:hyperlink w:anchor="Srv_56ForefrontUnifiedAccessGtwy2010"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500</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400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200</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200</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1A63C6">
            <w:pPr>
              <w:pStyle w:val="ProductNames"/>
              <w:rPr>
                <w:rFonts w:ascii="Tahoma" w:hAnsi="Tahoma" w:cs="Tahoma"/>
                <w:sz w:val="14"/>
              </w:rPr>
            </w:pPr>
            <w:bookmarkStart w:id="246" w:name="_Toc336337984"/>
            <w:bookmarkStart w:id="247" w:name="_Toc370981110"/>
            <w:r w:rsidRPr="004B208C">
              <w:rPr>
                <w:rFonts w:ascii="Tahoma" w:hAnsi="Tahoma" w:cs="Tahoma"/>
                <w:sz w:val="14"/>
              </w:rPr>
              <w:t>CAL do Forefront Unified Access Gateway 2010</w:t>
            </w:r>
            <w:bookmarkEnd w:id="246"/>
            <w:bookmarkEnd w:id="247"/>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731EEF" w:rsidRDefault="00C70EF2" w:rsidP="00793532">
            <w:pPr>
              <w:pStyle w:val="TableText"/>
              <w:widowControl w:val="0"/>
              <w:rPr>
                <w:rFonts w:cs="Tahoma"/>
                <w:b/>
                <w:color w:val="000000"/>
                <w:sz w:val="13"/>
                <w:szCs w:val="13"/>
                <w:u w:val="single"/>
              </w:rPr>
            </w:pPr>
            <w:hyperlink w:anchor="_67_Forefront_Unified" w:history="1">
              <w:r w:rsidR="00CF5A3E" w:rsidRPr="00731EEF">
                <w:rPr>
                  <w:rStyle w:val="Hyperlink"/>
                  <w:rFonts w:cs="Tahoma"/>
                  <w:b/>
                  <w:sz w:val="13"/>
                  <w:szCs w:val="13"/>
                </w:rPr>
                <w:t>66</w:t>
              </w:r>
            </w:hyperlink>
            <w:hyperlink w:anchor="Srv_52ForefrontUnifiedAccessGtwy2010" w:history="1"/>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48" w:name="_Toc336337985"/>
            <w:bookmarkStart w:id="249" w:name="_Toc370981111"/>
            <w:r w:rsidRPr="004B208C">
              <w:rPr>
                <w:rFonts w:ascii="Tahoma" w:hAnsi="Tahoma" w:cs="Tahoma"/>
                <w:sz w:val="14"/>
              </w:rPr>
              <w:t>Pacote CAL do Forefront Unified Access Gateway 2010 10K</w:t>
            </w:r>
            <w:bookmarkEnd w:id="248"/>
            <w:bookmarkEnd w:id="249"/>
          </w:p>
        </w:tc>
        <w:tc>
          <w:tcPr>
            <w:tcW w:w="449" w:type="dxa"/>
            <w:tcBorders>
              <w:bottom w:val="single" w:sz="4" w:space="0" w:color="auto"/>
            </w:tcBorders>
            <w:shd w:val="clear" w:color="auto" w:fill="FABF8F"/>
            <w:vAlign w:val="center"/>
          </w:tcPr>
          <w:p w:rsidR="00913A0A" w:rsidRPr="00731EEF" w:rsidRDefault="00C70EF2" w:rsidP="00793532">
            <w:pPr>
              <w:pStyle w:val="TableText"/>
              <w:widowControl w:val="0"/>
              <w:rPr>
                <w:rFonts w:cs="Tahoma"/>
                <w:b/>
                <w:color w:val="000000"/>
                <w:sz w:val="13"/>
                <w:szCs w:val="13"/>
                <w:u w:val="single"/>
              </w:rPr>
            </w:pPr>
            <w:hyperlink w:anchor="_67_Forefront_Unified" w:history="1">
              <w:r w:rsidR="00CF5A3E" w:rsidRPr="00731EEF">
                <w:rPr>
                  <w:rStyle w:val="Hyperlink"/>
                  <w:rFonts w:cs="Tahoma"/>
                  <w:b/>
                  <w:sz w:val="13"/>
                  <w:szCs w:val="13"/>
                </w:rPr>
                <w:t>66</w:t>
              </w:r>
            </w:hyperlink>
            <w:hyperlink w:anchor="Srv_52ForefrontUnifiedAccessGtwy2010"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500</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400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200</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1A63C6">
            <w:pPr>
              <w:pStyle w:val="ProductNames"/>
              <w:rPr>
                <w:rFonts w:ascii="Tahoma" w:hAnsi="Tahoma" w:cs="Tahoma"/>
                <w:sz w:val="14"/>
              </w:rPr>
            </w:pPr>
            <w:bookmarkStart w:id="250" w:name="_Toc336337990"/>
            <w:bookmarkStart w:id="251" w:name="_Toc370981112"/>
            <w:r w:rsidRPr="004B208C">
              <w:rPr>
                <w:rFonts w:ascii="Tahoma" w:hAnsi="Tahoma" w:cs="Tahoma"/>
                <w:sz w:val="14"/>
              </w:rPr>
              <w:t>HPC Pack 2008 R2 Enterprise</w:t>
            </w:r>
            <w:bookmarkEnd w:id="250"/>
            <w:bookmarkEnd w:id="251"/>
          </w:p>
        </w:tc>
        <w:tc>
          <w:tcPr>
            <w:tcW w:w="449" w:type="dxa"/>
            <w:tcBorders>
              <w:bottom w:val="single" w:sz="4" w:space="0" w:color="auto"/>
            </w:tcBorders>
            <w:shd w:val="clear" w:color="auto" w:fill="auto"/>
            <w:vAlign w:val="center"/>
          </w:tcPr>
          <w:p w:rsidR="00913A0A" w:rsidRPr="00731EEF" w:rsidRDefault="00C70EF2" w:rsidP="00793532">
            <w:pPr>
              <w:pStyle w:val="TableText"/>
              <w:widowControl w:val="0"/>
              <w:rPr>
                <w:rStyle w:val="EndnoteReference"/>
                <w:rFonts w:cs="Tahoma"/>
                <w:color w:val="000000"/>
                <w:position w:val="-11"/>
                <w:sz w:val="13"/>
                <w:szCs w:val="13"/>
                <w:u w:val="single"/>
              </w:rPr>
            </w:pPr>
            <w:hyperlink w:anchor="_51_High_Performance" w:history="1">
              <w:r w:rsidR="007A5CBE" w:rsidRPr="007A5CBE">
                <w:rPr>
                  <w:rStyle w:val="Hyperlink"/>
                  <w:rFonts w:cs="Tahoma"/>
                  <w:b/>
                  <w:sz w:val="13"/>
                  <w:szCs w:val="13"/>
                </w:rPr>
                <w:t>67</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1A63C6">
            <w:pPr>
              <w:pStyle w:val="ProductNames"/>
              <w:rPr>
                <w:rFonts w:ascii="Tahoma" w:hAnsi="Tahoma" w:cs="Tahoma"/>
                <w:sz w:val="14"/>
              </w:rPr>
            </w:pPr>
            <w:bookmarkStart w:id="252" w:name="_Toc336337991"/>
            <w:bookmarkStart w:id="253" w:name="_Toc370981113"/>
            <w:r w:rsidRPr="004B208C">
              <w:rPr>
                <w:rFonts w:ascii="Tahoma" w:hAnsi="Tahoma" w:cs="Tahoma"/>
                <w:sz w:val="14"/>
              </w:rPr>
              <w:t>HPC Pack 2008 R2 para Workstation</w:t>
            </w:r>
            <w:bookmarkEnd w:id="252"/>
            <w:bookmarkEnd w:id="253"/>
          </w:p>
        </w:tc>
        <w:tc>
          <w:tcPr>
            <w:tcW w:w="449" w:type="dxa"/>
            <w:tcBorders>
              <w:bottom w:val="single" w:sz="4" w:space="0" w:color="auto"/>
            </w:tcBorders>
            <w:shd w:val="clear" w:color="auto" w:fill="FABF8F"/>
            <w:vAlign w:val="center"/>
          </w:tcPr>
          <w:p w:rsidR="00913A0A" w:rsidRPr="00731EEF" w:rsidRDefault="00C70EF2" w:rsidP="007A5CBE">
            <w:pPr>
              <w:pStyle w:val="TableText"/>
              <w:widowControl w:val="0"/>
              <w:rPr>
                <w:rStyle w:val="EndnoteReference"/>
                <w:rFonts w:cs="Tahoma"/>
                <w:b w:val="0"/>
                <w:color w:val="000000"/>
                <w:sz w:val="13"/>
                <w:szCs w:val="13"/>
                <w:u w:val="single"/>
              </w:rPr>
            </w:pPr>
            <w:hyperlink w:anchor="_51_High_Performance" w:history="1">
              <w:r w:rsidR="00CF5A3E" w:rsidRPr="007A5CBE">
                <w:rPr>
                  <w:rStyle w:val="Hyperlink"/>
                  <w:rFonts w:cs="Tahoma"/>
                  <w:b/>
                  <w:sz w:val="13"/>
                  <w:szCs w:val="13"/>
                </w:rPr>
                <w:t>6</w:t>
              </w:r>
              <w:r w:rsidR="007A5CBE" w:rsidRPr="007A5CBE">
                <w:rPr>
                  <w:rStyle w:val="Hyperlink"/>
                  <w:rFonts w:cs="Tahoma"/>
                  <w:b/>
                  <w:sz w:val="13"/>
                  <w:szCs w:val="13"/>
                </w:rPr>
                <w:t>7</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0"/>
              <w:rPr>
                <w:rFonts w:ascii="Tahoma" w:hAnsi="Tahoma" w:cs="Tahoma"/>
                <w:b w:val="0"/>
                <w:sz w:val="14"/>
                <w:szCs w:val="16"/>
              </w:rPr>
            </w:pPr>
            <w:bookmarkStart w:id="254" w:name="_Toc370981114"/>
            <w:r w:rsidRPr="004B208C">
              <w:rPr>
                <w:rFonts w:ascii="Tahoma" w:hAnsi="Tahoma" w:cs="Tahoma"/>
                <w:b w:val="0"/>
                <w:sz w:val="14"/>
                <w:szCs w:val="16"/>
              </w:rPr>
              <w:t>Complemento do Lync Online Plano 1 (SL de Usuário)</w:t>
            </w:r>
            <w:bookmarkEnd w:id="254"/>
          </w:p>
        </w:tc>
        <w:tc>
          <w:tcPr>
            <w:tcW w:w="449" w:type="dxa"/>
            <w:tcBorders>
              <w:bottom w:val="single" w:sz="4" w:space="0" w:color="auto"/>
            </w:tcBorders>
            <w:shd w:val="clear" w:color="auto" w:fill="auto"/>
            <w:vAlign w:val="center"/>
          </w:tcPr>
          <w:p w:rsidR="00913A0A" w:rsidRPr="00731EEF" w:rsidRDefault="00C70EF2" w:rsidP="00793532">
            <w:pPr>
              <w:pStyle w:val="TableText"/>
              <w:widowControl w:val="0"/>
              <w:rPr>
                <w:rFonts w:cs="Tahoma"/>
                <w:b/>
                <w:sz w:val="13"/>
                <w:szCs w:val="13"/>
              </w:rPr>
            </w:pPr>
            <w:hyperlink w:anchor="_65_63_Lync" w:history="1">
              <w:r w:rsidR="00CF5A3E" w:rsidRPr="00731EEF">
                <w:rPr>
                  <w:rStyle w:val="Hyperlink"/>
                  <w:rFonts w:cs="Tahoma"/>
                  <w:b/>
                  <w:sz w:val="13"/>
                  <w:szCs w:val="13"/>
                </w:rPr>
                <w:t>68</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ind w:left="0"/>
              <w:rPr>
                <w:rFonts w:ascii="Tahoma" w:hAnsi="Tahoma" w:cs="Tahoma"/>
                <w:b w:val="0"/>
                <w:sz w:val="14"/>
                <w:szCs w:val="16"/>
              </w:rPr>
            </w:pPr>
            <w:bookmarkStart w:id="255" w:name="_Toc336337995"/>
            <w:bookmarkStart w:id="256" w:name="_Toc370981115"/>
            <w:r w:rsidRPr="004B208C">
              <w:rPr>
                <w:rFonts w:ascii="Tahoma" w:hAnsi="Tahoma" w:cs="Tahoma"/>
                <w:b w:val="0"/>
                <w:sz w:val="14"/>
                <w:szCs w:val="16"/>
              </w:rPr>
              <w:t>Lync Online Plano 1 (SL de Usuário)</w:t>
            </w:r>
            <w:bookmarkEnd w:id="255"/>
            <w:bookmarkEnd w:id="256"/>
          </w:p>
        </w:tc>
        <w:tc>
          <w:tcPr>
            <w:tcW w:w="449" w:type="dxa"/>
            <w:tcBorders>
              <w:bottom w:val="single" w:sz="4" w:space="0" w:color="auto"/>
            </w:tcBorders>
            <w:shd w:val="clear" w:color="auto" w:fill="FABF8F"/>
            <w:vAlign w:val="center"/>
          </w:tcPr>
          <w:p w:rsidR="00913A0A" w:rsidRPr="00731EEF" w:rsidRDefault="00C70EF2" w:rsidP="00793532">
            <w:pPr>
              <w:pStyle w:val="TableText"/>
              <w:widowControl w:val="0"/>
              <w:rPr>
                <w:rFonts w:cs="Tahoma"/>
                <w:b/>
                <w:color w:val="0000FF"/>
                <w:sz w:val="13"/>
                <w:szCs w:val="13"/>
                <w:u w:val="single"/>
              </w:rPr>
            </w:pPr>
            <w:hyperlink w:anchor="_65_63_Lync" w:history="1">
              <w:r w:rsidR="00CF5A3E" w:rsidRPr="00731EEF">
                <w:rPr>
                  <w:rStyle w:val="Hyperlink"/>
                  <w:rFonts w:cs="Tahoma"/>
                  <w:b/>
                  <w:sz w:val="13"/>
                  <w:szCs w:val="13"/>
                </w:rPr>
                <w:t>68</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0"/>
              <w:rPr>
                <w:rFonts w:ascii="Tahoma" w:hAnsi="Tahoma" w:cs="Tahoma"/>
                <w:b w:val="0"/>
                <w:sz w:val="14"/>
                <w:szCs w:val="16"/>
              </w:rPr>
            </w:pPr>
            <w:bookmarkStart w:id="257" w:name="_Toc336337996"/>
            <w:bookmarkStart w:id="258" w:name="_Toc370981116"/>
            <w:r w:rsidRPr="004B208C">
              <w:rPr>
                <w:rFonts w:ascii="Tahoma" w:hAnsi="Tahoma" w:cs="Tahoma"/>
                <w:b w:val="0"/>
                <w:sz w:val="14"/>
                <w:szCs w:val="16"/>
              </w:rPr>
              <w:t>Lync Online Plano 2 (SL de Usuário)</w:t>
            </w:r>
            <w:bookmarkEnd w:id="257"/>
            <w:bookmarkEnd w:id="258"/>
          </w:p>
        </w:tc>
        <w:tc>
          <w:tcPr>
            <w:tcW w:w="449" w:type="dxa"/>
            <w:tcBorders>
              <w:bottom w:val="single" w:sz="4" w:space="0" w:color="auto"/>
            </w:tcBorders>
            <w:shd w:val="clear" w:color="auto" w:fill="auto"/>
            <w:vAlign w:val="center"/>
          </w:tcPr>
          <w:p w:rsidR="00913A0A" w:rsidRPr="00731EEF" w:rsidRDefault="00C70EF2" w:rsidP="00793532">
            <w:pPr>
              <w:pStyle w:val="TableText"/>
              <w:widowControl w:val="0"/>
              <w:rPr>
                <w:rFonts w:cs="Tahoma"/>
                <w:b/>
                <w:color w:val="0000FF"/>
                <w:sz w:val="13"/>
                <w:szCs w:val="13"/>
                <w:u w:val="single"/>
              </w:rPr>
            </w:pPr>
            <w:hyperlink w:anchor="_70_Lync_Online" w:history="1">
              <w:r w:rsidR="00CF5A3E" w:rsidRPr="00731EEF">
                <w:rPr>
                  <w:rStyle w:val="Hyperlink"/>
                  <w:rFonts w:cs="Tahoma"/>
                  <w:b/>
                  <w:sz w:val="13"/>
                  <w:szCs w:val="13"/>
                </w:rPr>
                <w:t>68</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ind w:left="0"/>
              <w:rPr>
                <w:rFonts w:ascii="Tahoma" w:hAnsi="Tahoma" w:cs="Tahoma"/>
                <w:b w:val="0"/>
                <w:sz w:val="14"/>
                <w:szCs w:val="16"/>
              </w:rPr>
            </w:pPr>
            <w:bookmarkStart w:id="259" w:name="_Toc336337997"/>
            <w:bookmarkStart w:id="260" w:name="_Toc370981117"/>
            <w:r w:rsidRPr="004B208C">
              <w:rPr>
                <w:rFonts w:ascii="Tahoma" w:hAnsi="Tahoma" w:cs="Tahoma"/>
                <w:b w:val="0"/>
                <w:sz w:val="14"/>
                <w:szCs w:val="16"/>
              </w:rPr>
              <w:t>Lync Online Plano 3 (SL de Usuário)</w:t>
            </w:r>
            <w:bookmarkEnd w:id="259"/>
            <w:bookmarkEnd w:id="260"/>
          </w:p>
        </w:tc>
        <w:tc>
          <w:tcPr>
            <w:tcW w:w="449" w:type="dxa"/>
            <w:tcBorders>
              <w:bottom w:val="single" w:sz="4" w:space="0" w:color="auto"/>
            </w:tcBorders>
            <w:shd w:val="clear" w:color="auto" w:fill="FABF8F"/>
            <w:vAlign w:val="center"/>
          </w:tcPr>
          <w:p w:rsidR="00913A0A" w:rsidRPr="00731EEF" w:rsidRDefault="00C70EF2" w:rsidP="00793532">
            <w:pPr>
              <w:pStyle w:val="TableText"/>
              <w:widowControl w:val="0"/>
              <w:rPr>
                <w:rFonts w:cs="Tahoma"/>
                <w:b/>
                <w:color w:val="0000FF"/>
                <w:sz w:val="13"/>
                <w:szCs w:val="13"/>
                <w:u w:val="single"/>
              </w:rPr>
            </w:pPr>
            <w:hyperlink w:anchor="_70_Lync_Online" w:history="1">
              <w:r w:rsidR="00CF5A3E" w:rsidRPr="00731EEF">
                <w:rPr>
                  <w:rStyle w:val="Hyperlink"/>
                  <w:rFonts w:cs="Tahoma"/>
                  <w:b/>
                  <w:sz w:val="13"/>
                  <w:szCs w:val="13"/>
                </w:rPr>
                <w:t>68</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0"/>
              <w:rPr>
                <w:rFonts w:ascii="Tahoma" w:hAnsi="Tahoma" w:cs="Tahoma"/>
                <w:b w:val="0"/>
                <w:sz w:val="14"/>
                <w:szCs w:val="16"/>
              </w:rPr>
            </w:pPr>
            <w:bookmarkStart w:id="261" w:name="_Toc336337998"/>
            <w:bookmarkStart w:id="262" w:name="_Toc370981118"/>
            <w:r w:rsidRPr="004B208C">
              <w:rPr>
                <w:rFonts w:ascii="Tahoma" w:hAnsi="Tahoma" w:cs="Tahoma"/>
                <w:b w:val="0"/>
                <w:sz w:val="14"/>
                <w:szCs w:val="16"/>
              </w:rPr>
              <w:t>Lync Online Plano 3A (SL de Usuário)</w:t>
            </w:r>
            <w:bookmarkEnd w:id="261"/>
            <w:bookmarkEnd w:id="262"/>
          </w:p>
        </w:tc>
        <w:tc>
          <w:tcPr>
            <w:tcW w:w="449" w:type="dxa"/>
            <w:tcBorders>
              <w:bottom w:val="single" w:sz="4" w:space="0" w:color="auto"/>
            </w:tcBorders>
            <w:shd w:val="clear" w:color="auto" w:fill="auto"/>
            <w:vAlign w:val="center"/>
          </w:tcPr>
          <w:p w:rsidR="00913A0A" w:rsidRPr="00731EEF" w:rsidRDefault="00C70EF2" w:rsidP="00793532">
            <w:pPr>
              <w:pStyle w:val="TableText"/>
              <w:widowControl w:val="0"/>
              <w:rPr>
                <w:rFonts w:cs="Tahoma"/>
                <w:b/>
                <w:color w:val="0000FF"/>
                <w:sz w:val="13"/>
                <w:szCs w:val="13"/>
                <w:u w:val="single"/>
              </w:rPr>
            </w:pPr>
            <w:hyperlink w:anchor="_70_Lync_Online" w:history="1">
              <w:r w:rsidR="00CF5A3E" w:rsidRPr="00731EEF">
                <w:rPr>
                  <w:rStyle w:val="Hyperlink"/>
                  <w:rFonts w:cs="Tahoma"/>
                  <w:b/>
                  <w:sz w:val="13"/>
                  <w:szCs w:val="13"/>
                </w:rPr>
                <w:t>68</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ST (Somente EES)</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ind w:left="0"/>
              <w:rPr>
                <w:rFonts w:ascii="Tahoma" w:hAnsi="Tahoma" w:cs="Tahoma"/>
                <w:b w:val="0"/>
                <w:sz w:val="14"/>
                <w:szCs w:val="16"/>
              </w:rPr>
            </w:pPr>
            <w:bookmarkStart w:id="263" w:name="_Toc336337999"/>
            <w:bookmarkStart w:id="264" w:name="_Toc370981119"/>
            <w:r w:rsidRPr="004B208C">
              <w:rPr>
                <w:rFonts w:ascii="Tahoma" w:hAnsi="Tahoma" w:cs="Tahoma"/>
                <w:b w:val="0"/>
                <w:sz w:val="14"/>
                <w:szCs w:val="16"/>
              </w:rPr>
              <w:t xml:space="preserve">Lync Server </w:t>
            </w:r>
            <w:bookmarkEnd w:id="263"/>
            <w:r w:rsidRPr="004B208C">
              <w:rPr>
                <w:rFonts w:ascii="Tahoma" w:hAnsi="Tahoma" w:cs="Tahoma"/>
                <w:b w:val="0"/>
                <w:sz w:val="14"/>
                <w:szCs w:val="16"/>
              </w:rPr>
              <w:t>2013</w:t>
            </w:r>
            <w:bookmarkEnd w:id="264"/>
          </w:p>
        </w:tc>
        <w:tc>
          <w:tcPr>
            <w:tcW w:w="449" w:type="dxa"/>
            <w:tcBorders>
              <w:bottom w:val="single" w:sz="4" w:space="0" w:color="auto"/>
            </w:tcBorders>
            <w:shd w:val="clear" w:color="auto" w:fill="FABF8F"/>
            <w:vAlign w:val="center"/>
          </w:tcPr>
          <w:p w:rsidR="00913A0A" w:rsidRPr="00731EEF" w:rsidRDefault="00C70EF2" w:rsidP="00793532">
            <w:pPr>
              <w:pStyle w:val="TableText"/>
              <w:widowControl w:val="0"/>
              <w:rPr>
                <w:rFonts w:cs="Tahoma"/>
                <w:b/>
                <w:color w:val="0000FF"/>
                <w:sz w:val="13"/>
                <w:szCs w:val="13"/>
                <w:u w:val="single"/>
              </w:rPr>
            </w:pPr>
            <w:hyperlink w:anchor="_62_Lync_Server" w:history="1">
              <w:r w:rsidR="00CF5A3E" w:rsidRPr="00731EEF">
                <w:rPr>
                  <w:rStyle w:val="Hyperlink"/>
                  <w:rFonts w:cs="Tahoma"/>
                  <w:b/>
                  <w:sz w:val="13"/>
                  <w:szCs w:val="13"/>
                </w:rPr>
                <w:t>69</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Del="006A2F66" w:rsidRDefault="00913A0A" w:rsidP="001A63C6">
            <w:pPr>
              <w:pStyle w:val="Heading2"/>
              <w:ind w:left="0"/>
              <w:rPr>
                <w:rFonts w:ascii="Tahoma" w:hAnsi="Tahoma" w:cs="Tahoma"/>
                <w:b w:val="0"/>
                <w:sz w:val="14"/>
                <w:szCs w:val="16"/>
              </w:rPr>
            </w:pPr>
            <w:bookmarkStart w:id="265" w:name="_Toc336338000"/>
            <w:bookmarkStart w:id="266" w:name="_Toc370981120"/>
            <w:r w:rsidRPr="004B208C">
              <w:rPr>
                <w:rFonts w:ascii="Tahoma" w:hAnsi="Tahoma" w:cs="Tahoma"/>
                <w:b w:val="0"/>
                <w:sz w:val="14"/>
                <w:szCs w:val="16"/>
              </w:rPr>
              <w:t>CAL Empresarial do Lync Server</w:t>
            </w:r>
            <w:bookmarkEnd w:id="265"/>
            <w:r w:rsidRPr="004B208C">
              <w:rPr>
                <w:rFonts w:ascii="Tahoma" w:hAnsi="Tahoma" w:cs="Tahoma"/>
                <w:b w:val="0"/>
                <w:sz w:val="14"/>
                <w:szCs w:val="16"/>
              </w:rPr>
              <w:t xml:space="preserve"> 2013</w:t>
            </w:r>
            <w:bookmarkEnd w:id="266"/>
          </w:p>
        </w:tc>
        <w:tc>
          <w:tcPr>
            <w:tcW w:w="449" w:type="dxa"/>
            <w:tcBorders>
              <w:bottom w:val="single" w:sz="4" w:space="0" w:color="auto"/>
            </w:tcBorders>
            <w:shd w:val="clear" w:color="auto" w:fill="auto"/>
            <w:vAlign w:val="center"/>
          </w:tcPr>
          <w:p w:rsidR="00913A0A" w:rsidRPr="00731EEF" w:rsidDel="006A2F66" w:rsidRDefault="00913A0A"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tcPr>
          <w:p w:rsidR="00913A0A" w:rsidRPr="004B208C" w:rsidDel="006A2F66"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Del="006A2F66" w:rsidRDefault="00913A0A" w:rsidP="001A63C6">
            <w:pPr>
              <w:pStyle w:val="TableText"/>
              <w:widowControl w:val="0"/>
              <w:spacing w:before="12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Del="006A2F66" w:rsidRDefault="00913A0A" w:rsidP="001A63C6">
            <w:pPr>
              <w:pStyle w:val="Heading2"/>
              <w:ind w:left="0"/>
              <w:rPr>
                <w:rFonts w:ascii="Tahoma" w:hAnsi="Tahoma" w:cs="Tahoma"/>
                <w:b w:val="0"/>
                <w:sz w:val="14"/>
                <w:szCs w:val="16"/>
              </w:rPr>
            </w:pPr>
            <w:bookmarkStart w:id="267" w:name="_Toc336338002"/>
            <w:bookmarkStart w:id="268" w:name="_Toc370981121"/>
            <w:r w:rsidRPr="004B208C">
              <w:rPr>
                <w:rFonts w:ascii="Tahoma" w:hAnsi="Tahoma" w:cs="Tahoma"/>
                <w:b w:val="0"/>
                <w:sz w:val="14"/>
                <w:szCs w:val="16"/>
              </w:rPr>
              <w:t>CAL do Lync Server Plus</w:t>
            </w:r>
            <w:bookmarkEnd w:id="267"/>
            <w:r w:rsidRPr="004B208C">
              <w:rPr>
                <w:rFonts w:ascii="Tahoma" w:hAnsi="Tahoma" w:cs="Tahoma"/>
                <w:b w:val="0"/>
                <w:sz w:val="14"/>
                <w:szCs w:val="16"/>
              </w:rPr>
              <w:t xml:space="preserve"> 2013</w:t>
            </w:r>
            <w:bookmarkEnd w:id="268"/>
          </w:p>
        </w:tc>
        <w:tc>
          <w:tcPr>
            <w:tcW w:w="449" w:type="dxa"/>
            <w:tcBorders>
              <w:bottom w:val="single" w:sz="4" w:space="0" w:color="auto"/>
            </w:tcBorders>
            <w:shd w:val="clear" w:color="auto" w:fill="FABF8F"/>
            <w:vAlign w:val="center"/>
          </w:tcPr>
          <w:p w:rsidR="00913A0A" w:rsidRPr="00731EEF" w:rsidDel="006A2F66" w:rsidRDefault="00913A0A" w:rsidP="001A63C6">
            <w:pPr>
              <w:pStyle w:val="TableText"/>
              <w:widowControl w:val="0"/>
              <w:rPr>
                <w:rFonts w:cs="Tahoma"/>
                <w:b/>
                <w:color w:val="0000FF"/>
                <w:sz w:val="13"/>
                <w:szCs w:val="13"/>
                <w:u w:val="single"/>
              </w:rPr>
            </w:pPr>
            <w:bookmarkStart w:id="269" w:name="_Hlt335908886"/>
          </w:p>
        </w:tc>
        <w:bookmarkEnd w:id="269"/>
        <w:tc>
          <w:tcPr>
            <w:tcW w:w="449" w:type="dxa"/>
            <w:tcBorders>
              <w:bottom w:val="single" w:sz="4" w:space="0" w:color="auto"/>
            </w:tcBorders>
            <w:shd w:val="clear" w:color="auto" w:fill="FABF8F"/>
          </w:tcPr>
          <w:p w:rsidR="00913A0A" w:rsidRPr="004B208C" w:rsidDel="006A2F66"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Del="006A2F66" w:rsidRDefault="00913A0A" w:rsidP="001A63C6">
            <w:pPr>
              <w:pStyle w:val="TableText"/>
              <w:widowControl w:val="0"/>
              <w:spacing w:before="12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Del="006A2F66" w:rsidRDefault="00913A0A" w:rsidP="001A63C6">
            <w:pPr>
              <w:pStyle w:val="Heading2"/>
              <w:ind w:left="0"/>
              <w:rPr>
                <w:rFonts w:ascii="Tahoma" w:hAnsi="Tahoma" w:cs="Tahoma"/>
                <w:b w:val="0"/>
                <w:sz w:val="14"/>
                <w:szCs w:val="16"/>
              </w:rPr>
            </w:pPr>
            <w:bookmarkStart w:id="270" w:name="_Toc336338005"/>
            <w:bookmarkStart w:id="271" w:name="_Toc370981122"/>
            <w:r w:rsidRPr="004B208C">
              <w:rPr>
                <w:rFonts w:ascii="Tahoma" w:hAnsi="Tahoma" w:cs="Tahoma"/>
                <w:b w:val="0"/>
                <w:sz w:val="14"/>
                <w:szCs w:val="16"/>
              </w:rPr>
              <w:t>CAL Padrão do Lync Server</w:t>
            </w:r>
            <w:bookmarkEnd w:id="270"/>
            <w:r w:rsidRPr="004B208C">
              <w:rPr>
                <w:rFonts w:ascii="Tahoma" w:hAnsi="Tahoma" w:cs="Tahoma"/>
                <w:b w:val="0"/>
                <w:sz w:val="14"/>
                <w:szCs w:val="16"/>
              </w:rPr>
              <w:t xml:space="preserve"> 2013</w:t>
            </w:r>
            <w:bookmarkEnd w:id="271"/>
          </w:p>
        </w:tc>
        <w:tc>
          <w:tcPr>
            <w:tcW w:w="449" w:type="dxa"/>
            <w:tcBorders>
              <w:bottom w:val="single" w:sz="4" w:space="0" w:color="auto"/>
            </w:tcBorders>
            <w:shd w:val="clear" w:color="auto" w:fill="auto"/>
            <w:vAlign w:val="center"/>
          </w:tcPr>
          <w:p w:rsidR="00913A0A" w:rsidRPr="00731EEF" w:rsidDel="006A2F66" w:rsidRDefault="00913A0A"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tcPr>
          <w:p w:rsidR="00913A0A" w:rsidRPr="004B208C" w:rsidDel="006A2F66"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Del="006A2F66"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Del="006A2F66" w:rsidRDefault="00913A0A" w:rsidP="001A63C6">
            <w:pPr>
              <w:pStyle w:val="TableText"/>
              <w:widowControl w:val="0"/>
              <w:spacing w:before="12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70"/>
        </w:trPr>
        <w:tc>
          <w:tcPr>
            <w:tcW w:w="2551" w:type="dxa"/>
            <w:gridSpan w:val="2"/>
            <w:tcBorders>
              <w:bottom w:val="single" w:sz="4" w:space="0" w:color="auto"/>
            </w:tcBorders>
            <w:shd w:val="clear" w:color="auto" w:fill="FABF8F"/>
            <w:vAlign w:val="center"/>
          </w:tcPr>
          <w:p w:rsidR="00913A0A" w:rsidRPr="004B208C" w:rsidRDefault="00913A0A" w:rsidP="00731EEF">
            <w:pPr>
              <w:pStyle w:val="Heading2"/>
              <w:ind w:left="0"/>
              <w:rPr>
                <w:rFonts w:ascii="Tahoma" w:hAnsi="Tahoma" w:cs="Tahoma"/>
                <w:b w:val="0"/>
                <w:sz w:val="14"/>
                <w:szCs w:val="14"/>
              </w:rPr>
            </w:pPr>
            <w:bookmarkStart w:id="272" w:name="_Toc336338007"/>
            <w:bookmarkStart w:id="273" w:name="_Toc370981123"/>
            <w:r w:rsidRPr="004B208C">
              <w:rPr>
                <w:rFonts w:ascii="Tahoma" w:hAnsi="Tahoma" w:cs="Tahoma"/>
                <w:b w:val="0"/>
                <w:sz w:val="14"/>
                <w:szCs w:val="14"/>
              </w:rPr>
              <w:t>CAL Empresarial Aditiva do Microsoft Dynamics AX 2012 R2 (Usuário</w:t>
            </w:r>
            <w:r w:rsidR="00731EEF">
              <w:rPr>
                <w:rFonts w:ascii="Tahoma" w:hAnsi="Tahoma" w:cs="Tahoma"/>
                <w:b w:val="0"/>
                <w:sz w:val="14"/>
                <w:szCs w:val="14"/>
              </w:rPr>
              <w:t> </w:t>
            </w:r>
            <w:r w:rsidRPr="004B208C">
              <w:rPr>
                <w:rFonts w:ascii="Tahoma" w:hAnsi="Tahoma" w:cs="Tahoma"/>
                <w:b w:val="0"/>
                <w:sz w:val="14"/>
                <w:szCs w:val="14"/>
              </w:rPr>
              <w:t>e</w:t>
            </w:r>
            <w:r w:rsidR="00731EEF">
              <w:rPr>
                <w:rFonts w:ascii="Tahoma" w:hAnsi="Tahoma" w:cs="Tahoma"/>
                <w:b w:val="0"/>
                <w:sz w:val="14"/>
                <w:szCs w:val="14"/>
              </w:rPr>
              <w:t> </w:t>
            </w:r>
            <w:r w:rsidRPr="004B208C">
              <w:rPr>
                <w:rFonts w:ascii="Tahoma" w:hAnsi="Tahoma" w:cs="Tahoma"/>
                <w:b w:val="0"/>
                <w:sz w:val="14"/>
                <w:szCs w:val="14"/>
              </w:rPr>
              <w:t>Dispositivo)</w:t>
            </w:r>
            <w:bookmarkEnd w:id="272"/>
            <w:bookmarkEnd w:id="273"/>
          </w:p>
        </w:tc>
        <w:tc>
          <w:tcPr>
            <w:tcW w:w="449" w:type="dxa"/>
            <w:tcBorders>
              <w:bottom w:val="single" w:sz="4" w:space="0" w:color="auto"/>
            </w:tcBorders>
            <w:shd w:val="clear" w:color="auto" w:fill="FABF8F"/>
            <w:vAlign w:val="center"/>
          </w:tcPr>
          <w:p w:rsidR="00913A0A" w:rsidRPr="003412D9" w:rsidRDefault="00C70EF2" w:rsidP="00793532">
            <w:pPr>
              <w:pStyle w:val="TableText"/>
              <w:widowControl w:val="0"/>
              <w:rPr>
                <w:rFonts w:cs="Tahoma"/>
                <w:b/>
                <w:color w:val="0000FF"/>
                <w:sz w:val="13"/>
                <w:szCs w:val="13"/>
                <w:u w:val="single"/>
              </w:rPr>
            </w:pPr>
            <w:hyperlink w:anchor="_72_Microsoft_Dynamics" w:history="1">
              <w:r w:rsidR="00CF5A3E" w:rsidRPr="003412D9">
                <w:rPr>
                  <w:rStyle w:val="Hyperlink"/>
                  <w:rFonts w:cs="Tahoma"/>
                  <w:b/>
                  <w:sz w:val="13"/>
                  <w:szCs w:val="13"/>
                </w:rPr>
                <w:t>70</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0"/>
              <w:rPr>
                <w:rFonts w:ascii="Tahoma" w:hAnsi="Tahoma" w:cs="Tahoma"/>
                <w:b w:val="0"/>
                <w:sz w:val="14"/>
                <w:szCs w:val="14"/>
              </w:rPr>
            </w:pPr>
            <w:bookmarkStart w:id="274" w:name="_Toc336338008"/>
            <w:bookmarkStart w:id="275" w:name="_Toc370981124"/>
            <w:r w:rsidRPr="004B208C">
              <w:rPr>
                <w:rFonts w:ascii="Tahoma" w:hAnsi="Tahoma" w:cs="Tahoma"/>
                <w:b w:val="0"/>
                <w:sz w:val="14"/>
                <w:szCs w:val="14"/>
              </w:rPr>
              <w:t>CAL Empresarial do Microsoft Dynamics AX 2012 R2 (Usuário e Dispositivo)</w:t>
            </w:r>
            <w:bookmarkEnd w:id="274"/>
            <w:bookmarkEnd w:id="275"/>
          </w:p>
        </w:tc>
        <w:tc>
          <w:tcPr>
            <w:tcW w:w="449" w:type="dxa"/>
            <w:tcBorders>
              <w:bottom w:val="single" w:sz="4" w:space="0" w:color="auto"/>
            </w:tcBorders>
            <w:shd w:val="clear" w:color="auto" w:fill="auto"/>
            <w:vAlign w:val="center"/>
          </w:tcPr>
          <w:p w:rsidR="00913A0A" w:rsidRPr="003412D9" w:rsidRDefault="00C70EF2" w:rsidP="00793532">
            <w:pPr>
              <w:pStyle w:val="TableText"/>
              <w:widowControl w:val="0"/>
              <w:rPr>
                <w:rFonts w:cs="Tahoma"/>
                <w:b/>
                <w:color w:val="0000FF"/>
                <w:sz w:val="13"/>
                <w:szCs w:val="13"/>
                <w:u w:val="single"/>
              </w:rPr>
            </w:pPr>
            <w:hyperlink w:anchor="_72_Microsoft_Dynamics" w:history="1">
              <w:r w:rsidR="00CF5A3E" w:rsidRPr="003412D9">
                <w:rPr>
                  <w:rStyle w:val="Hyperlink"/>
                  <w:rFonts w:cs="Tahoma"/>
                  <w:b/>
                  <w:sz w:val="13"/>
                  <w:szCs w:val="13"/>
                </w:rPr>
                <w:t>70</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916AA6">
            <w:pPr>
              <w:pStyle w:val="Heading2"/>
              <w:ind w:left="0"/>
              <w:rPr>
                <w:rFonts w:ascii="Tahoma" w:hAnsi="Tahoma" w:cs="Tahoma"/>
                <w:b w:val="0"/>
                <w:sz w:val="14"/>
                <w:szCs w:val="14"/>
              </w:rPr>
            </w:pPr>
            <w:bookmarkStart w:id="276" w:name="_Toc336338009"/>
            <w:bookmarkStart w:id="277" w:name="_Toc370981125"/>
            <w:r w:rsidRPr="004B208C">
              <w:rPr>
                <w:rFonts w:ascii="Tahoma" w:hAnsi="Tahoma" w:cs="Tahoma"/>
                <w:b w:val="0"/>
                <w:sz w:val="14"/>
                <w:szCs w:val="14"/>
              </w:rPr>
              <w:t>CAL Aditiva do Microsoft Dynamics AX</w:t>
            </w:r>
            <w:r w:rsidR="00916AA6">
              <w:rPr>
                <w:rFonts w:ascii="Tahoma" w:hAnsi="Tahoma" w:cs="Tahoma"/>
                <w:b w:val="0"/>
                <w:sz w:val="14"/>
                <w:szCs w:val="14"/>
              </w:rPr>
              <w:t> </w:t>
            </w:r>
            <w:r w:rsidRPr="004B208C">
              <w:rPr>
                <w:rFonts w:ascii="Tahoma" w:hAnsi="Tahoma" w:cs="Tahoma"/>
                <w:b w:val="0"/>
                <w:sz w:val="14"/>
                <w:szCs w:val="14"/>
              </w:rPr>
              <w:t>2012 R2 Funcional (Usuário e</w:t>
            </w:r>
            <w:r w:rsidR="00916AA6">
              <w:rPr>
                <w:rFonts w:ascii="Tahoma" w:hAnsi="Tahoma" w:cs="Tahoma"/>
                <w:b w:val="0"/>
                <w:sz w:val="14"/>
                <w:szCs w:val="14"/>
              </w:rPr>
              <w:t> </w:t>
            </w:r>
            <w:r w:rsidRPr="004B208C">
              <w:rPr>
                <w:rFonts w:ascii="Tahoma" w:hAnsi="Tahoma" w:cs="Tahoma"/>
                <w:b w:val="0"/>
                <w:sz w:val="14"/>
                <w:szCs w:val="14"/>
              </w:rPr>
              <w:t>Dispositivo)</w:t>
            </w:r>
            <w:bookmarkEnd w:id="276"/>
            <w:bookmarkEnd w:id="277"/>
          </w:p>
        </w:tc>
        <w:tc>
          <w:tcPr>
            <w:tcW w:w="449" w:type="dxa"/>
            <w:tcBorders>
              <w:bottom w:val="single" w:sz="4" w:space="0" w:color="auto"/>
            </w:tcBorders>
            <w:shd w:val="clear" w:color="auto" w:fill="FABF8F"/>
            <w:vAlign w:val="center"/>
          </w:tcPr>
          <w:p w:rsidR="00913A0A" w:rsidRPr="003412D9" w:rsidRDefault="00C70EF2" w:rsidP="00793532">
            <w:pPr>
              <w:pStyle w:val="TableText"/>
              <w:widowControl w:val="0"/>
              <w:rPr>
                <w:rFonts w:cs="Tahoma"/>
                <w:b/>
                <w:color w:val="0000FF"/>
                <w:sz w:val="13"/>
                <w:szCs w:val="13"/>
                <w:u w:val="single"/>
              </w:rPr>
            </w:pPr>
            <w:hyperlink w:anchor="_72_Microsoft_Dynamics" w:history="1">
              <w:r w:rsidR="00CF5A3E" w:rsidRPr="003412D9">
                <w:rPr>
                  <w:rStyle w:val="Hyperlink"/>
                  <w:rFonts w:cs="Tahoma"/>
                  <w:b/>
                  <w:sz w:val="13"/>
                  <w:szCs w:val="13"/>
                </w:rPr>
                <w:t>70</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0"/>
              <w:rPr>
                <w:rFonts w:ascii="Tahoma" w:hAnsi="Tahoma" w:cs="Tahoma"/>
                <w:b w:val="0"/>
                <w:sz w:val="14"/>
                <w:szCs w:val="14"/>
              </w:rPr>
            </w:pPr>
            <w:bookmarkStart w:id="278" w:name="_Toc336338010"/>
            <w:bookmarkStart w:id="279" w:name="_Toc370981126"/>
            <w:r w:rsidRPr="004B208C">
              <w:rPr>
                <w:rFonts w:ascii="Tahoma" w:hAnsi="Tahoma" w:cs="Tahoma"/>
                <w:b w:val="0"/>
                <w:sz w:val="14"/>
                <w:szCs w:val="14"/>
              </w:rPr>
              <w:t>CAL Funcional do Microsoft Dynamics AX 2012 R2 (Usuário e Dispositivo)</w:t>
            </w:r>
            <w:bookmarkEnd w:id="278"/>
            <w:bookmarkEnd w:id="279"/>
          </w:p>
        </w:tc>
        <w:tc>
          <w:tcPr>
            <w:tcW w:w="449" w:type="dxa"/>
            <w:tcBorders>
              <w:bottom w:val="single" w:sz="4" w:space="0" w:color="auto"/>
            </w:tcBorders>
            <w:shd w:val="clear" w:color="auto" w:fill="auto"/>
            <w:vAlign w:val="center"/>
          </w:tcPr>
          <w:p w:rsidR="00913A0A" w:rsidRPr="003412D9" w:rsidRDefault="00C70EF2" w:rsidP="00793532">
            <w:pPr>
              <w:pStyle w:val="TableText"/>
              <w:widowControl w:val="0"/>
              <w:rPr>
                <w:rFonts w:cs="Tahoma"/>
                <w:b/>
                <w:color w:val="0000FF"/>
                <w:sz w:val="13"/>
                <w:szCs w:val="13"/>
                <w:u w:val="single"/>
              </w:rPr>
            </w:pPr>
            <w:hyperlink w:anchor="_72_Microsoft_Dynamics" w:history="1">
              <w:r w:rsidR="00CF5A3E" w:rsidRPr="003412D9">
                <w:rPr>
                  <w:rStyle w:val="Hyperlink"/>
                  <w:rFonts w:cs="Tahoma"/>
                  <w:b/>
                  <w:sz w:val="13"/>
                  <w:szCs w:val="13"/>
                </w:rPr>
                <w:t>70</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233"/>
        </w:trPr>
        <w:tc>
          <w:tcPr>
            <w:tcW w:w="2551" w:type="dxa"/>
            <w:gridSpan w:val="2"/>
            <w:tcBorders>
              <w:bottom w:val="single" w:sz="4" w:space="0" w:color="auto"/>
            </w:tcBorders>
            <w:shd w:val="clear" w:color="auto" w:fill="FABF8F"/>
            <w:vAlign w:val="center"/>
          </w:tcPr>
          <w:p w:rsidR="00913A0A" w:rsidRPr="004B208C" w:rsidRDefault="00913A0A" w:rsidP="00731EEF">
            <w:pPr>
              <w:pStyle w:val="Heading2"/>
              <w:ind w:left="0"/>
              <w:rPr>
                <w:rFonts w:ascii="Tahoma" w:hAnsi="Tahoma" w:cs="Tahoma"/>
                <w:b w:val="0"/>
                <w:sz w:val="14"/>
                <w:szCs w:val="14"/>
              </w:rPr>
            </w:pPr>
            <w:bookmarkStart w:id="280" w:name="_Toc336338011"/>
            <w:bookmarkStart w:id="281" w:name="_Toc370981127"/>
            <w:r w:rsidRPr="004B208C">
              <w:rPr>
                <w:rFonts w:ascii="Tahoma" w:hAnsi="Tahoma" w:cs="Tahoma"/>
                <w:b w:val="0"/>
                <w:sz w:val="14"/>
                <w:szCs w:val="14"/>
              </w:rPr>
              <w:t>CAL de Autoatendimento do Microsoft Dynamics AX 2012 R2 (Usuário e</w:t>
            </w:r>
            <w:r w:rsidR="00731EEF">
              <w:rPr>
                <w:rFonts w:ascii="Tahoma" w:hAnsi="Tahoma" w:cs="Tahoma"/>
                <w:b w:val="0"/>
                <w:sz w:val="14"/>
                <w:szCs w:val="14"/>
              </w:rPr>
              <w:t> </w:t>
            </w:r>
            <w:r w:rsidRPr="004B208C">
              <w:rPr>
                <w:rFonts w:ascii="Tahoma" w:hAnsi="Tahoma" w:cs="Tahoma"/>
                <w:b w:val="0"/>
                <w:sz w:val="14"/>
                <w:szCs w:val="14"/>
              </w:rPr>
              <w:t>Dispositivo)</w:t>
            </w:r>
            <w:bookmarkEnd w:id="280"/>
            <w:bookmarkEnd w:id="281"/>
          </w:p>
        </w:tc>
        <w:tc>
          <w:tcPr>
            <w:tcW w:w="449" w:type="dxa"/>
            <w:tcBorders>
              <w:bottom w:val="single" w:sz="4" w:space="0" w:color="auto"/>
            </w:tcBorders>
            <w:shd w:val="clear" w:color="auto" w:fill="FABF8F"/>
            <w:vAlign w:val="center"/>
          </w:tcPr>
          <w:p w:rsidR="00913A0A" w:rsidRPr="003412D9" w:rsidRDefault="00C70EF2" w:rsidP="00793532">
            <w:pPr>
              <w:pStyle w:val="TableText"/>
              <w:widowControl w:val="0"/>
              <w:rPr>
                <w:rFonts w:cs="Tahoma"/>
                <w:b/>
                <w:color w:val="0000FF"/>
                <w:sz w:val="13"/>
                <w:szCs w:val="13"/>
                <w:u w:val="single"/>
              </w:rPr>
            </w:pPr>
            <w:hyperlink w:anchor="_72_Microsoft_Dynamics" w:history="1">
              <w:r w:rsidR="00CF5A3E" w:rsidRPr="003412D9">
                <w:rPr>
                  <w:rStyle w:val="Hyperlink"/>
                  <w:rFonts w:cs="Tahoma"/>
                  <w:b/>
                  <w:sz w:val="13"/>
                  <w:szCs w:val="13"/>
                </w:rPr>
                <w:t>70</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242"/>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0"/>
              <w:rPr>
                <w:rFonts w:ascii="Tahoma" w:hAnsi="Tahoma" w:cs="Tahoma"/>
                <w:b w:val="0"/>
                <w:sz w:val="14"/>
                <w:szCs w:val="14"/>
              </w:rPr>
            </w:pPr>
            <w:bookmarkStart w:id="282" w:name="_Toc336338012"/>
            <w:bookmarkStart w:id="283" w:name="_Toc370981128"/>
            <w:r w:rsidRPr="004B208C">
              <w:rPr>
                <w:rFonts w:ascii="Tahoma" w:hAnsi="Tahoma" w:cs="Tahoma"/>
                <w:b w:val="0"/>
                <w:sz w:val="14"/>
                <w:szCs w:val="14"/>
              </w:rPr>
              <w:t>Microsoft Dynamics AX 2012 R2 Server</w:t>
            </w:r>
            <w:bookmarkEnd w:id="282"/>
            <w:bookmarkEnd w:id="283"/>
          </w:p>
        </w:tc>
        <w:tc>
          <w:tcPr>
            <w:tcW w:w="449" w:type="dxa"/>
            <w:tcBorders>
              <w:bottom w:val="single" w:sz="4" w:space="0" w:color="auto"/>
            </w:tcBorders>
            <w:shd w:val="clear" w:color="auto" w:fill="auto"/>
            <w:vAlign w:val="center"/>
          </w:tcPr>
          <w:p w:rsidR="00913A0A" w:rsidRPr="003412D9" w:rsidRDefault="00C70EF2" w:rsidP="00793532">
            <w:pPr>
              <w:pStyle w:val="TableText"/>
              <w:widowControl w:val="0"/>
              <w:rPr>
                <w:rFonts w:cs="Tahoma"/>
                <w:b/>
                <w:color w:val="0000FF"/>
                <w:sz w:val="13"/>
                <w:szCs w:val="13"/>
                <w:u w:val="single"/>
              </w:rPr>
            </w:pPr>
            <w:hyperlink w:anchor="_72_Microsoft_Dynamics" w:history="1">
              <w:r w:rsidR="00CF5A3E" w:rsidRPr="003412D9">
                <w:rPr>
                  <w:rStyle w:val="Hyperlink"/>
                  <w:rFonts w:cs="Tahoma"/>
                  <w:b/>
                  <w:sz w:val="13"/>
                  <w:szCs w:val="13"/>
                </w:rPr>
                <w:t>70</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278"/>
        </w:trPr>
        <w:tc>
          <w:tcPr>
            <w:tcW w:w="2551" w:type="dxa"/>
            <w:gridSpan w:val="2"/>
            <w:tcBorders>
              <w:bottom w:val="single" w:sz="4" w:space="0" w:color="auto"/>
            </w:tcBorders>
            <w:shd w:val="clear" w:color="auto" w:fill="FABF8F"/>
            <w:vAlign w:val="center"/>
          </w:tcPr>
          <w:p w:rsidR="00913A0A" w:rsidRPr="004B208C" w:rsidRDefault="00913A0A" w:rsidP="00731EEF">
            <w:pPr>
              <w:pStyle w:val="Heading2"/>
              <w:ind w:left="0"/>
              <w:rPr>
                <w:rFonts w:ascii="Tahoma" w:hAnsi="Tahoma" w:cs="Tahoma"/>
                <w:b w:val="0"/>
                <w:sz w:val="14"/>
                <w:szCs w:val="14"/>
              </w:rPr>
            </w:pPr>
            <w:bookmarkStart w:id="284" w:name="_Toc336338013"/>
            <w:bookmarkStart w:id="285" w:name="_Toc370981129"/>
            <w:r w:rsidRPr="004B208C">
              <w:rPr>
                <w:rFonts w:ascii="Tahoma" w:hAnsi="Tahoma" w:cs="Tahoma"/>
                <w:b w:val="0"/>
                <w:sz w:val="14"/>
                <w:szCs w:val="14"/>
              </w:rPr>
              <w:t>CAL Aditiva de Tarefa do Microsoft Dynamics AX 2012 R2 (Usuário e</w:t>
            </w:r>
            <w:r w:rsidR="00731EEF">
              <w:rPr>
                <w:rFonts w:ascii="Tahoma" w:hAnsi="Tahoma" w:cs="Tahoma"/>
                <w:b w:val="0"/>
                <w:sz w:val="14"/>
                <w:szCs w:val="14"/>
              </w:rPr>
              <w:t> </w:t>
            </w:r>
            <w:r w:rsidRPr="004B208C">
              <w:rPr>
                <w:rFonts w:ascii="Tahoma" w:hAnsi="Tahoma" w:cs="Tahoma"/>
                <w:b w:val="0"/>
                <w:sz w:val="14"/>
                <w:szCs w:val="14"/>
              </w:rPr>
              <w:t>Dispositivo)</w:t>
            </w:r>
            <w:bookmarkEnd w:id="284"/>
            <w:bookmarkEnd w:id="285"/>
          </w:p>
        </w:tc>
        <w:tc>
          <w:tcPr>
            <w:tcW w:w="449" w:type="dxa"/>
            <w:tcBorders>
              <w:bottom w:val="single" w:sz="4" w:space="0" w:color="auto"/>
            </w:tcBorders>
            <w:shd w:val="clear" w:color="auto" w:fill="FABF8F"/>
            <w:vAlign w:val="center"/>
          </w:tcPr>
          <w:p w:rsidR="00913A0A" w:rsidRPr="003412D9" w:rsidRDefault="00C70EF2" w:rsidP="00793532">
            <w:pPr>
              <w:pStyle w:val="TableText"/>
              <w:widowControl w:val="0"/>
              <w:rPr>
                <w:rFonts w:cs="Tahoma"/>
                <w:b/>
                <w:color w:val="0000FF"/>
                <w:sz w:val="13"/>
                <w:szCs w:val="13"/>
                <w:u w:val="single"/>
              </w:rPr>
            </w:pPr>
            <w:hyperlink w:anchor="_72_Microsoft_Dynamics" w:history="1">
              <w:r w:rsidR="00CF5A3E" w:rsidRPr="003412D9">
                <w:rPr>
                  <w:rStyle w:val="Hyperlink"/>
                  <w:rFonts w:cs="Tahoma"/>
                  <w:b/>
                  <w:sz w:val="13"/>
                  <w:szCs w:val="13"/>
                </w:rPr>
                <w:t>70</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0"/>
              <w:rPr>
                <w:rFonts w:ascii="Tahoma" w:hAnsi="Tahoma" w:cs="Tahoma"/>
                <w:b w:val="0"/>
                <w:sz w:val="14"/>
                <w:szCs w:val="14"/>
              </w:rPr>
            </w:pPr>
            <w:bookmarkStart w:id="286" w:name="_Toc336338014"/>
            <w:bookmarkStart w:id="287" w:name="_Toc370981130"/>
            <w:r w:rsidRPr="004B208C">
              <w:rPr>
                <w:rFonts w:ascii="Tahoma" w:hAnsi="Tahoma" w:cs="Tahoma"/>
                <w:b w:val="0"/>
                <w:sz w:val="14"/>
                <w:szCs w:val="14"/>
              </w:rPr>
              <w:t>CAL de Tarefa do Microsoft Dynamics AX 2012 R2 (Usuário e Dispositivo)</w:t>
            </w:r>
            <w:bookmarkEnd w:id="286"/>
            <w:bookmarkEnd w:id="287"/>
          </w:p>
        </w:tc>
        <w:tc>
          <w:tcPr>
            <w:tcW w:w="449" w:type="dxa"/>
            <w:tcBorders>
              <w:bottom w:val="single" w:sz="4" w:space="0" w:color="auto"/>
            </w:tcBorders>
            <w:shd w:val="clear" w:color="auto" w:fill="auto"/>
            <w:vAlign w:val="center"/>
          </w:tcPr>
          <w:p w:rsidR="00913A0A" w:rsidRPr="003412D9" w:rsidRDefault="00C70EF2" w:rsidP="00793532">
            <w:pPr>
              <w:pStyle w:val="TableText"/>
              <w:widowControl w:val="0"/>
              <w:rPr>
                <w:rFonts w:cs="Tahoma"/>
                <w:b/>
                <w:color w:val="0000FF"/>
                <w:sz w:val="13"/>
                <w:szCs w:val="13"/>
                <w:u w:val="single"/>
              </w:rPr>
            </w:pPr>
            <w:hyperlink w:anchor="_72_Microsoft_Dynamics" w:history="1">
              <w:r w:rsidR="00CF5A3E" w:rsidRPr="003412D9">
                <w:rPr>
                  <w:rStyle w:val="Hyperlink"/>
                  <w:rFonts w:cs="Tahoma"/>
                  <w:b/>
                  <w:sz w:val="13"/>
                  <w:szCs w:val="13"/>
                </w:rPr>
                <w:t>70</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jc w:val="left"/>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jc w:val="left"/>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7E430D" w:rsidRPr="004B208C" w:rsidRDefault="007E430D" w:rsidP="007E430D">
            <w:pPr>
              <w:pStyle w:val="Heading2"/>
              <w:ind w:left="0"/>
              <w:rPr>
                <w:rFonts w:ascii="Tahoma" w:hAnsi="Tahoma" w:cs="Tahoma"/>
                <w:b w:val="0"/>
                <w:sz w:val="14"/>
                <w:szCs w:val="14"/>
              </w:rPr>
            </w:pPr>
            <w:bookmarkStart w:id="288" w:name="_Toc336338015"/>
            <w:bookmarkStart w:id="289" w:name="_Toc370981131"/>
            <w:r w:rsidRPr="004B208C">
              <w:rPr>
                <w:rFonts w:ascii="Tahoma" w:hAnsi="Tahoma" w:cs="Tahoma"/>
                <w:b w:val="0"/>
                <w:sz w:val="14"/>
                <w:szCs w:val="14"/>
              </w:rPr>
              <w:t>CAL Básica do Microsoft Dynamics CRM 2013 (Usuário e Dispositivo)</w:t>
            </w:r>
            <w:bookmarkEnd w:id="288"/>
            <w:bookmarkEnd w:id="289"/>
          </w:p>
        </w:tc>
        <w:tc>
          <w:tcPr>
            <w:tcW w:w="449" w:type="dxa"/>
            <w:tcBorders>
              <w:bottom w:val="single" w:sz="4" w:space="0" w:color="auto"/>
            </w:tcBorders>
            <w:shd w:val="clear" w:color="auto" w:fill="FABF8F"/>
            <w:vAlign w:val="center"/>
          </w:tcPr>
          <w:p w:rsidR="007E430D" w:rsidRPr="003412D9" w:rsidRDefault="00C70EF2" w:rsidP="00793532">
            <w:pPr>
              <w:pStyle w:val="TableText"/>
              <w:widowControl w:val="0"/>
              <w:rPr>
                <w:rFonts w:cs="Tahoma"/>
                <w:b/>
                <w:color w:val="0000FF"/>
                <w:sz w:val="13"/>
                <w:szCs w:val="13"/>
                <w:u w:val="single"/>
              </w:rPr>
            </w:pPr>
            <w:hyperlink w:anchor="_71_Microsoft_Dynamics_1" w:history="1">
              <w:r w:rsidR="007A5CBE" w:rsidRPr="003412D9">
                <w:rPr>
                  <w:b/>
                  <w:bCs/>
                  <w:color w:val="0000FF"/>
                  <w:sz w:val="13"/>
                  <w:szCs w:val="13"/>
                  <w:u w:val="single"/>
                </w:rPr>
                <w:t>71</w:t>
              </w:r>
            </w:hyperlink>
          </w:p>
        </w:tc>
        <w:tc>
          <w:tcPr>
            <w:tcW w:w="449" w:type="dxa"/>
            <w:tcBorders>
              <w:bottom w:val="single" w:sz="4" w:space="0" w:color="auto"/>
            </w:tcBorders>
            <w:shd w:val="clear" w:color="auto" w:fill="FABF8F"/>
          </w:tcPr>
          <w:p w:rsidR="007E430D" w:rsidRPr="004B208C" w:rsidRDefault="007E430D" w:rsidP="007E430D">
            <w:pPr>
              <w:pStyle w:val="TableText"/>
              <w:widowControl w:val="0"/>
              <w:spacing w:before="120"/>
              <w:rPr>
                <w:rFonts w:ascii="Tahoma" w:hAnsi="Tahoma" w:cs="Tahoma"/>
                <w:color w:val="000000"/>
                <w:sz w:val="13"/>
              </w:rPr>
            </w:pPr>
            <w:r w:rsidRPr="004B208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25</w:t>
            </w:r>
          </w:p>
        </w:tc>
        <w:tc>
          <w:tcPr>
            <w:tcW w:w="435"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20</w:t>
            </w:r>
          </w:p>
        </w:tc>
        <w:tc>
          <w:tcPr>
            <w:tcW w:w="465" w:type="dxa"/>
            <w:gridSpan w:val="3"/>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365"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7E430D" w:rsidRPr="004B208C" w:rsidRDefault="007E430D" w:rsidP="00731EEF">
            <w:pPr>
              <w:pStyle w:val="Heading2"/>
              <w:ind w:left="0"/>
              <w:rPr>
                <w:rFonts w:ascii="Tahoma" w:hAnsi="Tahoma" w:cs="Tahoma"/>
                <w:b w:val="0"/>
                <w:sz w:val="14"/>
                <w:szCs w:val="14"/>
              </w:rPr>
            </w:pPr>
            <w:bookmarkStart w:id="290" w:name="_Toc336338016"/>
            <w:bookmarkStart w:id="291" w:name="_Toc370981132"/>
            <w:r w:rsidRPr="004B208C">
              <w:rPr>
                <w:rFonts w:ascii="Tahoma" w:hAnsi="Tahoma" w:cs="Tahoma"/>
                <w:b w:val="0"/>
                <w:sz w:val="14"/>
                <w:szCs w:val="14"/>
              </w:rPr>
              <w:t>CAL Adicional de Uso Básico do Microsoft Dynamics 2013 CRM (Usuário</w:t>
            </w:r>
            <w:r w:rsidR="00731EEF">
              <w:rPr>
                <w:rFonts w:ascii="Tahoma" w:hAnsi="Tahoma" w:cs="Tahoma"/>
                <w:b w:val="0"/>
                <w:sz w:val="14"/>
                <w:szCs w:val="14"/>
              </w:rPr>
              <w:t> </w:t>
            </w:r>
            <w:r w:rsidRPr="004B208C">
              <w:rPr>
                <w:rFonts w:ascii="Tahoma" w:hAnsi="Tahoma" w:cs="Tahoma"/>
                <w:b w:val="0"/>
                <w:sz w:val="14"/>
                <w:szCs w:val="14"/>
              </w:rPr>
              <w:t>e Dispositivo)</w:t>
            </w:r>
            <w:bookmarkEnd w:id="290"/>
            <w:bookmarkEnd w:id="291"/>
          </w:p>
        </w:tc>
        <w:tc>
          <w:tcPr>
            <w:tcW w:w="449" w:type="dxa"/>
            <w:tcBorders>
              <w:bottom w:val="single" w:sz="4" w:space="0" w:color="auto"/>
            </w:tcBorders>
            <w:shd w:val="clear" w:color="auto" w:fill="auto"/>
            <w:vAlign w:val="center"/>
          </w:tcPr>
          <w:p w:rsidR="007E430D" w:rsidRPr="003412D9" w:rsidRDefault="00C70EF2" w:rsidP="00793532">
            <w:pPr>
              <w:pStyle w:val="TableText"/>
              <w:widowControl w:val="0"/>
              <w:rPr>
                <w:rFonts w:cs="Tahoma"/>
                <w:b/>
                <w:color w:val="0000FF"/>
                <w:sz w:val="13"/>
                <w:szCs w:val="13"/>
                <w:u w:val="single"/>
              </w:rPr>
            </w:pPr>
            <w:hyperlink w:anchor="_71_Microsoft_Dynamics_1" w:history="1">
              <w:hyperlink w:anchor="_70_Microsoft_Dynamics" w:history="1">
                <w:r w:rsidR="00916AA6" w:rsidRPr="003412D9">
                  <w:rPr>
                    <w:rStyle w:val="Hyperlink"/>
                    <w:rFonts w:cs="Tahoma"/>
                    <w:b/>
                    <w:sz w:val="13"/>
                    <w:szCs w:val="13"/>
                  </w:rPr>
                  <w:t>7</w:t>
                </w:r>
              </w:hyperlink>
              <w:r w:rsidR="00916AA6" w:rsidRPr="003412D9">
                <w:rPr>
                  <w:rStyle w:val="Hyperlink"/>
                  <w:rFonts w:cs="Tahoma"/>
                  <w:b/>
                  <w:sz w:val="13"/>
                  <w:szCs w:val="13"/>
                </w:rPr>
                <w:t>1</w:t>
              </w:r>
            </w:hyperlink>
          </w:p>
        </w:tc>
        <w:tc>
          <w:tcPr>
            <w:tcW w:w="449" w:type="dxa"/>
            <w:tcBorders>
              <w:bottom w:val="single" w:sz="4" w:space="0" w:color="auto"/>
            </w:tcBorders>
            <w:shd w:val="clear" w:color="auto" w:fill="auto"/>
          </w:tcPr>
          <w:p w:rsidR="007E430D" w:rsidRPr="004B208C" w:rsidRDefault="007E430D" w:rsidP="007E430D">
            <w:pPr>
              <w:pStyle w:val="TableText"/>
              <w:widowControl w:val="0"/>
              <w:spacing w:before="120"/>
              <w:rPr>
                <w:rFonts w:ascii="Tahoma" w:hAnsi="Tahoma" w:cs="Tahoma"/>
                <w:color w:val="000000"/>
                <w:sz w:val="13"/>
              </w:rPr>
            </w:pPr>
            <w:r w:rsidRPr="004B208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7E430D" w:rsidRPr="004B208C" w:rsidRDefault="007E430D" w:rsidP="007E430D">
            <w:pPr>
              <w:pStyle w:val="TableText"/>
              <w:widowControl w:val="0"/>
              <w:spacing w:before="12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7E430D" w:rsidRPr="004B208C" w:rsidRDefault="007E430D" w:rsidP="007E430D">
            <w:pPr>
              <w:pStyle w:val="Heading2"/>
              <w:ind w:left="0"/>
              <w:rPr>
                <w:rFonts w:ascii="Tahoma" w:hAnsi="Tahoma" w:cs="Tahoma"/>
                <w:b w:val="0"/>
                <w:sz w:val="14"/>
                <w:szCs w:val="14"/>
              </w:rPr>
            </w:pPr>
            <w:bookmarkStart w:id="292" w:name="_Toc336338017"/>
            <w:bookmarkStart w:id="293" w:name="_Toc370981133"/>
            <w:r w:rsidRPr="004B208C">
              <w:rPr>
                <w:rFonts w:ascii="Tahoma" w:hAnsi="Tahoma" w:cs="Tahoma"/>
                <w:b w:val="0"/>
                <w:sz w:val="14"/>
                <w:szCs w:val="14"/>
              </w:rPr>
              <w:t>CAL do Microsoft Dynamics 2013 CRM Essential</w:t>
            </w:r>
            <w:bookmarkEnd w:id="292"/>
            <w:bookmarkEnd w:id="293"/>
          </w:p>
        </w:tc>
        <w:tc>
          <w:tcPr>
            <w:tcW w:w="449" w:type="dxa"/>
            <w:tcBorders>
              <w:bottom w:val="single" w:sz="4" w:space="0" w:color="auto"/>
            </w:tcBorders>
            <w:shd w:val="clear" w:color="auto" w:fill="FABF8F"/>
            <w:vAlign w:val="center"/>
          </w:tcPr>
          <w:p w:rsidR="007E430D" w:rsidRPr="003412D9" w:rsidRDefault="00C70EF2" w:rsidP="00793532">
            <w:pPr>
              <w:pStyle w:val="TableText"/>
              <w:widowControl w:val="0"/>
              <w:rPr>
                <w:rFonts w:cs="Tahoma"/>
                <w:b/>
                <w:color w:val="0000FF"/>
                <w:sz w:val="13"/>
                <w:szCs w:val="13"/>
                <w:u w:val="single"/>
              </w:rPr>
            </w:pPr>
            <w:hyperlink w:anchor="_71_Microsoft_Dynamics_1" w:history="1">
              <w:hyperlink w:anchor="_70_Microsoft_Dynamics" w:history="1">
                <w:r w:rsidR="00916AA6" w:rsidRPr="003412D9">
                  <w:rPr>
                    <w:rStyle w:val="Hyperlink"/>
                    <w:rFonts w:cs="Tahoma"/>
                    <w:b/>
                    <w:sz w:val="13"/>
                    <w:szCs w:val="13"/>
                  </w:rPr>
                  <w:t>7</w:t>
                </w:r>
              </w:hyperlink>
              <w:r w:rsidR="00916AA6" w:rsidRPr="003412D9">
                <w:rPr>
                  <w:rStyle w:val="Hyperlink"/>
                  <w:rFonts w:cs="Tahoma"/>
                  <w:b/>
                  <w:sz w:val="13"/>
                  <w:szCs w:val="13"/>
                </w:rPr>
                <w:t>1</w:t>
              </w:r>
            </w:hyperlink>
          </w:p>
        </w:tc>
        <w:tc>
          <w:tcPr>
            <w:tcW w:w="449" w:type="dxa"/>
            <w:tcBorders>
              <w:bottom w:val="single" w:sz="4" w:space="0" w:color="auto"/>
            </w:tcBorders>
            <w:shd w:val="clear" w:color="auto" w:fill="FABF8F"/>
          </w:tcPr>
          <w:p w:rsidR="007E430D" w:rsidRPr="004B208C" w:rsidRDefault="007E430D" w:rsidP="007E430D">
            <w:pPr>
              <w:pStyle w:val="TableText"/>
              <w:widowControl w:val="0"/>
              <w:spacing w:before="120"/>
              <w:rPr>
                <w:rFonts w:ascii="Tahoma" w:hAnsi="Tahoma" w:cs="Tahoma"/>
                <w:color w:val="000000"/>
                <w:sz w:val="13"/>
              </w:rPr>
            </w:pPr>
            <w:r w:rsidRPr="004B208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7E430D" w:rsidRPr="004B208C" w:rsidRDefault="007E430D" w:rsidP="007E430D">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7E430D" w:rsidRPr="004B208C" w:rsidRDefault="007E430D" w:rsidP="007E430D">
            <w:pPr>
              <w:pStyle w:val="Heading2"/>
              <w:ind w:left="0"/>
              <w:rPr>
                <w:rFonts w:ascii="Tahoma" w:hAnsi="Tahoma" w:cs="Tahoma"/>
                <w:b w:val="0"/>
                <w:sz w:val="14"/>
                <w:szCs w:val="14"/>
              </w:rPr>
            </w:pPr>
            <w:bookmarkStart w:id="294" w:name="_Toc336338018"/>
            <w:bookmarkStart w:id="295" w:name="_Toc370981134"/>
            <w:r w:rsidRPr="004B208C">
              <w:rPr>
                <w:rFonts w:ascii="Tahoma" w:hAnsi="Tahoma" w:cs="Tahoma"/>
                <w:b w:val="0"/>
                <w:sz w:val="14"/>
                <w:szCs w:val="14"/>
              </w:rPr>
              <w:t>CAL do Microsoft Dynamics 2013 CRM Professional (Usuário e Dispositivo)</w:t>
            </w:r>
            <w:bookmarkEnd w:id="294"/>
            <w:bookmarkEnd w:id="295"/>
          </w:p>
        </w:tc>
        <w:tc>
          <w:tcPr>
            <w:tcW w:w="449" w:type="dxa"/>
            <w:tcBorders>
              <w:bottom w:val="single" w:sz="4" w:space="0" w:color="auto"/>
            </w:tcBorders>
            <w:shd w:val="clear" w:color="auto" w:fill="auto"/>
            <w:vAlign w:val="center"/>
          </w:tcPr>
          <w:p w:rsidR="007E430D" w:rsidRPr="003412D9" w:rsidRDefault="00C70EF2" w:rsidP="00793532">
            <w:pPr>
              <w:pStyle w:val="TableText"/>
              <w:widowControl w:val="0"/>
              <w:rPr>
                <w:rFonts w:cs="Tahoma"/>
                <w:b/>
                <w:color w:val="0000FF"/>
                <w:sz w:val="13"/>
                <w:szCs w:val="13"/>
                <w:u w:val="single"/>
              </w:rPr>
            </w:pPr>
            <w:hyperlink w:anchor="_71_Microsoft_Dynamics_1" w:history="1">
              <w:hyperlink w:anchor="_70_Microsoft_Dynamics" w:history="1">
                <w:r w:rsidR="00916AA6" w:rsidRPr="003412D9">
                  <w:rPr>
                    <w:rStyle w:val="Hyperlink"/>
                    <w:rFonts w:cs="Tahoma"/>
                    <w:b/>
                    <w:sz w:val="13"/>
                    <w:szCs w:val="13"/>
                  </w:rPr>
                  <w:t>7</w:t>
                </w:r>
              </w:hyperlink>
              <w:r w:rsidR="00916AA6" w:rsidRPr="003412D9">
                <w:rPr>
                  <w:rStyle w:val="Hyperlink"/>
                  <w:rFonts w:cs="Tahoma"/>
                  <w:b/>
                  <w:sz w:val="13"/>
                  <w:szCs w:val="13"/>
                </w:rPr>
                <w:t>1</w:t>
              </w:r>
            </w:hyperlink>
          </w:p>
        </w:tc>
        <w:tc>
          <w:tcPr>
            <w:tcW w:w="449" w:type="dxa"/>
            <w:tcBorders>
              <w:bottom w:val="single" w:sz="4" w:space="0" w:color="auto"/>
            </w:tcBorders>
            <w:shd w:val="clear" w:color="auto" w:fill="auto"/>
          </w:tcPr>
          <w:p w:rsidR="007E430D" w:rsidRPr="004B208C" w:rsidRDefault="007E430D" w:rsidP="007E430D">
            <w:pPr>
              <w:pStyle w:val="TableText"/>
              <w:widowControl w:val="0"/>
              <w:spacing w:before="120"/>
              <w:rPr>
                <w:rFonts w:ascii="Tahoma" w:hAnsi="Tahoma" w:cs="Tahoma"/>
                <w:color w:val="000000"/>
                <w:sz w:val="13"/>
              </w:rPr>
            </w:pPr>
            <w:r w:rsidRPr="004B208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25</w:t>
            </w:r>
          </w:p>
        </w:tc>
        <w:tc>
          <w:tcPr>
            <w:tcW w:w="435"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20</w:t>
            </w:r>
          </w:p>
        </w:tc>
        <w:tc>
          <w:tcPr>
            <w:tcW w:w="465" w:type="dxa"/>
            <w:gridSpan w:val="3"/>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365"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7E430D" w:rsidRPr="004B208C" w:rsidRDefault="007E430D" w:rsidP="007E430D">
            <w:pPr>
              <w:pStyle w:val="TableText"/>
              <w:widowControl w:val="0"/>
              <w:spacing w:before="12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7E430D" w:rsidRPr="004B208C" w:rsidRDefault="007E430D" w:rsidP="00731EEF">
            <w:pPr>
              <w:pStyle w:val="Heading2"/>
              <w:ind w:left="0"/>
              <w:rPr>
                <w:rFonts w:ascii="Tahoma" w:hAnsi="Tahoma" w:cs="Tahoma"/>
                <w:b w:val="0"/>
                <w:sz w:val="14"/>
                <w:szCs w:val="14"/>
              </w:rPr>
            </w:pPr>
            <w:bookmarkStart w:id="296" w:name="_Toc336338019"/>
            <w:bookmarkStart w:id="297" w:name="_Toc370981135"/>
            <w:r w:rsidRPr="004B208C">
              <w:rPr>
                <w:rFonts w:ascii="Tahoma" w:hAnsi="Tahoma" w:cs="Tahoma"/>
                <w:b w:val="0"/>
                <w:sz w:val="14"/>
                <w:szCs w:val="14"/>
              </w:rPr>
              <w:t>CAL Aditiva de Uso Profissional do Microsoft Dynamics 2013 CRM (Usuários</w:t>
            </w:r>
            <w:r w:rsidR="00731EEF">
              <w:rPr>
                <w:rFonts w:ascii="Tahoma" w:hAnsi="Tahoma" w:cs="Tahoma"/>
                <w:b w:val="0"/>
                <w:sz w:val="14"/>
                <w:szCs w:val="14"/>
              </w:rPr>
              <w:t> </w:t>
            </w:r>
            <w:r w:rsidRPr="004B208C">
              <w:rPr>
                <w:rFonts w:ascii="Tahoma" w:hAnsi="Tahoma" w:cs="Tahoma"/>
                <w:b w:val="0"/>
                <w:sz w:val="14"/>
                <w:szCs w:val="14"/>
              </w:rPr>
              <w:t>e Dispositivo)</w:t>
            </w:r>
            <w:bookmarkEnd w:id="296"/>
            <w:bookmarkEnd w:id="297"/>
          </w:p>
        </w:tc>
        <w:tc>
          <w:tcPr>
            <w:tcW w:w="449" w:type="dxa"/>
            <w:tcBorders>
              <w:bottom w:val="single" w:sz="4" w:space="0" w:color="auto"/>
            </w:tcBorders>
            <w:shd w:val="clear" w:color="auto" w:fill="FABF8F"/>
            <w:vAlign w:val="center"/>
          </w:tcPr>
          <w:p w:rsidR="007E430D" w:rsidRPr="003412D9" w:rsidRDefault="00C70EF2" w:rsidP="00793532">
            <w:pPr>
              <w:pStyle w:val="TableText"/>
              <w:widowControl w:val="0"/>
              <w:rPr>
                <w:rFonts w:cs="Tahoma"/>
                <w:b/>
                <w:color w:val="0000FF"/>
                <w:sz w:val="13"/>
                <w:szCs w:val="13"/>
                <w:u w:val="single"/>
              </w:rPr>
            </w:pPr>
            <w:hyperlink w:anchor="_71_Microsoft_Dynamics_1" w:history="1">
              <w:r w:rsidR="007A5CBE" w:rsidRPr="003412D9">
                <w:rPr>
                  <w:b/>
                  <w:bCs/>
                  <w:color w:val="0000FF"/>
                  <w:sz w:val="13"/>
                  <w:szCs w:val="13"/>
                  <w:u w:val="single"/>
                </w:rPr>
                <w:t>71</w:t>
              </w:r>
            </w:hyperlink>
          </w:p>
        </w:tc>
        <w:tc>
          <w:tcPr>
            <w:tcW w:w="449" w:type="dxa"/>
            <w:tcBorders>
              <w:bottom w:val="single" w:sz="4" w:space="0" w:color="auto"/>
            </w:tcBorders>
            <w:shd w:val="clear" w:color="auto" w:fill="FABF8F"/>
          </w:tcPr>
          <w:p w:rsidR="007E430D" w:rsidRPr="004B208C" w:rsidRDefault="007E430D" w:rsidP="007E430D">
            <w:pPr>
              <w:pStyle w:val="TableText"/>
              <w:widowControl w:val="0"/>
              <w:spacing w:before="120"/>
              <w:rPr>
                <w:rFonts w:ascii="Tahoma" w:hAnsi="Tahoma" w:cs="Tahoma"/>
                <w:color w:val="000000"/>
                <w:sz w:val="13"/>
              </w:rPr>
            </w:pPr>
            <w:r w:rsidRPr="004B208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13</w:t>
            </w:r>
          </w:p>
        </w:tc>
        <w:tc>
          <w:tcPr>
            <w:tcW w:w="435"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465" w:type="dxa"/>
            <w:gridSpan w:val="3"/>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8</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8</w:t>
            </w:r>
          </w:p>
        </w:tc>
        <w:tc>
          <w:tcPr>
            <w:tcW w:w="450" w:type="dxa"/>
            <w:gridSpan w:val="2"/>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w:t>
            </w:r>
          </w:p>
        </w:tc>
        <w:tc>
          <w:tcPr>
            <w:tcW w:w="365"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7E430D" w:rsidRPr="004B208C" w:rsidRDefault="007E430D" w:rsidP="007E430D">
            <w:pPr>
              <w:pStyle w:val="TableText"/>
              <w:widowControl w:val="0"/>
              <w:spacing w:before="12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7E430D" w:rsidRPr="004B208C" w:rsidRDefault="007E430D" w:rsidP="007E430D">
            <w:pPr>
              <w:pStyle w:val="Heading2"/>
              <w:ind w:left="0"/>
              <w:rPr>
                <w:rFonts w:ascii="Tahoma" w:hAnsi="Tahoma" w:cs="Tahoma"/>
                <w:b w:val="0"/>
                <w:sz w:val="14"/>
                <w:szCs w:val="14"/>
              </w:rPr>
            </w:pPr>
            <w:bookmarkStart w:id="298" w:name="_Toc336338021"/>
            <w:bookmarkStart w:id="299" w:name="_Toc370981136"/>
            <w:r w:rsidRPr="004B208C">
              <w:rPr>
                <w:rFonts w:ascii="Tahoma" w:hAnsi="Tahoma" w:cs="Tahoma"/>
                <w:b w:val="0"/>
                <w:sz w:val="14"/>
                <w:szCs w:val="14"/>
              </w:rPr>
              <w:lastRenderedPageBreak/>
              <w:t>Microsoft Dynamics CRM 2013 Server</w:t>
            </w:r>
            <w:bookmarkEnd w:id="298"/>
            <w:bookmarkEnd w:id="299"/>
            <w:r w:rsidRPr="004B208C">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7E430D" w:rsidRPr="003412D9" w:rsidRDefault="00C70EF2" w:rsidP="004F2AF3">
            <w:pPr>
              <w:pStyle w:val="TableText"/>
              <w:widowControl w:val="0"/>
              <w:rPr>
                <w:rFonts w:cs="Tahoma"/>
                <w:b/>
                <w:color w:val="0000FF"/>
                <w:sz w:val="13"/>
                <w:szCs w:val="13"/>
                <w:u w:val="single"/>
              </w:rPr>
            </w:pPr>
            <w:hyperlink w:anchor="_71_Microsoft_Dynamics_1" w:history="1">
              <w:r w:rsidR="007A5CBE" w:rsidRPr="003412D9">
                <w:rPr>
                  <w:b/>
                  <w:bCs/>
                  <w:color w:val="0000FF"/>
                  <w:sz w:val="13"/>
                  <w:szCs w:val="13"/>
                  <w:u w:val="single"/>
                </w:rPr>
                <w:t>71</w:t>
              </w:r>
            </w:hyperlink>
          </w:p>
        </w:tc>
        <w:tc>
          <w:tcPr>
            <w:tcW w:w="449" w:type="dxa"/>
            <w:tcBorders>
              <w:bottom w:val="single" w:sz="4" w:space="0" w:color="auto"/>
            </w:tcBorders>
            <w:shd w:val="clear" w:color="auto" w:fill="auto"/>
          </w:tcPr>
          <w:p w:rsidR="007E430D" w:rsidRPr="004B208C" w:rsidRDefault="007E430D" w:rsidP="007E430D">
            <w:pPr>
              <w:pStyle w:val="TableText"/>
              <w:widowControl w:val="0"/>
              <w:spacing w:before="120"/>
              <w:rPr>
                <w:rFonts w:ascii="Tahoma" w:hAnsi="Tahoma" w:cs="Tahoma"/>
                <w:color w:val="000000"/>
                <w:sz w:val="13"/>
              </w:rPr>
            </w:pPr>
            <w:r w:rsidRPr="004B208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125</w:t>
            </w:r>
          </w:p>
        </w:tc>
        <w:tc>
          <w:tcPr>
            <w:tcW w:w="435"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100</w:t>
            </w:r>
          </w:p>
        </w:tc>
        <w:tc>
          <w:tcPr>
            <w:tcW w:w="465" w:type="dxa"/>
            <w:gridSpan w:val="3"/>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50</w:t>
            </w:r>
          </w:p>
        </w:tc>
        <w:tc>
          <w:tcPr>
            <w:tcW w:w="365"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7E430D" w:rsidRPr="004B208C" w:rsidRDefault="007E430D" w:rsidP="007E430D">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50</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4F2AF3" w:rsidRPr="004B208C" w:rsidRDefault="004F2AF3" w:rsidP="004F2AF3">
            <w:pPr>
              <w:pStyle w:val="Heading2"/>
              <w:ind w:left="0"/>
              <w:rPr>
                <w:rFonts w:ascii="Tahoma" w:hAnsi="Tahoma" w:cs="Tahoma"/>
                <w:b w:val="0"/>
                <w:sz w:val="14"/>
                <w:szCs w:val="14"/>
              </w:rPr>
            </w:pPr>
            <w:bookmarkStart w:id="300" w:name="_Toc370981137"/>
            <w:r w:rsidRPr="004B208C">
              <w:rPr>
                <w:rFonts w:ascii="Tahoma" w:hAnsi="Tahoma" w:cs="Tahoma"/>
                <w:b w:val="0"/>
                <w:sz w:val="14"/>
                <w:szCs w:val="14"/>
              </w:rPr>
              <w:t>Conectores Externos para Microsoft Dynamics CRM 2011</w:t>
            </w:r>
            <w:bookmarkEnd w:id="300"/>
          </w:p>
        </w:tc>
        <w:tc>
          <w:tcPr>
            <w:tcW w:w="449" w:type="dxa"/>
            <w:tcBorders>
              <w:bottom w:val="single" w:sz="4" w:space="0" w:color="auto"/>
            </w:tcBorders>
            <w:shd w:val="clear" w:color="auto" w:fill="FABF8F"/>
            <w:vAlign w:val="center"/>
          </w:tcPr>
          <w:p w:rsidR="004F2AF3" w:rsidRPr="003412D9" w:rsidRDefault="00C70EF2" w:rsidP="004F2AF3">
            <w:pPr>
              <w:pStyle w:val="TableText"/>
              <w:widowControl w:val="0"/>
              <w:rPr>
                <w:rFonts w:cs="Tahoma"/>
                <w:sz w:val="13"/>
                <w:szCs w:val="13"/>
              </w:rPr>
            </w:pPr>
            <w:hyperlink w:anchor="_68_Microsoft_Dynamics" w:history="1">
              <w:r w:rsidR="00CF5A3E" w:rsidRPr="003412D9">
                <w:rPr>
                  <w:rStyle w:val="Hyperlink"/>
                  <w:rFonts w:cs="Tahoma"/>
                  <w:b/>
                  <w:sz w:val="13"/>
                  <w:szCs w:val="13"/>
                </w:rPr>
                <w:t>72</w:t>
              </w:r>
            </w:hyperlink>
          </w:p>
        </w:tc>
        <w:tc>
          <w:tcPr>
            <w:tcW w:w="449" w:type="dxa"/>
            <w:tcBorders>
              <w:bottom w:val="single" w:sz="4" w:space="0" w:color="auto"/>
            </w:tcBorders>
            <w:shd w:val="clear" w:color="auto" w:fill="FABF8F"/>
          </w:tcPr>
          <w:p w:rsidR="004F2AF3" w:rsidRPr="004B208C" w:rsidRDefault="004F2AF3" w:rsidP="004F2AF3">
            <w:pPr>
              <w:pStyle w:val="TableText"/>
              <w:widowControl w:val="0"/>
              <w:spacing w:before="120"/>
              <w:rPr>
                <w:rFonts w:ascii="Tahoma" w:hAnsi="Tahoma" w:cs="Tahoma"/>
                <w:color w:val="000000"/>
                <w:sz w:val="13"/>
              </w:rPr>
            </w:pPr>
            <w:r w:rsidRPr="004B208C">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4F2AF3" w:rsidRPr="004B208C" w:rsidRDefault="004F2AF3" w:rsidP="004F2AF3">
            <w:pPr>
              <w:pStyle w:val="TableText"/>
              <w:widowControl w:val="0"/>
              <w:spacing w:before="12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vAlign w:val="center"/>
          </w:tcPr>
          <w:p w:rsidR="004F2AF3" w:rsidRPr="004B208C" w:rsidRDefault="004F2AF3" w:rsidP="004F2AF3">
            <w:pPr>
              <w:pStyle w:val="TableText"/>
              <w:widowControl w:val="0"/>
              <w:rPr>
                <w:rFonts w:ascii="Tahoma" w:hAnsi="Tahoma" w:cs="Tahoma"/>
                <w:sz w:val="13"/>
              </w:rPr>
            </w:pPr>
            <w:r w:rsidRPr="004B208C">
              <w:rPr>
                <w:rFonts w:ascii="Tahoma" w:hAnsi="Tahoma" w:cs="Tahoma"/>
                <w:sz w:val="13"/>
              </w:rPr>
              <w:t>50</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7E430D" w:rsidRPr="004B208C" w:rsidRDefault="007E430D" w:rsidP="007E430D">
            <w:pPr>
              <w:pStyle w:val="Heading2"/>
              <w:ind w:left="0"/>
              <w:rPr>
                <w:rFonts w:ascii="Tahoma" w:hAnsi="Tahoma" w:cs="Tahoma"/>
                <w:b w:val="0"/>
                <w:sz w:val="14"/>
                <w:szCs w:val="14"/>
              </w:rPr>
            </w:pPr>
            <w:bookmarkStart w:id="301" w:name="_Toc336338022"/>
            <w:bookmarkStart w:id="302" w:name="_Toc370981138"/>
            <w:r w:rsidRPr="004B208C">
              <w:rPr>
                <w:rFonts w:ascii="Tahoma" w:hAnsi="Tahoma" w:cs="Tahoma"/>
                <w:b w:val="0"/>
                <w:sz w:val="14"/>
                <w:szCs w:val="14"/>
              </w:rPr>
              <w:t>Microsoft Dynamics CRM Workgroup Server 2013</w:t>
            </w:r>
            <w:bookmarkEnd w:id="301"/>
            <w:bookmarkEnd w:id="302"/>
            <w:r w:rsidRPr="004B208C">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7E430D" w:rsidRPr="003412D9" w:rsidRDefault="00C70EF2" w:rsidP="004F2AF3">
            <w:pPr>
              <w:pStyle w:val="TableText"/>
              <w:widowControl w:val="0"/>
              <w:rPr>
                <w:rFonts w:cs="Tahoma"/>
                <w:b/>
                <w:bCs/>
                <w:color w:val="0000FF"/>
                <w:sz w:val="13"/>
                <w:szCs w:val="13"/>
                <w:u w:val="single"/>
              </w:rPr>
            </w:pPr>
            <w:hyperlink w:anchor="_71_Microsoft_Dynamics_1" w:history="1">
              <w:r w:rsidR="00FD3E64" w:rsidRPr="003412D9">
                <w:rPr>
                  <w:b/>
                  <w:bCs/>
                  <w:color w:val="0000FF"/>
                  <w:sz w:val="13"/>
                  <w:szCs w:val="13"/>
                  <w:u w:val="single"/>
                </w:rPr>
                <w:t>71</w:t>
              </w:r>
            </w:hyperlink>
          </w:p>
        </w:tc>
        <w:tc>
          <w:tcPr>
            <w:tcW w:w="449" w:type="dxa"/>
            <w:tcBorders>
              <w:bottom w:val="single" w:sz="4" w:space="0" w:color="auto"/>
            </w:tcBorders>
            <w:shd w:val="clear" w:color="auto" w:fill="auto"/>
          </w:tcPr>
          <w:p w:rsidR="007E430D" w:rsidRPr="004B208C" w:rsidRDefault="007E430D" w:rsidP="007E430D">
            <w:pPr>
              <w:pStyle w:val="TableText"/>
              <w:widowControl w:val="0"/>
              <w:spacing w:before="120"/>
              <w:rPr>
                <w:rFonts w:ascii="Tahoma" w:hAnsi="Tahoma" w:cs="Tahoma"/>
                <w:color w:val="000000"/>
                <w:sz w:val="13"/>
              </w:rPr>
            </w:pPr>
            <w:r w:rsidRPr="004B208C">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25</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60</w:t>
            </w:r>
          </w:p>
        </w:tc>
        <w:tc>
          <w:tcPr>
            <w:tcW w:w="435"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50</w:t>
            </w:r>
          </w:p>
        </w:tc>
        <w:tc>
          <w:tcPr>
            <w:tcW w:w="465" w:type="dxa"/>
            <w:gridSpan w:val="3"/>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25</w:t>
            </w:r>
          </w:p>
        </w:tc>
        <w:tc>
          <w:tcPr>
            <w:tcW w:w="365"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7E430D" w:rsidRPr="004B208C" w:rsidRDefault="007E430D" w:rsidP="007E430D">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vAlign w:val="center"/>
          </w:tcPr>
          <w:p w:rsidR="007E430D" w:rsidRPr="004B208C" w:rsidRDefault="007E430D" w:rsidP="007E430D">
            <w:pPr>
              <w:pStyle w:val="TableText"/>
              <w:widowControl w:val="0"/>
              <w:rPr>
                <w:rFonts w:ascii="Tahoma" w:hAnsi="Tahoma" w:cs="Tahoma"/>
                <w:sz w:val="13"/>
              </w:rPr>
            </w:pPr>
            <w:r w:rsidRPr="004B208C">
              <w:rPr>
                <w:rFonts w:ascii="Tahoma" w:hAnsi="Tahoma" w:cs="Tahoma"/>
                <w:sz w:val="13"/>
              </w:rPr>
              <w:t>25</w:t>
            </w:r>
          </w:p>
        </w:tc>
      </w:tr>
      <w:tr w:rsidR="007F6051" w:rsidRPr="004B208C" w:rsidTr="007F6051">
        <w:trPr>
          <w:trHeight w:val="145"/>
        </w:trPr>
        <w:tc>
          <w:tcPr>
            <w:tcW w:w="2551" w:type="dxa"/>
            <w:gridSpan w:val="2"/>
            <w:tcBorders>
              <w:bottom w:val="single" w:sz="4" w:space="0" w:color="auto"/>
            </w:tcBorders>
            <w:shd w:val="clear" w:color="auto" w:fill="FABF8F"/>
            <w:vAlign w:val="center"/>
          </w:tcPr>
          <w:p w:rsidR="007F6051" w:rsidRPr="004B208C" w:rsidRDefault="007F6051" w:rsidP="007F6051">
            <w:pPr>
              <w:pStyle w:val="Heading2"/>
              <w:spacing w:beforeLines="20" w:before="48" w:afterLines="20" w:after="48"/>
              <w:ind w:left="0"/>
              <w:rPr>
                <w:rFonts w:ascii="Tahoma" w:hAnsi="Tahoma" w:cs="Tahoma"/>
                <w:b w:val="0"/>
                <w:sz w:val="14"/>
              </w:rPr>
            </w:pPr>
            <w:bookmarkStart w:id="303" w:name="_Toc370981139"/>
            <w:r w:rsidRPr="004B208C">
              <w:rPr>
                <w:rFonts w:ascii="Tahoma" w:hAnsi="Tahoma" w:cs="Tahoma"/>
                <w:b w:val="0"/>
                <w:sz w:val="14"/>
              </w:rPr>
              <w:t>Microsoft Dynamics CRM Online Basic</w:t>
            </w:r>
            <w:bookmarkEnd w:id="303"/>
          </w:p>
        </w:tc>
        <w:tc>
          <w:tcPr>
            <w:tcW w:w="449" w:type="dxa"/>
            <w:tcBorders>
              <w:bottom w:val="single" w:sz="4" w:space="0" w:color="auto"/>
            </w:tcBorders>
            <w:shd w:val="clear" w:color="auto" w:fill="FABF8F"/>
            <w:vAlign w:val="center"/>
          </w:tcPr>
          <w:p w:rsidR="007F6051" w:rsidRPr="003435FB" w:rsidRDefault="007F6051" w:rsidP="007F6051">
            <w:pPr>
              <w:pStyle w:val="TableText"/>
              <w:widowControl w:val="0"/>
              <w:rPr>
                <w:rStyle w:val="EndnoteReference"/>
                <w:rFonts w:cs="Tahoma"/>
                <w:b w:val="0"/>
                <w:color w:val="0000FF"/>
                <w:sz w:val="13"/>
                <w:szCs w:val="13"/>
                <w:u w:val="single"/>
              </w:rPr>
            </w:pPr>
            <w:hyperlink w:anchor="_70_Microsoft_Dynamics" w:history="1">
              <w:r w:rsidRPr="00CE4D87">
                <w:rPr>
                  <w:rStyle w:val="Hyperlink"/>
                  <w:b/>
                  <w:bCs/>
                  <w:sz w:val="13"/>
                  <w:szCs w:val="13"/>
                </w:rPr>
                <w:t>73</w:t>
              </w:r>
            </w:hyperlink>
          </w:p>
        </w:tc>
        <w:tc>
          <w:tcPr>
            <w:tcW w:w="449"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color w:val="000000"/>
                <w:sz w:val="13"/>
              </w:rPr>
            </w:pPr>
            <w:r w:rsidRPr="004B20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F6051" w:rsidRDefault="007F6051" w:rsidP="007F6051">
            <w:pPr>
              <w:jc w:val="center"/>
            </w:pPr>
            <w:r w:rsidRPr="00017A39">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7F6051" w:rsidRDefault="007F6051" w:rsidP="007F6051">
            <w:pPr>
              <w:jc w:val="center"/>
            </w:pPr>
            <w:r w:rsidRPr="006E2EF3">
              <w:rPr>
                <w:rFonts w:cs="Tahoma"/>
                <w:sz w:val="13"/>
              </w:rPr>
              <w:t>A,ST</w:t>
            </w:r>
          </w:p>
        </w:tc>
        <w:tc>
          <w:tcPr>
            <w:tcW w:w="504"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r>
      <w:tr w:rsidR="007F6051" w:rsidRPr="004B208C" w:rsidTr="007F6051">
        <w:trPr>
          <w:trHeight w:val="145"/>
        </w:trPr>
        <w:tc>
          <w:tcPr>
            <w:tcW w:w="2551" w:type="dxa"/>
            <w:gridSpan w:val="2"/>
            <w:tcBorders>
              <w:bottom w:val="single" w:sz="4" w:space="0" w:color="auto"/>
            </w:tcBorders>
            <w:shd w:val="clear" w:color="auto" w:fill="auto"/>
            <w:vAlign w:val="center"/>
          </w:tcPr>
          <w:p w:rsidR="007F6051" w:rsidRPr="004B208C" w:rsidRDefault="007F6051" w:rsidP="007F6051">
            <w:pPr>
              <w:pStyle w:val="Heading2"/>
              <w:spacing w:beforeLines="20" w:before="48" w:afterLines="20" w:after="48"/>
              <w:ind w:left="0"/>
              <w:rPr>
                <w:rFonts w:ascii="Tahoma" w:hAnsi="Tahoma" w:cs="Tahoma"/>
                <w:b w:val="0"/>
                <w:sz w:val="14"/>
              </w:rPr>
            </w:pPr>
            <w:bookmarkStart w:id="304" w:name="_Toc370981140"/>
            <w:r w:rsidRPr="004B208C">
              <w:rPr>
                <w:rFonts w:ascii="Tahoma" w:hAnsi="Tahoma" w:cs="Tahoma"/>
                <w:b w:val="0"/>
                <w:sz w:val="14"/>
              </w:rPr>
              <w:t>Suporte Aprimorado do Microsoft Dynamics CRM Online</w:t>
            </w:r>
            <w:bookmarkEnd w:id="304"/>
          </w:p>
        </w:tc>
        <w:tc>
          <w:tcPr>
            <w:tcW w:w="449" w:type="dxa"/>
            <w:tcBorders>
              <w:bottom w:val="single" w:sz="4" w:space="0" w:color="auto"/>
            </w:tcBorders>
            <w:shd w:val="clear" w:color="auto" w:fill="auto"/>
            <w:vAlign w:val="center"/>
          </w:tcPr>
          <w:p w:rsidR="007F6051" w:rsidRPr="003435FB" w:rsidRDefault="007F6051" w:rsidP="007F6051">
            <w:pPr>
              <w:pStyle w:val="TableText"/>
              <w:widowControl w:val="0"/>
              <w:rPr>
                <w:rStyle w:val="EndnoteReference"/>
                <w:rFonts w:cs="Tahoma"/>
                <w:b w:val="0"/>
                <w:color w:val="0000FF"/>
                <w:sz w:val="13"/>
                <w:szCs w:val="13"/>
                <w:u w:val="single"/>
              </w:rPr>
            </w:pPr>
            <w:hyperlink w:anchor="_70_Microsoft_Dynamics" w:history="1">
              <w:r w:rsidRPr="00CE4D87">
                <w:rPr>
                  <w:rStyle w:val="Hyperlink"/>
                  <w:b/>
                  <w:bCs/>
                  <w:sz w:val="13"/>
                  <w:szCs w:val="13"/>
                </w:rPr>
                <w:t>73</w:t>
              </w:r>
            </w:hyperlink>
          </w:p>
        </w:tc>
        <w:tc>
          <w:tcPr>
            <w:tcW w:w="449"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color w:val="000000"/>
                <w:sz w:val="13"/>
              </w:rPr>
            </w:pPr>
            <w:r w:rsidRPr="004B20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F6051" w:rsidRDefault="007F6051" w:rsidP="007F6051">
            <w:pPr>
              <w:jc w:val="center"/>
            </w:pPr>
            <w:r w:rsidRPr="00017A39">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7F6051" w:rsidRDefault="007F6051" w:rsidP="007F6051">
            <w:pPr>
              <w:jc w:val="center"/>
            </w:pPr>
            <w:r w:rsidRPr="006E2EF3">
              <w:rPr>
                <w:rFonts w:cs="Tahoma"/>
                <w:sz w:val="13"/>
              </w:rPr>
              <w:t>A,ST</w:t>
            </w:r>
          </w:p>
        </w:tc>
        <w:tc>
          <w:tcPr>
            <w:tcW w:w="504"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71" w:type="dxa"/>
            <w:tcBorders>
              <w:bottom w:val="single" w:sz="4" w:space="0" w:color="auto"/>
            </w:tcBorders>
            <w:vAlign w:val="center"/>
          </w:tcPr>
          <w:p w:rsidR="007F6051" w:rsidRPr="004B208C" w:rsidRDefault="007F6051" w:rsidP="007F6051">
            <w:pPr>
              <w:pStyle w:val="TableText"/>
              <w:widowControl w:val="0"/>
              <w:rPr>
                <w:rFonts w:ascii="Tahoma" w:hAnsi="Tahoma" w:cs="Tahoma"/>
                <w:sz w:val="13"/>
              </w:rPr>
            </w:pPr>
          </w:p>
        </w:tc>
      </w:tr>
      <w:tr w:rsidR="007F6051" w:rsidRPr="004B208C" w:rsidTr="007F6051">
        <w:trPr>
          <w:trHeight w:val="145"/>
        </w:trPr>
        <w:tc>
          <w:tcPr>
            <w:tcW w:w="2551" w:type="dxa"/>
            <w:gridSpan w:val="2"/>
            <w:tcBorders>
              <w:bottom w:val="single" w:sz="4" w:space="0" w:color="auto"/>
            </w:tcBorders>
            <w:shd w:val="clear" w:color="auto" w:fill="FABF8F"/>
            <w:vAlign w:val="center"/>
          </w:tcPr>
          <w:p w:rsidR="007F6051" w:rsidRPr="004B208C" w:rsidRDefault="007F6051" w:rsidP="007F6051">
            <w:pPr>
              <w:pStyle w:val="Heading2"/>
              <w:spacing w:beforeLines="20" w:before="48" w:afterLines="20" w:after="48"/>
              <w:ind w:left="0"/>
              <w:rPr>
                <w:rFonts w:ascii="Tahoma" w:hAnsi="Tahoma" w:cs="Tahoma"/>
                <w:b w:val="0"/>
                <w:sz w:val="14"/>
              </w:rPr>
            </w:pPr>
            <w:bookmarkStart w:id="305" w:name="_Toc370981141"/>
            <w:r w:rsidRPr="004B208C">
              <w:rPr>
                <w:rFonts w:ascii="Tahoma" w:hAnsi="Tahoma" w:cs="Tahoma"/>
                <w:b w:val="0"/>
                <w:sz w:val="14"/>
              </w:rPr>
              <w:t>Microsoft Dynamics CRM Online Essential</w:t>
            </w:r>
            <w:bookmarkEnd w:id="305"/>
          </w:p>
        </w:tc>
        <w:tc>
          <w:tcPr>
            <w:tcW w:w="449" w:type="dxa"/>
            <w:tcBorders>
              <w:bottom w:val="single" w:sz="4" w:space="0" w:color="auto"/>
            </w:tcBorders>
            <w:shd w:val="clear" w:color="auto" w:fill="FABF8F"/>
            <w:vAlign w:val="center"/>
          </w:tcPr>
          <w:p w:rsidR="007F6051" w:rsidRPr="003435FB" w:rsidRDefault="007F6051" w:rsidP="007F6051">
            <w:pPr>
              <w:pStyle w:val="TableText"/>
              <w:widowControl w:val="0"/>
              <w:rPr>
                <w:rStyle w:val="EndnoteReference"/>
                <w:rFonts w:cs="Tahoma"/>
                <w:b w:val="0"/>
                <w:color w:val="0000FF"/>
                <w:sz w:val="13"/>
                <w:szCs w:val="13"/>
                <w:u w:val="single"/>
              </w:rPr>
            </w:pPr>
            <w:hyperlink w:anchor="_70_Microsoft_Dynamics" w:history="1">
              <w:r w:rsidRPr="00CE4D87">
                <w:rPr>
                  <w:rStyle w:val="Hyperlink"/>
                  <w:b/>
                  <w:bCs/>
                  <w:sz w:val="13"/>
                  <w:szCs w:val="13"/>
                </w:rPr>
                <w:t>73</w:t>
              </w:r>
            </w:hyperlink>
          </w:p>
        </w:tc>
        <w:tc>
          <w:tcPr>
            <w:tcW w:w="449"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color w:val="000000"/>
                <w:sz w:val="13"/>
              </w:rPr>
            </w:pPr>
            <w:r w:rsidRPr="004B20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F6051" w:rsidRDefault="007F6051" w:rsidP="007F6051">
            <w:pPr>
              <w:jc w:val="center"/>
            </w:pPr>
            <w:r w:rsidRPr="00017A39">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7F6051" w:rsidRDefault="007F6051" w:rsidP="007F6051">
            <w:pPr>
              <w:jc w:val="center"/>
            </w:pPr>
            <w:r w:rsidRPr="006E2EF3">
              <w:rPr>
                <w:rFonts w:cs="Tahoma"/>
                <w:sz w:val="13"/>
              </w:rPr>
              <w:t>A,ST</w:t>
            </w:r>
          </w:p>
        </w:tc>
        <w:tc>
          <w:tcPr>
            <w:tcW w:w="504"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r>
      <w:tr w:rsidR="007F6051" w:rsidRPr="004B208C" w:rsidTr="007F6051">
        <w:trPr>
          <w:trHeight w:val="145"/>
        </w:trPr>
        <w:tc>
          <w:tcPr>
            <w:tcW w:w="2551" w:type="dxa"/>
            <w:gridSpan w:val="2"/>
            <w:tcBorders>
              <w:bottom w:val="single" w:sz="4" w:space="0" w:color="auto"/>
            </w:tcBorders>
            <w:shd w:val="clear" w:color="auto" w:fill="auto"/>
            <w:vAlign w:val="center"/>
          </w:tcPr>
          <w:p w:rsidR="007F6051" w:rsidRPr="004B208C" w:rsidRDefault="007F6051" w:rsidP="007F6051">
            <w:pPr>
              <w:pStyle w:val="Heading2"/>
              <w:spacing w:beforeLines="20" w:before="48" w:afterLines="20" w:after="48"/>
              <w:ind w:left="0"/>
              <w:rPr>
                <w:rFonts w:ascii="Tahoma" w:hAnsi="Tahoma" w:cs="Tahoma"/>
                <w:b w:val="0"/>
                <w:sz w:val="14"/>
              </w:rPr>
            </w:pPr>
            <w:bookmarkStart w:id="306" w:name="_Toc370981142"/>
            <w:r w:rsidRPr="004B208C">
              <w:rPr>
                <w:rFonts w:ascii="Tahoma" w:hAnsi="Tahoma" w:cs="Tahoma"/>
                <w:b w:val="0"/>
                <w:sz w:val="14"/>
              </w:rPr>
              <w:t>Instância de Não Produção do Microsoft Dynamics CRM Online</w:t>
            </w:r>
            <w:bookmarkEnd w:id="306"/>
          </w:p>
        </w:tc>
        <w:tc>
          <w:tcPr>
            <w:tcW w:w="449" w:type="dxa"/>
            <w:tcBorders>
              <w:bottom w:val="single" w:sz="4" w:space="0" w:color="auto"/>
            </w:tcBorders>
            <w:shd w:val="clear" w:color="auto" w:fill="auto"/>
            <w:vAlign w:val="center"/>
          </w:tcPr>
          <w:p w:rsidR="007F6051" w:rsidRPr="003435FB" w:rsidRDefault="007F6051" w:rsidP="007F6051">
            <w:pPr>
              <w:pStyle w:val="TableText"/>
              <w:widowControl w:val="0"/>
              <w:rPr>
                <w:rStyle w:val="EndnoteReference"/>
                <w:rFonts w:cs="Tahoma"/>
                <w:b w:val="0"/>
                <w:color w:val="0000FF"/>
                <w:sz w:val="13"/>
                <w:szCs w:val="13"/>
                <w:u w:val="single"/>
              </w:rPr>
            </w:pPr>
            <w:hyperlink w:anchor="_70_Microsoft_Dynamics" w:history="1">
              <w:r w:rsidRPr="00CE4D87">
                <w:rPr>
                  <w:rStyle w:val="Hyperlink"/>
                  <w:b/>
                  <w:bCs/>
                  <w:sz w:val="13"/>
                  <w:szCs w:val="13"/>
                </w:rPr>
                <w:t>73</w:t>
              </w:r>
            </w:hyperlink>
          </w:p>
        </w:tc>
        <w:tc>
          <w:tcPr>
            <w:tcW w:w="449"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color w:val="000000"/>
                <w:sz w:val="13"/>
              </w:rPr>
            </w:pPr>
            <w:r w:rsidRPr="004B20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F6051" w:rsidRDefault="007F6051" w:rsidP="007F6051">
            <w:pPr>
              <w:jc w:val="center"/>
            </w:pPr>
            <w:r w:rsidRPr="00017A39">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7F6051" w:rsidRDefault="007F6051" w:rsidP="007F6051">
            <w:pPr>
              <w:jc w:val="center"/>
            </w:pPr>
            <w:r w:rsidRPr="006E2EF3">
              <w:rPr>
                <w:rFonts w:cs="Tahoma"/>
                <w:sz w:val="13"/>
              </w:rPr>
              <w:t>A,ST</w:t>
            </w:r>
          </w:p>
        </w:tc>
        <w:tc>
          <w:tcPr>
            <w:tcW w:w="504"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71" w:type="dxa"/>
            <w:tcBorders>
              <w:bottom w:val="single" w:sz="4" w:space="0" w:color="auto"/>
            </w:tcBorders>
            <w:vAlign w:val="center"/>
          </w:tcPr>
          <w:p w:rsidR="007F6051" w:rsidRPr="004B208C" w:rsidRDefault="007F6051" w:rsidP="007F6051">
            <w:pPr>
              <w:pStyle w:val="TableText"/>
              <w:widowControl w:val="0"/>
              <w:rPr>
                <w:rFonts w:ascii="Tahoma" w:hAnsi="Tahoma" w:cs="Tahoma"/>
                <w:sz w:val="13"/>
              </w:rPr>
            </w:pPr>
          </w:p>
        </w:tc>
      </w:tr>
      <w:tr w:rsidR="007F6051" w:rsidRPr="004B208C" w:rsidTr="007F6051">
        <w:trPr>
          <w:trHeight w:val="145"/>
        </w:trPr>
        <w:tc>
          <w:tcPr>
            <w:tcW w:w="2551" w:type="dxa"/>
            <w:gridSpan w:val="2"/>
            <w:tcBorders>
              <w:bottom w:val="single" w:sz="4" w:space="0" w:color="auto"/>
            </w:tcBorders>
            <w:shd w:val="clear" w:color="auto" w:fill="FABF8F"/>
            <w:vAlign w:val="center"/>
          </w:tcPr>
          <w:p w:rsidR="007F6051" w:rsidRPr="004B208C" w:rsidRDefault="007F6051" w:rsidP="007F6051">
            <w:pPr>
              <w:pStyle w:val="Heading2"/>
              <w:spacing w:beforeLines="20" w:before="48" w:afterLines="20" w:after="48"/>
              <w:ind w:left="0"/>
              <w:rPr>
                <w:rFonts w:ascii="Tahoma" w:hAnsi="Tahoma" w:cs="Tahoma"/>
                <w:b w:val="0"/>
                <w:sz w:val="14"/>
              </w:rPr>
            </w:pPr>
            <w:bookmarkStart w:id="307" w:name="_Toc370981143"/>
            <w:r w:rsidRPr="004B208C">
              <w:rPr>
                <w:rFonts w:ascii="Tahoma" w:hAnsi="Tahoma" w:cs="Tahoma"/>
                <w:b w:val="0"/>
                <w:sz w:val="14"/>
              </w:rPr>
              <w:t>Instância de Produção do Microsoft Dynamics CRM Online</w:t>
            </w:r>
            <w:bookmarkEnd w:id="307"/>
          </w:p>
        </w:tc>
        <w:tc>
          <w:tcPr>
            <w:tcW w:w="449" w:type="dxa"/>
            <w:tcBorders>
              <w:bottom w:val="single" w:sz="4" w:space="0" w:color="auto"/>
            </w:tcBorders>
            <w:shd w:val="clear" w:color="auto" w:fill="FABF8F"/>
            <w:vAlign w:val="center"/>
          </w:tcPr>
          <w:p w:rsidR="007F6051" w:rsidRPr="003435FB" w:rsidRDefault="007F6051" w:rsidP="007F6051">
            <w:pPr>
              <w:pStyle w:val="TableText"/>
              <w:widowControl w:val="0"/>
              <w:rPr>
                <w:rStyle w:val="EndnoteReference"/>
                <w:rFonts w:cs="Tahoma"/>
                <w:b w:val="0"/>
                <w:color w:val="0000FF"/>
                <w:sz w:val="13"/>
                <w:szCs w:val="13"/>
                <w:u w:val="single"/>
              </w:rPr>
            </w:pPr>
            <w:hyperlink w:anchor="_70_Microsoft_Dynamics" w:history="1">
              <w:r w:rsidRPr="00CE4D87">
                <w:rPr>
                  <w:rStyle w:val="Hyperlink"/>
                  <w:b/>
                  <w:bCs/>
                  <w:sz w:val="13"/>
                  <w:szCs w:val="13"/>
                </w:rPr>
                <w:t>73</w:t>
              </w:r>
            </w:hyperlink>
          </w:p>
        </w:tc>
        <w:tc>
          <w:tcPr>
            <w:tcW w:w="449"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color w:val="000000"/>
                <w:sz w:val="13"/>
              </w:rPr>
            </w:pPr>
            <w:r w:rsidRPr="004B20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F6051" w:rsidRDefault="007F6051" w:rsidP="007F6051">
            <w:pPr>
              <w:jc w:val="center"/>
            </w:pPr>
            <w:r w:rsidRPr="00017A39">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7F6051" w:rsidRDefault="007F6051" w:rsidP="007F6051">
            <w:pPr>
              <w:jc w:val="center"/>
            </w:pPr>
            <w:r w:rsidRPr="006E2EF3">
              <w:rPr>
                <w:rFonts w:cs="Tahoma"/>
                <w:sz w:val="13"/>
              </w:rPr>
              <w:t>A,ST</w:t>
            </w:r>
          </w:p>
        </w:tc>
        <w:tc>
          <w:tcPr>
            <w:tcW w:w="504"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r>
      <w:tr w:rsidR="007F6051" w:rsidRPr="004B208C" w:rsidTr="007F6051">
        <w:trPr>
          <w:trHeight w:val="145"/>
        </w:trPr>
        <w:tc>
          <w:tcPr>
            <w:tcW w:w="2551" w:type="dxa"/>
            <w:gridSpan w:val="2"/>
            <w:tcBorders>
              <w:bottom w:val="single" w:sz="4" w:space="0" w:color="auto"/>
            </w:tcBorders>
            <w:shd w:val="clear" w:color="auto" w:fill="auto"/>
            <w:vAlign w:val="center"/>
          </w:tcPr>
          <w:p w:rsidR="007F6051" w:rsidRPr="004B208C" w:rsidRDefault="007F6051" w:rsidP="007F6051">
            <w:pPr>
              <w:pStyle w:val="Heading2"/>
              <w:spacing w:beforeLines="20" w:before="48" w:afterLines="20" w:after="48"/>
              <w:ind w:left="0"/>
              <w:rPr>
                <w:rFonts w:ascii="Tahoma" w:hAnsi="Tahoma" w:cs="Tahoma"/>
                <w:b w:val="0"/>
                <w:sz w:val="14"/>
              </w:rPr>
            </w:pPr>
            <w:bookmarkStart w:id="308" w:name="_Toc370981144"/>
            <w:r w:rsidRPr="004B208C">
              <w:rPr>
                <w:rFonts w:ascii="Tahoma" w:hAnsi="Tahoma" w:cs="Tahoma"/>
                <w:b w:val="0"/>
                <w:sz w:val="14"/>
              </w:rPr>
              <w:t>Microsoft Dynamics CRM Online Professional</w:t>
            </w:r>
            <w:bookmarkEnd w:id="308"/>
          </w:p>
        </w:tc>
        <w:tc>
          <w:tcPr>
            <w:tcW w:w="449" w:type="dxa"/>
            <w:tcBorders>
              <w:bottom w:val="single" w:sz="4" w:space="0" w:color="auto"/>
            </w:tcBorders>
            <w:shd w:val="clear" w:color="auto" w:fill="auto"/>
            <w:vAlign w:val="center"/>
          </w:tcPr>
          <w:p w:rsidR="007F6051" w:rsidRPr="003435FB" w:rsidRDefault="007F6051" w:rsidP="007F6051">
            <w:pPr>
              <w:pStyle w:val="TableText"/>
              <w:widowControl w:val="0"/>
              <w:rPr>
                <w:rStyle w:val="EndnoteReference"/>
                <w:rFonts w:cs="Tahoma"/>
                <w:b w:val="0"/>
                <w:color w:val="0000FF"/>
                <w:sz w:val="13"/>
                <w:szCs w:val="13"/>
                <w:u w:val="single"/>
              </w:rPr>
            </w:pPr>
            <w:hyperlink w:anchor="_70_Microsoft_Dynamics" w:history="1">
              <w:r w:rsidRPr="00CE4D87">
                <w:rPr>
                  <w:rStyle w:val="Hyperlink"/>
                  <w:b/>
                  <w:bCs/>
                  <w:sz w:val="13"/>
                  <w:szCs w:val="13"/>
                </w:rPr>
                <w:t>73</w:t>
              </w:r>
            </w:hyperlink>
          </w:p>
        </w:tc>
        <w:tc>
          <w:tcPr>
            <w:tcW w:w="449"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color w:val="000000"/>
                <w:sz w:val="13"/>
              </w:rPr>
            </w:pPr>
            <w:r w:rsidRPr="004B20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F6051" w:rsidRDefault="007F6051" w:rsidP="007F6051">
            <w:pPr>
              <w:jc w:val="center"/>
            </w:pPr>
            <w:r w:rsidRPr="00017A39">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7F6051" w:rsidRDefault="007F6051" w:rsidP="007F6051">
            <w:pPr>
              <w:jc w:val="center"/>
            </w:pPr>
            <w:r w:rsidRPr="006E2EF3">
              <w:rPr>
                <w:rFonts w:cs="Tahoma"/>
                <w:sz w:val="13"/>
              </w:rPr>
              <w:t>A,ST</w:t>
            </w:r>
          </w:p>
        </w:tc>
        <w:tc>
          <w:tcPr>
            <w:tcW w:w="504"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71" w:type="dxa"/>
            <w:tcBorders>
              <w:bottom w:val="single" w:sz="4" w:space="0" w:color="auto"/>
            </w:tcBorders>
            <w:vAlign w:val="center"/>
          </w:tcPr>
          <w:p w:rsidR="007F6051" w:rsidRPr="004B208C" w:rsidRDefault="007F6051" w:rsidP="007F6051">
            <w:pPr>
              <w:pStyle w:val="TableText"/>
              <w:widowControl w:val="0"/>
              <w:rPr>
                <w:rFonts w:ascii="Tahoma" w:hAnsi="Tahoma" w:cs="Tahoma"/>
                <w:sz w:val="13"/>
              </w:rPr>
            </w:pPr>
          </w:p>
        </w:tc>
      </w:tr>
      <w:tr w:rsidR="007F6051" w:rsidRPr="004B208C" w:rsidTr="007F6051">
        <w:trPr>
          <w:trHeight w:val="145"/>
        </w:trPr>
        <w:tc>
          <w:tcPr>
            <w:tcW w:w="2551" w:type="dxa"/>
            <w:gridSpan w:val="2"/>
            <w:tcBorders>
              <w:bottom w:val="single" w:sz="4" w:space="0" w:color="auto"/>
            </w:tcBorders>
            <w:shd w:val="clear" w:color="auto" w:fill="FABF8F"/>
            <w:vAlign w:val="center"/>
          </w:tcPr>
          <w:p w:rsidR="007F6051" w:rsidRPr="004B208C" w:rsidRDefault="007F6051" w:rsidP="007F6051">
            <w:pPr>
              <w:pStyle w:val="Heading2"/>
              <w:spacing w:beforeLines="20" w:before="48" w:afterLines="20" w:after="48"/>
              <w:ind w:left="0"/>
              <w:rPr>
                <w:rFonts w:ascii="Tahoma" w:hAnsi="Tahoma" w:cs="Tahoma"/>
                <w:b w:val="0"/>
                <w:sz w:val="14"/>
              </w:rPr>
            </w:pPr>
            <w:bookmarkStart w:id="309" w:name="_Toc370981145"/>
            <w:r w:rsidRPr="004B208C">
              <w:rPr>
                <w:rFonts w:ascii="Tahoma" w:hAnsi="Tahoma" w:cs="Tahoma"/>
                <w:b w:val="0"/>
                <w:sz w:val="14"/>
              </w:rPr>
              <w:t>Suporte Direto ao Microsoft Dynamics CRM Online Professional</w:t>
            </w:r>
            <w:bookmarkEnd w:id="309"/>
          </w:p>
        </w:tc>
        <w:tc>
          <w:tcPr>
            <w:tcW w:w="449" w:type="dxa"/>
            <w:tcBorders>
              <w:bottom w:val="single" w:sz="4" w:space="0" w:color="auto"/>
            </w:tcBorders>
            <w:shd w:val="clear" w:color="auto" w:fill="FABF8F"/>
            <w:vAlign w:val="center"/>
          </w:tcPr>
          <w:p w:rsidR="007F6051" w:rsidRPr="003435FB" w:rsidRDefault="007F6051" w:rsidP="007F6051">
            <w:pPr>
              <w:pStyle w:val="TableText"/>
              <w:widowControl w:val="0"/>
              <w:rPr>
                <w:rStyle w:val="EndnoteReference"/>
                <w:rFonts w:cs="Tahoma"/>
                <w:b w:val="0"/>
                <w:color w:val="0000FF"/>
                <w:sz w:val="13"/>
                <w:szCs w:val="13"/>
                <w:u w:val="single"/>
              </w:rPr>
            </w:pPr>
            <w:hyperlink w:anchor="_70_Microsoft_Dynamics" w:history="1">
              <w:r w:rsidRPr="00CE4D87">
                <w:rPr>
                  <w:rStyle w:val="Hyperlink"/>
                  <w:b/>
                  <w:bCs/>
                  <w:sz w:val="13"/>
                  <w:szCs w:val="13"/>
                </w:rPr>
                <w:t>73</w:t>
              </w:r>
            </w:hyperlink>
          </w:p>
        </w:tc>
        <w:tc>
          <w:tcPr>
            <w:tcW w:w="449"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color w:val="000000"/>
                <w:sz w:val="13"/>
              </w:rPr>
            </w:pPr>
            <w:r w:rsidRPr="004B208C">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7F6051" w:rsidRDefault="007F6051" w:rsidP="007F6051">
            <w:pPr>
              <w:jc w:val="center"/>
            </w:pPr>
            <w:r w:rsidRPr="00017A39">
              <w:rPr>
                <w:rFonts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621" w:type="dxa"/>
            <w:tcBorders>
              <w:bottom w:val="single" w:sz="4" w:space="0" w:color="auto"/>
            </w:tcBorders>
            <w:shd w:val="clear" w:color="auto" w:fill="FABF8F"/>
            <w:vAlign w:val="center"/>
          </w:tcPr>
          <w:p w:rsidR="007F6051" w:rsidRDefault="007F6051" w:rsidP="007F6051">
            <w:pPr>
              <w:jc w:val="center"/>
            </w:pPr>
            <w:r w:rsidRPr="006E2EF3">
              <w:rPr>
                <w:rFonts w:cs="Tahoma"/>
                <w:sz w:val="13"/>
              </w:rPr>
              <w:t>A,ST</w:t>
            </w:r>
          </w:p>
        </w:tc>
        <w:tc>
          <w:tcPr>
            <w:tcW w:w="504"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c>
          <w:tcPr>
            <w:tcW w:w="371" w:type="dxa"/>
            <w:tcBorders>
              <w:bottom w:val="single" w:sz="4" w:space="0" w:color="auto"/>
            </w:tcBorders>
            <w:shd w:val="clear" w:color="auto" w:fill="FABF8F"/>
            <w:vAlign w:val="center"/>
          </w:tcPr>
          <w:p w:rsidR="007F6051" w:rsidRPr="004B208C" w:rsidRDefault="007F6051" w:rsidP="007F6051">
            <w:pPr>
              <w:pStyle w:val="TableText"/>
              <w:widowControl w:val="0"/>
              <w:rPr>
                <w:rFonts w:ascii="Tahoma" w:hAnsi="Tahoma" w:cs="Tahoma"/>
                <w:sz w:val="13"/>
              </w:rPr>
            </w:pPr>
          </w:p>
        </w:tc>
      </w:tr>
      <w:tr w:rsidR="007F6051" w:rsidRPr="004B208C" w:rsidTr="007F6051">
        <w:trPr>
          <w:trHeight w:val="145"/>
        </w:trPr>
        <w:tc>
          <w:tcPr>
            <w:tcW w:w="2551" w:type="dxa"/>
            <w:gridSpan w:val="2"/>
            <w:tcBorders>
              <w:bottom w:val="single" w:sz="4" w:space="0" w:color="auto"/>
            </w:tcBorders>
            <w:shd w:val="clear" w:color="auto" w:fill="auto"/>
            <w:vAlign w:val="center"/>
          </w:tcPr>
          <w:p w:rsidR="007F6051" w:rsidRPr="004B208C" w:rsidRDefault="007F6051" w:rsidP="007F6051">
            <w:pPr>
              <w:pStyle w:val="Heading2"/>
              <w:spacing w:beforeLines="20" w:before="48" w:afterLines="20" w:after="48"/>
              <w:ind w:left="0"/>
              <w:rPr>
                <w:rFonts w:ascii="Tahoma" w:hAnsi="Tahoma" w:cs="Tahoma"/>
                <w:b w:val="0"/>
                <w:sz w:val="14"/>
              </w:rPr>
            </w:pPr>
            <w:bookmarkStart w:id="310" w:name="_Toc370981146"/>
            <w:r w:rsidRPr="004B208C">
              <w:rPr>
                <w:rFonts w:ascii="Tahoma" w:hAnsi="Tahoma" w:cs="Tahoma"/>
                <w:b w:val="0"/>
                <w:sz w:val="14"/>
              </w:rPr>
              <w:t>Armazenamento Online do Microsoft Dynamics CRM</w:t>
            </w:r>
            <w:bookmarkEnd w:id="310"/>
          </w:p>
        </w:tc>
        <w:tc>
          <w:tcPr>
            <w:tcW w:w="449" w:type="dxa"/>
            <w:tcBorders>
              <w:bottom w:val="single" w:sz="4" w:space="0" w:color="auto"/>
            </w:tcBorders>
            <w:shd w:val="clear" w:color="auto" w:fill="auto"/>
            <w:vAlign w:val="center"/>
          </w:tcPr>
          <w:p w:rsidR="007F6051" w:rsidRPr="00CE4D87" w:rsidRDefault="007F6051" w:rsidP="007F6051">
            <w:pPr>
              <w:pStyle w:val="TableText"/>
              <w:widowControl w:val="0"/>
              <w:rPr>
                <w:rStyle w:val="EndnoteReference"/>
                <w:rFonts w:cs="Tahoma"/>
                <w:b w:val="0"/>
                <w:bCs/>
                <w:color w:val="0000FF"/>
                <w:sz w:val="13"/>
                <w:szCs w:val="13"/>
                <w:u w:val="single"/>
              </w:rPr>
            </w:pPr>
            <w:hyperlink w:anchor="_70_Microsoft_Dynamics" w:history="1">
              <w:r w:rsidRPr="00CE4D87">
                <w:rPr>
                  <w:rStyle w:val="Hyperlink"/>
                  <w:b/>
                  <w:bCs/>
                  <w:sz w:val="13"/>
                  <w:szCs w:val="13"/>
                </w:rPr>
                <w:t>73</w:t>
              </w:r>
            </w:hyperlink>
          </w:p>
        </w:tc>
        <w:tc>
          <w:tcPr>
            <w:tcW w:w="449"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color w:val="000000"/>
                <w:sz w:val="13"/>
              </w:rPr>
            </w:pPr>
            <w:r w:rsidRPr="004B208C">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F6051" w:rsidRDefault="007F6051" w:rsidP="007F6051">
            <w:pPr>
              <w:jc w:val="center"/>
            </w:pPr>
            <w:r w:rsidRPr="00017A39">
              <w:rPr>
                <w:rFonts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7F6051" w:rsidRDefault="007F6051" w:rsidP="007F6051">
            <w:pPr>
              <w:jc w:val="center"/>
            </w:pPr>
            <w:r w:rsidRPr="006E2EF3">
              <w:rPr>
                <w:rFonts w:cs="Tahoma"/>
                <w:sz w:val="13"/>
              </w:rPr>
              <w:t>A,ST</w:t>
            </w:r>
          </w:p>
        </w:tc>
        <w:tc>
          <w:tcPr>
            <w:tcW w:w="504" w:type="dxa"/>
            <w:tcBorders>
              <w:bottom w:val="single" w:sz="4" w:space="0" w:color="auto"/>
            </w:tcBorders>
            <w:shd w:val="clear" w:color="auto" w:fill="auto"/>
            <w:vAlign w:val="center"/>
          </w:tcPr>
          <w:p w:rsidR="007F6051" w:rsidRPr="004B208C" w:rsidRDefault="007F6051" w:rsidP="007F6051">
            <w:pPr>
              <w:pStyle w:val="TableText"/>
              <w:widowControl w:val="0"/>
              <w:rPr>
                <w:rFonts w:ascii="Tahoma" w:hAnsi="Tahoma" w:cs="Tahoma"/>
                <w:sz w:val="13"/>
              </w:rPr>
            </w:pPr>
          </w:p>
        </w:tc>
        <w:tc>
          <w:tcPr>
            <w:tcW w:w="371" w:type="dxa"/>
            <w:tcBorders>
              <w:bottom w:val="single" w:sz="4" w:space="0" w:color="auto"/>
            </w:tcBorders>
            <w:vAlign w:val="center"/>
          </w:tcPr>
          <w:p w:rsidR="007F6051" w:rsidRPr="004B208C" w:rsidRDefault="007F6051" w:rsidP="007F6051">
            <w:pPr>
              <w:pStyle w:val="TableText"/>
              <w:widowControl w:val="0"/>
              <w:rPr>
                <w:rFonts w:ascii="Tahoma" w:hAnsi="Tahoma" w:cs="Tahoma"/>
                <w:sz w:val="13"/>
              </w:rPr>
            </w:pP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FC0808">
            <w:pPr>
              <w:pStyle w:val="ProductNames"/>
              <w:rPr>
                <w:rFonts w:ascii="Tahoma" w:hAnsi="Tahoma" w:cs="Tahoma"/>
                <w:sz w:val="14"/>
              </w:rPr>
            </w:pPr>
            <w:bookmarkStart w:id="311" w:name="_Toc370981147"/>
            <w:r w:rsidRPr="004B208C">
              <w:rPr>
                <w:rFonts w:ascii="Tahoma" w:hAnsi="Tahoma" w:cs="Tahoma"/>
                <w:sz w:val="14"/>
              </w:rPr>
              <w:t>Microsoft Learning E-Reference Library (SL de Usuário)</w:t>
            </w:r>
            <w:bookmarkEnd w:id="311"/>
          </w:p>
        </w:tc>
        <w:tc>
          <w:tcPr>
            <w:tcW w:w="449" w:type="dxa"/>
            <w:tcBorders>
              <w:bottom w:val="single" w:sz="4" w:space="0" w:color="auto"/>
            </w:tcBorders>
            <w:shd w:val="clear" w:color="auto" w:fill="FABF8F"/>
            <w:vAlign w:val="center"/>
          </w:tcPr>
          <w:p w:rsidR="00913A0A" w:rsidRPr="003412D9" w:rsidRDefault="00913A0A" w:rsidP="00FC0808">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4B208C" w:rsidRDefault="00913A0A" w:rsidP="00FC0808">
            <w:pPr>
              <w:pStyle w:val="TableText"/>
              <w:widowControl w:val="0"/>
              <w:spacing w:before="80"/>
              <w:rPr>
                <w:rFonts w:ascii="Tahoma" w:hAnsi="Tahoma" w:cs="Tahoma"/>
                <w:sz w:val="13"/>
              </w:rPr>
            </w:pPr>
            <w:r w:rsidRPr="004B208C">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FC0808">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FC0808">
            <w:pPr>
              <w:pStyle w:val="TableText"/>
              <w:widowControl w:val="0"/>
              <w:rPr>
                <w:rFonts w:ascii="Tahoma" w:hAnsi="Tahoma" w:cs="Tahoma"/>
                <w:sz w:val="13"/>
              </w:rPr>
            </w:pPr>
            <w:r w:rsidRPr="004B208C">
              <w:rPr>
                <w:rFonts w:ascii="Tahoma" w:hAnsi="Tahoma" w:cs="Tahoma"/>
                <w:sz w:val="13"/>
              </w:rPr>
              <w:t>A</w:t>
            </w:r>
          </w:p>
        </w:tc>
      </w:tr>
      <w:tr w:rsidR="00600C32" w:rsidRPr="004B208C" w:rsidTr="00916AA6">
        <w:trPr>
          <w:trHeight w:val="145"/>
        </w:trPr>
        <w:tc>
          <w:tcPr>
            <w:tcW w:w="2551" w:type="dxa"/>
            <w:gridSpan w:val="2"/>
            <w:tcBorders>
              <w:bottom w:val="single" w:sz="4" w:space="0" w:color="auto"/>
            </w:tcBorders>
            <w:shd w:val="clear" w:color="auto" w:fill="auto"/>
            <w:vAlign w:val="bottom"/>
          </w:tcPr>
          <w:p w:rsidR="00913A0A" w:rsidRPr="004B208C" w:rsidRDefault="00913A0A" w:rsidP="00731EEF">
            <w:pPr>
              <w:pStyle w:val="ProductNames"/>
              <w:rPr>
                <w:rFonts w:ascii="Tahoma" w:hAnsi="Tahoma" w:cs="Tahoma"/>
                <w:sz w:val="14"/>
              </w:rPr>
            </w:pPr>
            <w:bookmarkStart w:id="312" w:name="_Toc370981148"/>
            <w:r w:rsidRPr="004B208C">
              <w:rPr>
                <w:rFonts w:ascii="Tahoma" w:hAnsi="Tahoma" w:cs="Tahoma"/>
                <w:sz w:val="14"/>
              </w:rPr>
              <w:t>Microsoft Learning IT Academy (SL</w:t>
            </w:r>
            <w:r w:rsidR="00731EEF">
              <w:rPr>
                <w:rFonts w:ascii="Tahoma" w:hAnsi="Tahoma" w:cs="Tahoma"/>
                <w:sz w:val="14"/>
              </w:rPr>
              <w:t> </w:t>
            </w:r>
            <w:r w:rsidRPr="004B208C">
              <w:rPr>
                <w:rFonts w:ascii="Tahoma" w:hAnsi="Tahoma" w:cs="Tahoma"/>
                <w:sz w:val="14"/>
              </w:rPr>
              <w:t>de</w:t>
            </w:r>
            <w:r w:rsidR="00731EEF">
              <w:rPr>
                <w:rFonts w:ascii="Tahoma" w:hAnsi="Tahoma" w:cs="Tahoma"/>
                <w:sz w:val="14"/>
              </w:rPr>
              <w:t> </w:t>
            </w:r>
            <w:r w:rsidRPr="004B208C">
              <w:rPr>
                <w:rFonts w:ascii="Tahoma" w:hAnsi="Tahoma" w:cs="Tahoma"/>
                <w:sz w:val="14"/>
              </w:rPr>
              <w:t>Serviços)</w:t>
            </w:r>
            <w:bookmarkEnd w:id="312"/>
          </w:p>
        </w:tc>
        <w:tc>
          <w:tcPr>
            <w:tcW w:w="449" w:type="dxa"/>
            <w:tcBorders>
              <w:bottom w:val="single" w:sz="4" w:space="0" w:color="auto"/>
            </w:tcBorders>
            <w:shd w:val="clear" w:color="auto" w:fill="auto"/>
            <w:vAlign w:val="center"/>
          </w:tcPr>
          <w:p w:rsidR="00913A0A" w:rsidRPr="003412D9" w:rsidRDefault="00913A0A" w:rsidP="00FC0808">
            <w:pPr>
              <w:pStyle w:val="TableText"/>
              <w:widowControl w:val="0"/>
              <w:rPr>
                <w:rFonts w:cs="Tahoma"/>
                <w:b/>
                <w:color w:val="000000"/>
                <w:sz w:val="13"/>
                <w:szCs w:val="13"/>
                <w:u w:val="single"/>
              </w:rPr>
            </w:pPr>
          </w:p>
        </w:tc>
        <w:tc>
          <w:tcPr>
            <w:tcW w:w="449" w:type="dxa"/>
            <w:tcBorders>
              <w:bottom w:val="single" w:sz="4" w:space="0" w:color="auto"/>
            </w:tcBorders>
            <w:shd w:val="clear" w:color="auto" w:fill="auto"/>
          </w:tcPr>
          <w:p w:rsidR="00913A0A" w:rsidRPr="004B208C" w:rsidRDefault="00913A0A" w:rsidP="00FC0808">
            <w:pPr>
              <w:pStyle w:val="TableText"/>
              <w:widowControl w:val="0"/>
              <w:spacing w:before="80"/>
              <w:rPr>
                <w:rFonts w:ascii="Tahoma" w:hAnsi="Tahoma" w:cs="Tahoma"/>
                <w:sz w:val="13"/>
              </w:rPr>
            </w:pPr>
            <w:r w:rsidRPr="004B208C">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FC0808">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tcPr>
          <w:p w:rsidR="00913A0A" w:rsidRPr="004B208C" w:rsidRDefault="00913A0A" w:rsidP="00FC0808">
            <w:pPr>
              <w:pStyle w:val="TableText"/>
              <w:widowControl w:val="0"/>
              <w:rPr>
                <w:rFonts w:ascii="Tahoma" w:hAnsi="Tahoma" w:cs="Tahoma"/>
                <w:sz w:val="13"/>
              </w:rPr>
            </w:pPr>
          </w:p>
        </w:tc>
      </w:tr>
      <w:tr w:rsidR="00600C32" w:rsidRPr="004B208C" w:rsidTr="00916AA6">
        <w:trPr>
          <w:trHeight w:val="145"/>
        </w:trPr>
        <w:tc>
          <w:tcPr>
            <w:tcW w:w="2551" w:type="dxa"/>
            <w:gridSpan w:val="2"/>
            <w:tcBorders>
              <w:bottom w:val="single" w:sz="4" w:space="0" w:color="auto"/>
            </w:tcBorders>
            <w:shd w:val="clear" w:color="auto" w:fill="FABF8F"/>
            <w:vAlign w:val="bottom"/>
          </w:tcPr>
          <w:p w:rsidR="00913A0A" w:rsidRPr="004B208C" w:rsidRDefault="00913A0A" w:rsidP="00FC0808">
            <w:pPr>
              <w:pStyle w:val="ProductNames"/>
              <w:rPr>
                <w:rFonts w:ascii="Tahoma" w:hAnsi="Tahoma" w:cs="Tahoma"/>
                <w:sz w:val="14"/>
              </w:rPr>
            </w:pPr>
            <w:bookmarkStart w:id="313" w:name="_Toc370981149"/>
            <w:r w:rsidRPr="004B208C">
              <w:rPr>
                <w:rFonts w:ascii="Tahoma" w:hAnsi="Tahoma" w:cs="Tahoma"/>
                <w:sz w:val="14"/>
              </w:rPr>
              <w:t>Cupons de Exame do Microsoft Learning MCP 1 (SL de Serviços)</w:t>
            </w:r>
            <w:bookmarkEnd w:id="313"/>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Style w:val="EndnoteReference"/>
                <w:rFonts w:cs="Tahoma"/>
                <w:b w:val="0"/>
                <w:color w:val="000000"/>
                <w:sz w:val="13"/>
                <w:szCs w:val="13"/>
                <w:u w:val="single"/>
              </w:rPr>
            </w:pPr>
            <w:hyperlink w:anchor="_74_Cupons_de" w:history="1">
              <w:r w:rsidR="00913A0A" w:rsidRPr="003412D9">
                <w:rPr>
                  <w:rStyle w:val="Hyperlink"/>
                  <w:rFonts w:cs="Tahoma"/>
                  <w:b/>
                  <w:sz w:val="13"/>
                  <w:szCs w:val="13"/>
                </w:rPr>
                <w:t>74</w:t>
              </w:r>
            </w:hyperlink>
            <w:hyperlink w:anchor="_69_Learning_Solutions" w:history="1">
              <w:hyperlink w:anchor="_64_62_Learning" w:history="1"/>
            </w:hyperlink>
          </w:p>
        </w:tc>
        <w:tc>
          <w:tcPr>
            <w:tcW w:w="449" w:type="dxa"/>
            <w:tcBorders>
              <w:bottom w:val="single" w:sz="4" w:space="0" w:color="auto"/>
            </w:tcBorders>
            <w:shd w:val="clear" w:color="auto" w:fill="FABF8F"/>
          </w:tcPr>
          <w:p w:rsidR="00913A0A" w:rsidRPr="004B208C" w:rsidRDefault="00913A0A" w:rsidP="00FC0808">
            <w:pPr>
              <w:pStyle w:val="TableText"/>
              <w:widowControl w:val="0"/>
              <w:spacing w:before="80"/>
              <w:rPr>
                <w:rFonts w:ascii="Tahoma" w:hAnsi="Tahoma" w:cs="Tahoma"/>
                <w:sz w:val="13"/>
              </w:rPr>
            </w:pPr>
            <w:r w:rsidRPr="004B208C">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1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FC0808">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FC0808">
            <w:pPr>
              <w:pStyle w:val="TableText"/>
              <w:widowControl w:val="0"/>
              <w:rPr>
                <w:rFonts w:ascii="Tahoma" w:hAnsi="Tahoma" w:cs="Tahoma"/>
                <w:sz w:val="13"/>
              </w:rPr>
            </w:pPr>
            <w:r w:rsidRPr="004B208C">
              <w:rPr>
                <w:rFonts w:ascii="Tahoma" w:hAnsi="Tahoma" w:cs="Tahoma"/>
                <w:sz w:val="13"/>
              </w:rPr>
              <w:t>A</w:t>
            </w:r>
          </w:p>
        </w:tc>
      </w:tr>
      <w:tr w:rsidR="00600C32" w:rsidRPr="004B208C" w:rsidTr="00916AA6">
        <w:trPr>
          <w:trHeight w:val="145"/>
        </w:trPr>
        <w:tc>
          <w:tcPr>
            <w:tcW w:w="2551" w:type="dxa"/>
            <w:gridSpan w:val="2"/>
            <w:tcBorders>
              <w:bottom w:val="single" w:sz="4" w:space="0" w:color="auto"/>
            </w:tcBorders>
            <w:shd w:val="clear" w:color="auto" w:fill="auto"/>
            <w:vAlign w:val="bottom"/>
          </w:tcPr>
          <w:p w:rsidR="00913A0A" w:rsidRPr="004B208C" w:rsidRDefault="00913A0A" w:rsidP="00FC0808">
            <w:pPr>
              <w:pStyle w:val="ProductNames"/>
              <w:rPr>
                <w:rFonts w:ascii="Tahoma" w:hAnsi="Tahoma" w:cs="Tahoma"/>
                <w:sz w:val="14"/>
              </w:rPr>
            </w:pPr>
            <w:bookmarkStart w:id="314" w:name="_Toc370981150"/>
            <w:r w:rsidRPr="004B208C">
              <w:rPr>
                <w:rFonts w:ascii="Tahoma" w:hAnsi="Tahoma" w:cs="Tahoma"/>
                <w:sz w:val="14"/>
              </w:rPr>
              <w:t>Cupons de Exame do Microsoft Learning MCP 30 (SL de Usuário)</w:t>
            </w:r>
            <w:bookmarkEnd w:id="314"/>
          </w:p>
        </w:tc>
        <w:tc>
          <w:tcPr>
            <w:tcW w:w="449" w:type="dxa"/>
            <w:tcBorders>
              <w:bottom w:val="single" w:sz="4" w:space="0" w:color="auto"/>
            </w:tcBorders>
            <w:shd w:val="clear" w:color="auto" w:fill="auto"/>
            <w:vAlign w:val="center"/>
          </w:tcPr>
          <w:p w:rsidR="00913A0A" w:rsidRPr="00731EEF" w:rsidRDefault="00913A0A" w:rsidP="00FC0808">
            <w:pPr>
              <w:pStyle w:val="TableText"/>
              <w:widowControl w:val="0"/>
              <w:rPr>
                <w:rFonts w:cs="Tahoma"/>
                <w:b/>
                <w:sz w:val="13"/>
                <w:szCs w:val="13"/>
              </w:rPr>
            </w:pPr>
          </w:p>
        </w:tc>
        <w:tc>
          <w:tcPr>
            <w:tcW w:w="449" w:type="dxa"/>
            <w:tcBorders>
              <w:bottom w:val="single" w:sz="4" w:space="0" w:color="auto"/>
            </w:tcBorders>
            <w:shd w:val="clear" w:color="auto" w:fill="auto"/>
          </w:tcPr>
          <w:p w:rsidR="00913A0A" w:rsidRPr="004B208C" w:rsidRDefault="00913A0A" w:rsidP="00FC0808">
            <w:pPr>
              <w:pStyle w:val="TableText"/>
              <w:widowControl w:val="0"/>
              <w:spacing w:before="80"/>
              <w:rPr>
                <w:rFonts w:ascii="Tahoma" w:hAnsi="Tahoma" w:cs="Tahoma"/>
                <w:sz w:val="13"/>
              </w:rPr>
            </w:pPr>
            <w:r w:rsidRPr="004B208C">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75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FC0808">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tcPr>
          <w:p w:rsidR="00913A0A" w:rsidRPr="004B208C" w:rsidRDefault="00913A0A" w:rsidP="00FC0808">
            <w:pPr>
              <w:pStyle w:val="TableText"/>
              <w:widowControl w:val="0"/>
              <w:rPr>
                <w:rFonts w:ascii="Tahoma" w:hAnsi="Tahoma" w:cs="Tahoma"/>
                <w:sz w:val="13"/>
              </w:rPr>
            </w:pPr>
          </w:p>
        </w:tc>
      </w:tr>
      <w:tr w:rsidR="00600C32" w:rsidRPr="004B208C" w:rsidTr="00916AA6">
        <w:trPr>
          <w:trHeight w:val="145"/>
        </w:trPr>
        <w:tc>
          <w:tcPr>
            <w:tcW w:w="2551" w:type="dxa"/>
            <w:gridSpan w:val="2"/>
            <w:tcBorders>
              <w:bottom w:val="single" w:sz="4" w:space="0" w:color="auto"/>
            </w:tcBorders>
            <w:shd w:val="clear" w:color="auto" w:fill="FABF8F"/>
            <w:vAlign w:val="bottom"/>
          </w:tcPr>
          <w:p w:rsidR="00913A0A" w:rsidRPr="004B208C" w:rsidRDefault="00913A0A" w:rsidP="00FC0808">
            <w:pPr>
              <w:pStyle w:val="ProductNames"/>
              <w:rPr>
                <w:rFonts w:ascii="Tahoma" w:hAnsi="Tahoma" w:cs="Tahoma"/>
                <w:sz w:val="14"/>
              </w:rPr>
            </w:pPr>
            <w:bookmarkStart w:id="315" w:name="_Toc370981151"/>
            <w:r w:rsidRPr="004B208C">
              <w:rPr>
                <w:rFonts w:ascii="Tahoma" w:hAnsi="Tahoma" w:cs="Tahoma"/>
                <w:sz w:val="14"/>
              </w:rPr>
              <w:t>Licença do Site de Exame do Microsoft Learning Solutions MOS 500 (SL de Serviços)</w:t>
            </w:r>
            <w:bookmarkEnd w:id="315"/>
          </w:p>
        </w:tc>
        <w:tc>
          <w:tcPr>
            <w:tcW w:w="449" w:type="dxa"/>
            <w:tcBorders>
              <w:bottom w:val="single" w:sz="4" w:space="0" w:color="auto"/>
            </w:tcBorders>
            <w:shd w:val="clear" w:color="auto" w:fill="FABF8F"/>
            <w:vAlign w:val="center"/>
          </w:tcPr>
          <w:p w:rsidR="00913A0A" w:rsidRPr="00731EEF" w:rsidRDefault="00913A0A" w:rsidP="00FC0808">
            <w:pPr>
              <w:pStyle w:val="TableText"/>
              <w:widowControl w:val="0"/>
              <w:rPr>
                <w:rFonts w:cs="Tahoma"/>
                <w:b/>
                <w:sz w:val="13"/>
                <w:szCs w:val="13"/>
              </w:rPr>
            </w:pPr>
          </w:p>
        </w:tc>
        <w:tc>
          <w:tcPr>
            <w:tcW w:w="449" w:type="dxa"/>
            <w:tcBorders>
              <w:bottom w:val="single" w:sz="4" w:space="0" w:color="auto"/>
            </w:tcBorders>
            <w:shd w:val="clear" w:color="auto" w:fill="FABF8F"/>
          </w:tcPr>
          <w:p w:rsidR="00913A0A" w:rsidRPr="004B208C" w:rsidRDefault="00913A0A" w:rsidP="00FC0808">
            <w:pPr>
              <w:pStyle w:val="TableText"/>
              <w:widowControl w:val="0"/>
              <w:spacing w:before="8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125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FC0808">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FC0808">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FC0808">
            <w:pPr>
              <w:pStyle w:val="TableText"/>
              <w:widowControl w:val="0"/>
              <w:rPr>
                <w:rFonts w:ascii="Tahoma" w:hAnsi="Tahoma" w:cs="Tahoma"/>
                <w:sz w:val="13"/>
              </w:rPr>
            </w:pPr>
          </w:p>
        </w:tc>
      </w:tr>
      <w:tr w:rsidR="00600C32" w:rsidRPr="004B208C" w:rsidTr="00916AA6">
        <w:trPr>
          <w:trHeight w:val="145"/>
        </w:trPr>
        <w:tc>
          <w:tcPr>
            <w:tcW w:w="2551" w:type="dxa"/>
            <w:gridSpan w:val="2"/>
            <w:tcBorders>
              <w:bottom w:val="single" w:sz="4" w:space="0" w:color="auto"/>
            </w:tcBorders>
            <w:shd w:val="clear" w:color="auto" w:fill="auto"/>
            <w:vAlign w:val="bottom"/>
          </w:tcPr>
          <w:p w:rsidR="00913A0A" w:rsidRPr="004B208C" w:rsidRDefault="00913A0A" w:rsidP="00FC0808">
            <w:pPr>
              <w:pStyle w:val="ProductNames"/>
              <w:rPr>
                <w:rFonts w:ascii="Tahoma" w:hAnsi="Tahoma" w:cs="Tahoma"/>
                <w:sz w:val="14"/>
              </w:rPr>
            </w:pPr>
            <w:bookmarkStart w:id="316" w:name="_Toc370981152"/>
            <w:r w:rsidRPr="004B208C">
              <w:rPr>
                <w:rFonts w:ascii="Tahoma" w:hAnsi="Tahoma" w:cs="Tahoma"/>
                <w:sz w:val="14"/>
              </w:rPr>
              <w:t xml:space="preserve">Licença do Site de Exame do Microsoft Learning Solutions MTA 250 </w:t>
            </w:r>
            <w:r w:rsidR="00731EEF">
              <w:rPr>
                <w:rFonts w:ascii="Tahoma" w:hAnsi="Tahoma" w:cs="Tahoma"/>
                <w:sz w:val="14"/>
              </w:rPr>
              <w:br/>
            </w:r>
            <w:r w:rsidRPr="004B208C">
              <w:rPr>
                <w:rFonts w:ascii="Tahoma" w:hAnsi="Tahoma" w:cs="Tahoma"/>
                <w:sz w:val="14"/>
              </w:rPr>
              <w:t>(SL de Serviços)</w:t>
            </w:r>
            <w:bookmarkEnd w:id="316"/>
          </w:p>
        </w:tc>
        <w:tc>
          <w:tcPr>
            <w:tcW w:w="449" w:type="dxa"/>
            <w:tcBorders>
              <w:bottom w:val="single" w:sz="4" w:space="0" w:color="auto"/>
            </w:tcBorders>
            <w:shd w:val="clear" w:color="auto" w:fill="auto"/>
            <w:vAlign w:val="center"/>
          </w:tcPr>
          <w:p w:rsidR="00913A0A" w:rsidRPr="00731EEF" w:rsidRDefault="00913A0A" w:rsidP="00FC0808">
            <w:pPr>
              <w:pStyle w:val="TableText"/>
              <w:widowControl w:val="0"/>
              <w:rPr>
                <w:rFonts w:cs="Tahoma"/>
                <w:b/>
                <w:sz w:val="13"/>
                <w:szCs w:val="13"/>
              </w:rPr>
            </w:pPr>
          </w:p>
        </w:tc>
        <w:tc>
          <w:tcPr>
            <w:tcW w:w="449" w:type="dxa"/>
            <w:tcBorders>
              <w:bottom w:val="single" w:sz="4" w:space="0" w:color="auto"/>
            </w:tcBorders>
            <w:shd w:val="clear" w:color="auto" w:fill="auto"/>
          </w:tcPr>
          <w:p w:rsidR="00913A0A" w:rsidRPr="004B208C" w:rsidRDefault="00913A0A" w:rsidP="00FC0808">
            <w:pPr>
              <w:pStyle w:val="TableText"/>
              <w:widowControl w:val="0"/>
              <w:spacing w:before="80"/>
              <w:rPr>
                <w:rFonts w:ascii="Tahoma" w:hAnsi="Tahoma" w:cs="Tahoma"/>
                <w:sz w:val="13"/>
              </w:rPr>
            </w:pPr>
            <w:r w:rsidRPr="004B208C">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125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r w:rsidRPr="004B208C">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FC0808">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FC0808">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FC0808">
            <w:pPr>
              <w:pStyle w:val="TableText"/>
              <w:widowControl w:val="0"/>
              <w:rPr>
                <w:rFonts w:ascii="Tahoma" w:hAnsi="Tahoma" w:cs="Tahoma"/>
                <w:sz w:val="13"/>
              </w:rPr>
            </w:pPr>
          </w:p>
        </w:tc>
      </w:tr>
      <w:tr w:rsidR="00600C32" w:rsidRPr="004B208C" w:rsidDel="00436016"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ind w:left="-15" w:firstLine="15"/>
              <w:rPr>
                <w:rFonts w:ascii="Tahoma" w:hAnsi="Tahoma" w:cs="Tahoma"/>
                <w:b w:val="0"/>
                <w:sz w:val="14"/>
                <w:szCs w:val="14"/>
              </w:rPr>
            </w:pPr>
            <w:bookmarkStart w:id="317" w:name="_Toc370981153"/>
            <w:r w:rsidRPr="004B208C">
              <w:rPr>
                <w:rFonts w:ascii="Tahoma" w:hAnsi="Tahoma" w:cs="Tahoma"/>
                <w:b w:val="0"/>
                <w:sz w:val="14"/>
                <w:szCs w:val="14"/>
              </w:rPr>
              <w:t>Microsoft Office Audit and Control Management Server</w:t>
            </w:r>
            <w:bookmarkEnd w:id="317"/>
          </w:p>
        </w:tc>
        <w:tc>
          <w:tcPr>
            <w:tcW w:w="449" w:type="dxa"/>
            <w:tcBorders>
              <w:bottom w:val="single" w:sz="4" w:space="0" w:color="auto"/>
            </w:tcBorders>
            <w:shd w:val="clear" w:color="auto" w:fill="FABF8F"/>
            <w:vAlign w:val="center"/>
          </w:tcPr>
          <w:p w:rsidR="00913A0A" w:rsidRPr="00731EEF" w:rsidRDefault="00913A0A"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C3A4A">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125</w:t>
            </w:r>
          </w:p>
        </w:tc>
        <w:tc>
          <w:tcPr>
            <w:tcW w:w="435"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100</w:t>
            </w:r>
          </w:p>
        </w:tc>
        <w:tc>
          <w:tcPr>
            <w:tcW w:w="465" w:type="dxa"/>
            <w:gridSpan w:val="3"/>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50</w:t>
            </w:r>
          </w:p>
        </w:tc>
        <w:tc>
          <w:tcPr>
            <w:tcW w:w="365" w:type="dxa"/>
            <w:tcBorders>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913A0A" w:rsidRPr="004B208C" w:rsidRDefault="00913A0A" w:rsidP="001C3A4A">
            <w:pPr>
              <w:pStyle w:val="TableText"/>
              <w:widowControl w:val="0"/>
              <w:spacing w:before="120"/>
              <w:rPr>
                <w:rFonts w:ascii="Tahoma" w:hAnsi="Tahoma" w:cs="Tahoma"/>
                <w:sz w:val="13"/>
              </w:rPr>
            </w:pPr>
            <w:r w:rsidRPr="004B208C">
              <w:rPr>
                <w:rFonts w:ascii="Tahoma" w:hAnsi="Tahoma" w:cs="Tahoma"/>
                <w:sz w:val="13"/>
              </w:rPr>
              <w:t>A, (somente EES)</w:t>
            </w:r>
          </w:p>
        </w:tc>
        <w:tc>
          <w:tcPr>
            <w:tcW w:w="504"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Del="00436016"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Del="00436016"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15" w:firstLine="15"/>
              <w:rPr>
                <w:rFonts w:ascii="Tahoma" w:hAnsi="Tahoma" w:cs="Tahoma"/>
                <w:b w:val="0"/>
                <w:sz w:val="14"/>
                <w:szCs w:val="16"/>
              </w:rPr>
            </w:pPr>
            <w:bookmarkStart w:id="318" w:name="_Toc336338023"/>
            <w:bookmarkStart w:id="319" w:name="_Toc370981154"/>
            <w:r w:rsidRPr="004B208C">
              <w:rPr>
                <w:rFonts w:ascii="Tahoma" w:hAnsi="Tahoma" w:cs="Tahoma"/>
                <w:b w:val="0"/>
                <w:sz w:val="14"/>
                <w:szCs w:val="14"/>
              </w:rPr>
              <w:t>API do Tradutor da Microsoft</w:t>
            </w:r>
            <w:bookmarkEnd w:id="318"/>
            <w:bookmarkEnd w:id="319"/>
          </w:p>
        </w:tc>
        <w:tc>
          <w:tcPr>
            <w:tcW w:w="449" w:type="dxa"/>
            <w:tcBorders>
              <w:bottom w:val="single" w:sz="4" w:space="0" w:color="auto"/>
            </w:tcBorders>
            <w:shd w:val="clear" w:color="auto" w:fill="auto"/>
            <w:vAlign w:val="center"/>
          </w:tcPr>
          <w:p w:rsidR="00913A0A" w:rsidRPr="00731EEF" w:rsidRDefault="00913A0A"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Del="00436016"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Del="00436016"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731EEF">
            <w:pPr>
              <w:pStyle w:val="Heading2"/>
              <w:ind w:left="-15" w:firstLine="15"/>
              <w:rPr>
                <w:rFonts w:ascii="Tahoma" w:hAnsi="Tahoma" w:cs="Tahoma"/>
                <w:b w:val="0"/>
                <w:sz w:val="14"/>
                <w:szCs w:val="14"/>
              </w:rPr>
            </w:pPr>
            <w:bookmarkStart w:id="320" w:name="_Toc370981155"/>
            <w:r w:rsidRPr="004B208C">
              <w:rPr>
                <w:rFonts w:ascii="Tahoma" w:hAnsi="Tahoma" w:cs="Tahoma"/>
                <w:b w:val="0"/>
                <w:sz w:val="14"/>
                <w:szCs w:val="14"/>
              </w:rPr>
              <w:t>Office 365 Midsize Business (SL</w:t>
            </w:r>
            <w:r w:rsidR="00731EEF">
              <w:rPr>
                <w:rFonts w:ascii="Tahoma" w:hAnsi="Tahoma" w:cs="Tahoma"/>
                <w:b w:val="0"/>
                <w:sz w:val="14"/>
                <w:szCs w:val="14"/>
              </w:rPr>
              <w:t> </w:t>
            </w:r>
            <w:r w:rsidRPr="004B208C">
              <w:rPr>
                <w:rFonts w:ascii="Tahoma" w:hAnsi="Tahoma" w:cs="Tahoma"/>
                <w:b w:val="0"/>
                <w:sz w:val="14"/>
                <w:szCs w:val="14"/>
              </w:rPr>
              <w:t>de</w:t>
            </w:r>
            <w:r w:rsidR="00731EEF">
              <w:rPr>
                <w:rFonts w:ascii="Tahoma" w:hAnsi="Tahoma" w:cs="Tahoma"/>
                <w:b w:val="0"/>
                <w:sz w:val="14"/>
                <w:szCs w:val="14"/>
              </w:rPr>
              <w:t> </w:t>
            </w:r>
            <w:r w:rsidRPr="004B208C">
              <w:rPr>
                <w:rFonts w:ascii="Tahoma" w:hAnsi="Tahoma" w:cs="Tahoma"/>
                <w:b w:val="0"/>
                <w:sz w:val="14"/>
                <w:szCs w:val="14"/>
              </w:rPr>
              <w:t>Usuário)</w:t>
            </w:r>
            <w:bookmarkEnd w:id="320"/>
          </w:p>
        </w:tc>
        <w:tc>
          <w:tcPr>
            <w:tcW w:w="449" w:type="dxa"/>
            <w:tcBorders>
              <w:bottom w:val="single" w:sz="4" w:space="0" w:color="auto"/>
            </w:tcBorders>
            <w:shd w:val="clear" w:color="auto" w:fill="FABF8F"/>
            <w:vAlign w:val="center"/>
          </w:tcPr>
          <w:p w:rsidR="00913A0A" w:rsidRPr="00731EEF" w:rsidRDefault="00913A0A"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Del="00436016"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ind w:left="-15" w:firstLine="15"/>
              <w:rPr>
                <w:rFonts w:ascii="Tahoma" w:hAnsi="Tahoma" w:cs="Tahoma"/>
                <w:b w:val="0"/>
                <w:sz w:val="14"/>
                <w:szCs w:val="16"/>
              </w:rPr>
            </w:pPr>
            <w:bookmarkStart w:id="321" w:name="_Toc336338024"/>
            <w:bookmarkStart w:id="322" w:name="_Toc370981156"/>
            <w:r w:rsidRPr="004B208C">
              <w:rPr>
                <w:rFonts w:ascii="Tahoma" w:hAnsi="Tahoma" w:cs="Tahoma"/>
                <w:b w:val="0"/>
                <w:sz w:val="14"/>
                <w:szCs w:val="16"/>
              </w:rPr>
              <w:t>Office 365 Education A2 (SL de Usuário)</w:t>
            </w:r>
            <w:bookmarkEnd w:id="321"/>
            <w:bookmarkEnd w:id="322"/>
          </w:p>
        </w:tc>
        <w:tc>
          <w:tcPr>
            <w:tcW w:w="449" w:type="dxa"/>
            <w:tcBorders>
              <w:bottom w:val="single" w:sz="4" w:space="0" w:color="auto"/>
            </w:tcBorders>
            <w:shd w:val="clear" w:color="auto" w:fill="auto"/>
            <w:vAlign w:val="center"/>
          </w:tcPr>
          <w:p w:rsidR="00913A0A" w:rsidRPr="003412D9" w:rsidRDefault="00C70EF2" w:rsidP="001A63C6">
            <w:pPr>
              <w:pStyle w:val="TableText"/>
              <w:widowControl w:val="0"/>
              <w:rPr>
                <w:rFonts w:cs="Tahoma"/>
                <w:b/>
                <w:color w:val="0000FF"/>
                <w:sz w:val="13"/>
                <w:szCs w:val="13"/>
                <w:u w:val="single"/>
              </w:rPr>
            </w:pPr>
            <w:hyperlink w:anchor="_5_Office_365_1" w:history="1">
              <w:r w:rsidR="00CF5A3E" w:rsidRPr="003412D9">
                <w:rPr>
                  <w:rStyle w:val="Hyperlink"/>
                  <w:rFonts w:cs="Tahoma"/>
                  <w:b/>
                  <w:sz w:val="13"/>
                  <w:szCs w:val="13"/>
                </w:rPr>
                <w:t>5</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OSB</w:t>
            </w:r>
          </w:p>
        </w:tc>
        <w:tc>
          <w:tcPr>
            <w:tcW w:w="326" w:type="dxa"/>
            <w:gridSpan w:val="2"/>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A, ST (Somente EES)</w:t>
            </w:r>
          </w:p>
        </w:tc>
        <w:tc>
          <w:tcPr>
            <w:tcW w:w="504"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Del="00436016" w:rsidRDefault="00913A0A" w:rsidP="001A63C6">
            <w:pPr>
              <w:pStyle w:val="TableText"/>
              <w:widowControl w:val="0"/>
              <w:rPr>
                <w:rFonts w:ascii="Tahoma" w:hAnsi="Tahoma" w:cs="Tahoma"/>
                <w:sz w:val="13"/>
              </w:rPr>
            </w:pPr>
          </w:p>
        </w:tc>
      </w:tr>
      <w:tr w:rsidR="00600C32" w:rsidRPr="004B208C" w:rsidDel="00436016"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ind w:left="-15" w:firstLine="15"/>
              <w:rPr>
                <w:rFonts w:ascii="Tahoma" w:hAnsi="Tahoma" w:cs="Tahoma"/>
                <w:b w:val="0"/>
                <w:sz w:val="14"/>
                <w:szCs w:val="16"/>
              </w:rPr>
            </w:pPr>
            <w:bookmarkStart w:id="323" w:name="_Toc336338025"/>
            <w:bookmarkStart w:id="324" w:name="_Toc370981157"/>
            <w:r w:rsidRPr="004B208C">
              <w:rPr>
                <w:rFonts w:ascii="Tahoma" w:hAnsi="Tahoma" w:cs="Tahoma"/>
                <w:b w:val="0"/>
                <w:sz w:val="14"/>
                <w:szCs w:val="16"/>
              </w:rPr>
              <w:t>Office 365 Education A3 (SL de Usuário)</w:t>
            </w:r>
            <w:bookmarkEnd w:id="323"/>
            <w:bookmarkEnd w:id="324"/>
          </w:p>
        </w:tc>
        <w:tc>
          <w:tcPr>
            <w:tcW w:w="449" w:type="dxa"/>
            <w:tcBorders>
              <w:bottom w:val="single" w:sz="4" w:space="0" w:color="auto"/>
            </w:tcBorders>
            <w:shd w:val="clear" w:color="auto" w:fill="FABF8F"/>
            <w:vAlign w:val="center"/>
          </w:tcPr>
          <w:p w:rsidR="00913A0A" w:rsidRPr="003412D9" w:rsidRDefault="00C70EF2" w:rsidP="001A63C6">
            <w:pPr>
              <w:pStyle w:val="TableText"/>
              <w:widowControl w:val="0"/>
              <w:rPr>
                <w:rFonts w:cs="Tahoma"/>
                <w:b/>
                <w:color w:val="0000FF"/>
                <w:sz w:val="13"/>
                <w:szCs w:val="13"/>
                <w:u w:val="single"/>
              </w:rPr>
            </w:pPr>
            <w:hyperlink w:anchor="_5_Office_365_1" w:history="1">
              <w:r w:rsidR="00CF5A3E" w:rsidRPr="003412D9">
                <w:rPr>
                  <w:rStyle w:val="Hyperlink"/>
                  <w:rFonts w:cs="Tahoma"/>
                  <w:b/>
                  <w:sz w:val="13"/>
                  <w:szCs w:val="13"/>
                </w:rPr>
                <w:t>5</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OSB</w:t>
            </w:r>
          </w:p>
        </w:tc>
        <w:tc>
          <w:tcPr>
            <w:tcW w:w="326" w:type="dxa"/>
            <w:gridSpan w:val="2"/>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913A0A" w:rsidRPr="004B208C" w:rsidDel="00436016" w:rsidRDefault="00913A0A" w:rsidP="0047054A">
            <w:pPr>
              <w:pStyle w:val="TableText"/>
              <w:widowControl w:val="0"/>
              <w:spacing w:before="120"/>
              <w:rPr>
                <w:rFonts w:ascii="Tahoma" w:hAnsi="Tahoma" w:cs="Tahoma"/>
                <w:sz w:val="13"/>
              </w:rPr>
            </w:pPr>
            <w:r w:rsidRPr="004B208C">
              <w:rPr>
                <w:rFonts w:ascii="Tahoma" w:hAnsi="Tahoma" w:cs="Tahoma"/>
                <w:sz w:val="13"/>
              </w:rPr>
              <w:t>EOLS (Somente EES),</w:t>
            </w:r>
          </w:p>
        </w:tc>
        <w:tc>
          <w:tcPr>
            <w:tcW w:w="504"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firstLine="15"/>
              <w:rPr>
                <w:rFonts w:ascii="Tahoma" w:hAnsi="Tahoma" w:cs="Tahoma"/>
                <w:b w:val="0"/>
                <w:sz w:val="14"/>
                <w:szCs w:val="16"/>
              </w:rPr>
            </w:pPr>
            <w:bookmarkStart w:id="325" w:name="_Toc336338026"/>
            <w:bookmarkStart w:id="326" w:name="_Toc370981158"/>
            <w:r w:rsidRPr="004B208C">
              <w:rPr>
                <w:rFonts w:ascii="Tahoma" w:hAnsi="Tahoma" w:cs="Tahoma"/>
                <w:b w:val="0"/>
                <w:sz w:val="14"/>
                <w:szCs w:val="16"/>
              </w:rPr>
              <w:t xml:space="preserve">Office 365 Education A4 </w:t>
            </w:r>
            <w:r w:rsidR="00731EEF">
              <w:rPr>
                <w:rFonts w:ascii="Tahoma" w:hAnsi="Tahoma" w:cs="Tahoma"/>
                <w:b w:val="0"/>
                <w:sz w:val="14"/>
                <w:szCs w:val="16"/>
              </w:rPr>
              <w:br/>
            </w:r>
            <w:r w:rsidRPr="004B208C">
              <w:rPr>
                <w:rFonts w:ascii="Tahoma" w:hAnsi="Tahoma" w:cs="Tahoma"/>
                <w:b w:val="0"/>
                <w:sz w:val="14"/>
                <w:szCs w:val="16"/>
              </w:rPr>
              <w:t>(SL de Usuário)</w:t>
            </w:r>
            <w:bookmarkEnd w:id="325"/>
            <w:bookmarkEnd w:id="326"/>
          </w:p>
        </w:tc>
        <w:tc>
          <w:tcPr>
            <w:tcW w:w="449" w:type="dxa"/>
            <w:tcBorders>
              <w:bottom w:val="single" w:sz="4" w:space="0" w:color="auto"/>
            </w:tcBorders>
            <w:shd w:val="clear" w:color="auto" w:fill="auto"/>
            <w:vAlign w:val="center"/>
          </w:tcPr>
          <w:p w:rsidR="00913A0A" w:rsidRPr="003412D9" w:rsidRDefault="00C70EF2" w:rsidP="001A63C6">
            <w:pPr>
              <w:pStyle w:val="TableText"/>
              <w:widowControl w:val="0"/>
              <w:rPr>
                <w:rFonts w:cs="Tahoma"/>
                <w:b/>
                <w:color w:val="0000FF"/>
                <w:sz w:val="13"/>
                <w:szCs w:val="13"/>
                <w:u w:val="single"/>
              </w:rPr>
            </w:pPr>
            <w:hyperlink w:anchor="_5_Office_365_1" w:history="1">
              <w:r w:rsidR="00CF5A3E" w:rsidRPr="003412D9">
                <w:rPr>
                  <w:rStyle w:val="Hyperlink"/>
                  <w:rFonts w:cs="Tahoma"/>
                  <w:b/>
                  <w:sz w:val="13"/>
                  <w:szCs w:val="13"/>
                </w:rPr>
                <w:t>5</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OSB</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EOLS (Somente EES)</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0956ED" w:rsidRPr="004B208C" w:rsidRDefault="000956ED" w:rsidP="002378E5">
            <w:pPr>
              <w:pStyle w:val="Heading2"/>
              <w:spacing w:beforeLines="20" w:before="48" w:afterLines="20" w:after="48"/>
              <w:ind w:left="0" w:firstLine="15"/>
              <w:rPr>
                <w:rFonts w:ascii="Tahoma" w:hAnsi="Tahoma" w:cs="Tahoma"/>
                <w:b w:val="0"/>
                <w:sz w:val="14"/>
                <w:szCs w:val="16"/>
              </w:rPr>
            </w:pPr>
            <w:bookmarkStart w:id="327" w:name="_Toc336338028"/>
            <w:bookmarkStart w:id="328" w:name="_Toc370981159"/>
            <w:r w:rsidRPr="004B208C">
              <w:rPr>
                <w:rFonts w:ascii="Tahoma" w:hAnsi="Tahoma" w:cs="Tahoma"/>
                <w:b w:val="0"/>
                <w:sz w:val="14"/>
                <w:szCs w:val="16"/>
              </w:rPr>
              <w:t xml:space="preserve">Office 365 Enterprise E3 </w:t>
            </w:r>
            <w:r w:rsidR="00731EEF">
              <w:rPr>
                <w:rFonts w:ascii="Tahoma" w:hAnsi="Tahoma" w:cs="Tahoma"/>
                <w:b w:val="0"/>
                <w:sz w:val="14"/>
                <w:szCs w:val="16"/>
              </w:rPr>
              <w:br/>
            </w:r>
            <w:r w:rsidRPr="004B208C">
              <w:rPr>
                <w:rFonts w:ascii="Tahoma" w:hAnsi="Tahoma" w:cs="Tahoma"/>
                <w:b w:val="0"/>
                <w:sz w:val="14"/>
                <w:szCs w:val="16"/>
              </w:rPr>
              <w:t>(SL de Usuário)</w:t>
            </w:r>
            <w:bookmarkEnd w:id="327"/>
            <w:bookmarkEnd w:id="328"/>
          </w:p>
        </w:tc>
        <w:tc>
          <w:tcPr>
            <w:tcW w:w="449" w:type="dxa"/>
            <w:tcBorders>
              <w:bottom w:val="single" w:sz="4" w:space="0" w:color="auto"/>
            </w:tcBorders>
            <w:shd w:val="clear" w:color="auto" w:fill="FABF8F"/>
            <w:vAlign w:val="center"/>
          </w:tcPr>
          <w:p w:rsidR="000956ED" w:rsidRPr="003412D9" w:rsidRDefault="00C70EF2" w:rsidP="00132E08">
            <w:pPr>
              <w:pStyle w:val="TableText"/>
              <w:widowControl w:val="0"/>
              <w:rPr>
                <w:rFonts w:cs="Tahoma"/>
                <w:b/>
                <w:color w:val="0000FF"/>
                <w:sz w:val="13"/>
                <w:szCs w:val="13"/>
                <w:u w:val="single"/>
              </w:rPr>
            </w:pPr>
            <w:hyperlink w:anchor="_8_Office_365" w:history="1">
              <w:r w:rsidR="00CF5A3E" w:rsidRPr="003412D9">
                <w:rPr>
                  <w:rStyle w:val="Hyperlink"/>
                  <w:rFonts w:cs="Tahoma"/>
                  <w:b/>
                  <w:sz w:val="13"/>
                  <w:szCs w:val="13"/>
                </w:rPr>
                <w:t>8</w:t>
              </w:r>
            </w:hyperlink>
            <w:hyperlink w:anchor="_65_Office_365" w:history="1"/>
          </w:p>
        </w:tc>
        <w:tc>
          <w:tcPr>
            <w:tcW w:w="449" w:type="dxa"/>
            <w:tcBorders>
              <w:bottom w:val="single" w:sz="4" w:space="0" w:color="auto"/>
            </w:tcBorders>
            <w:shd w:val="clear" w:color="auto" w:fill="FABF8F"/>
          </w:tcPr>
          <w:p w:rsidR="000956ED" w:rsidRPr="004B208C" w:rsidRDefault="000956ED" w:rsidP="001A63C6">
            <w:pPr>
              <w:pStyle w:val="TableText"/>
              <w:widowControl w:val="0"/>
              <w:spacing w:before="120"/>
              <w:rPr>
                <w:rFonts w:ascii="Tahoma" w:hAnsi="Tahoma" w:cs="Tahoma"/>
                <w:color w:val="000000"/>
                <w:sz w:val="13"/>
              </w:rPr>
            </w:pPr>
            <w:r w:rsidRPr="004B208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r w:rsidRPr="004B208C">
              <w:rPr>
                <w:rFonts w:ascii="Tahoma" w:hAnsi="Tahoma" w:cs="Tahoma"/>
                <w:sz w:val="13"/>
              </w:rPr>
              <w:t>OSB</w:t>
            </w:r>
          </w:p>
        </w:tc>
        <w:tc>
          <w:tcPr>
            <w:tcW w:w="326" w:type="dxa"/>
            <w:gridSpan w:val="2"/>
            <w:tcBorders>
              <w:left w:val="single" w:sz="18" w:space="0" w:color="auto"/>
              <w:bottom w:val="single" w:sz="4"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r w:rsidRPr="004B208C">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r w:rsidRPr="004B208C">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0956ED" w:rsidRPr="004B208C" w:rsidRDefault="000956ED"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0956ED" w:rsidRPr="004B208C" w:rsidRDefault="000956ED"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tcPr>
          <w:p w:rsidR="000956ED" w:rsidRPr="004B208C" w:rsidRDefault="000956ED"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firstLine="15"/>
              <w:rPr>
                <w:rFonts w:ascii="Tahoma" w:hAnsi="Tahoma" w:cs="Tahoma"/>
                <w:b w:val="0"/>
                <w:sz w:val="14"/>
                <w:szCs w:val="16"/>
              </w:rPr>
            </w:pPr>
            <w:bookmarkStart w:id="329" w:name="_Toc370981160"/>
            <w:r w:rsidRPr="004B208C">
              <w:rPr>
                <w:rFonts w:ascii="Tahoma" w:hAnsi="Tahoma" w:cs="Tahoma"/>
                <w:b w:val="0"/>
                <w:sz w:val="14"/>
                <w:szCs w:val="16"/>
              </w:rPr>
              <w:t xml:space="preserve">Office 365 Enterprise E4 </w:t>
            </w:r>
            <w:r w:rsidR="00731EEF">
              <w:rPr>
                <w:rFonts w:ascii="Tahoma" w:hAnsi="Tahoma" w:cs="Tahoma"/>
                <w:b w:val="0"/>
                <w:sz w:val="14"/>
                <w:szCs w:val="16"/>
              </w:rPr>
              <w:br/>
            </w:r>
            <w:r w:rsidRPr="004B208C">
              <w:rPr>
                <w:rFonts w:ascii="Tahoma" w:hAnsi="Tahoma" w:cs="Tahoma"/>
                <w:b w:val="0"/>
                <w:sz w:val="14"/>
                <w:szCs w:val="16"/>
              </w:rPr>
              <w:t>(SL de Usuário)</w:t>
            </w:r>
            <w:bookmarkEnd w:id="329"/>
          </w:p>
        </w:tc>
        <w:tc>
          <w:tcPr>
            <w:tcW w:w="449" w:type="dxa"/>
            <w:tcBorders>
              <w:bottom w:val="single" w:sz="4" w:space="0" w:color="auto"/>
            </w:tcBorders>
            <w:shd w:val="clear" w:color="auto" w:fill="auto"/>
            <w:vAlign w:val="center"/>
          </w:tcPr>
          <w:p w:rsidR="00913A0A" w:rsidRPr="003412D9" w:rsidRDefault="00C70EF2" w:rsidP="000B5EFD">
            <w:pPr>
              <w:pStyle w:val="TableText"/>
              <w:widowControl w:val="0"/>
              <w:rPr>
                <w:rFonts w:cs="Tahoma"/>
                <w:sz w:val="13"/>
                <w:szCs w:val="13"/>
              </w:rPr>
            </w:pPr>
            <w:hyperlink w:anchor="_8_Office_365" w:history="1">
              <w:r w:rsidR="00916AA6" w:rsidRPr="003412D9">
                <w:rPr>
                  <w:rStyle w:val="Hyperlink"/>
                  <w:rFonts w:cs="Tahoma"/>
                  <w:b/>
                  <w:sz w:val="13"/>
                  <w:szCs w:val="13"/>
                </w:rPr>
                <w:t>8</w:t>
              </w:r>
            </w:hyperlink>
            <w:hyperlink w:anchor="_65_Office_365" w:history="1"/>
          </w:p>
        </w:tc>
        <w:tc>
          <w:tcPr>
            <w:tcW w:w="449" w:type="dxa"/>
            <w:tcBorders>
              <w:bottom w:val="single" w:sz="4" w:space="0" w:color="auto"/>
            </w:tcBorders>
            <w:shd w:val="clear" w:color="auto" w:fill="auto"/>
          </w:tcPr>
          <w:p w:rsidR="00913A0A" w:rsidRPr="004B208C" w:rsidRDefault="00913A0A" w:rsidP="000B5EFD">
            <w:pPr>
              <w:pStyle w:val="TableText"/>
              <w:widowControl w:val="0"/>
              <w:spacing w:before="120"/>
              <w:rPr>
                <w:rFonts w:ascii="Tahoma" w:hAnsi="Tahoma" w:cs="Tahoma"/>
                <w:color w:val="000000"/>
                <w:sz w:val="13"/>
              </w:rPr>
            </w:pPr>
            <w:r w:rsidRPr="004B208C">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r w:rsidRPr="004B208C">
              <w:rPr>
                <w:rFonts w:ascii="Tahoma" w:hAnsi="Tahoma" w:cs="Tahoma"/>
                <w:sz w:val="13"/>
              </w:rPr>
              <w:t>OSB</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r w:rsidRPr="004B208C">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0B5EFD">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0B5EFD">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0B5EFD">
            <w:pPr>
              <w:pStyle w:val="TableText"/>
              <w:widowControl w:val="0"/>
              <w:rPr>
                <w:rFonts w:ascii="Tahoma" w:hAnsi="Tahoma" w:cs="Tahoma"/>
                <w:sz w:val="13"/>
              </w:rPr>
            </w:pPr>
          </w:p>
        </w:tc>
      </w:tr>
      <w:tr w:rsidR="00600C32" w:rsidRPr="004B208C" w:rsidTr="00515DFA">
        <w:trPr>
          <w:cantSplit/>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firstLine="15"/>
              <w:rPr>
                <w:rFonts w:ascii="Tahoma" w:hAnsi="Tahoma" w:cs="Tahoma"/>
                <w:b w:val="0"/>
                <w:sz w:val="14"/>
                <w:szCs w:val="16"/>
              </w:rPr>
            </w:pPr>
            <w:bookmarkStart w:id="330" w:name="_Toc370981161"/>
            <w:r w:rsidRPr="004B208C">
              <w:rPr>
                <w:rFonts w:ascii="Tahoma" w:hAnsi="Tahoma" w:cs="Tahoma"/>
                <w:b w:val="0"/>
                <w:sz w:val="14"/>
                <w:szCs w:val="16"/>
              </w:rPr>
              <w:t>Complemento do Office 365 Enterprise E1, E3, E4 (SL de Usuário)</w:t>
            </w:r>
            <w:bookmarkEnd w:id="330"/>
          </w:p>
        </w:tc>
        <w:tc>
          <w:tcPr>
            <w:tcW w:w="449" w:type="dxa"/>
            <w:tcBorders>
              <w:bottom w:val="single" w:sz="4" w:space="0" w:color="auto"/>
            </w:tcBorders>
            <w:shd w:val="clear" w:color="auto" w:fill="FABF8F"/>
            <w:vAlign w:val="center"/>
          </w:tcPr>
          <w:p w:rsidR="00913A0A" w:rsidRPr="003412D9" w:rsidRDefault="00C70EF2" w:rsidP="00132E08">
            <w:pPr>
              <w:pStyle w:val="TableText"/>
              <w:widowControl w:val="0"/>
              <w:rPr>
                <w:rFonts w:cs="Tahoma"/>
                <w:sz w:val="13"/>
                <w:szCs w:val="13"/>
              </w:rPr>
            </w:pPr>
            <w:hyperlink w:anchor="_7_Add-on_User" w:history="1">
              <w:r w:rsidR="00CF5A3E" w:rsidRPr="003412D9">
                <w:rPr>
                  <w:rStyle w:val="Hyperlink"/>
                  <w:rFonts w:cs="Tahoma"/>
                  <w:sz w:val="13"/>
                  <w:szCs w:val="13"/>
                </w:rPr>
                <w:t>7</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Del="00436016"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731EEF">
            <w:pPr>
              <w:pStyle w:val="Heading2"/>
              <w:spacing w:beforeLines="20" w:before="48" w:afterLines="20" w:after="48"/>
              <w:ind w:left="0" w:firstLine="15"/>
              <w:rPr>
                <w:rFonts w:ascii="Tahoma" w:hAnsi="Tahoma" w:cs="Tahoma"/>
                <w:b w:val="0"/>
                <w:sz w:val="14"/>
                <w:szCs w:val="16"/>
              </w:rPr>
            </w:pPr>
            <w:bookmarkStart w:id="331" w:name="_Toc370981162"/>
            <w:r w:rsidRPr="004B208C">
              <w:rPr>
                <w:rFonts w:ascii="Tahoma" w:hAnsi="Tahoma" w:cs="Tahoma"/>
                <w:b w:val="0"/>
                <w:sz w:val="14"/>
                <w:szCs w:val="16"/>
              </w:rPr>
              <w:t>Office 365 Enterprise E3, E4 sem Complemento do Office Pro Plus (SL</w:t>
            </w:r>
            <w:r w:rsidR="00731EEF">
              <w:rPr>
                <w:rFonts w:ascii="Tahoma" w:hAnsi="Tahoma" w:cs="Tahoma"/>
                <w:b w:val="0"/>
                <w:sz w:val="14"/>
                <w:szCs w:val="16"/>
              </w:rPr>
              <w:t> </w:t>
            </w:r>
            <w:r w:rsidRPr="004B208C">
              <w:rPr>
                <w:rFonts w:ascii="Tahoma" w:hAnsi="Tahoma" w:cs="Tahoma"/>
                <w:b w:val="0"/>
                <w:sz w:val="14"/>
                <w:szCs w:val="16"/>
              </w:rPr>
              <w:t>de</w:t>
            </w:r>
            <w:r w:rsidR="00731EEF">
              <w:rPr>
                <w:rFonts w:ascii="Tahoma" w:hAnsi="Tahoma" w:cs="Tahoma"/>
                <w:b w:val="0"/>
                <w:sz w:val="14"/>
                <w:szCs w:val="16"/>
              </w:rPr>
              <w:t> </w:t>
            </w:r>
            <w:r w:rsidRPr="004B208C">
              <w:rPr>
                <w:rFonts w:ascii="Tahoma" w:hAnsi="Tahoma" w:cs="Tahoma"/>
                <w:b w:val="0"/>
                <w:sz w:val="14"/>
                <w:szCs w:val="16"/>
              </w:rPr>
              <w:t>Usuário)</w:t>
            </w:r>
            <w:bookmarkEnd w:id="331"/>
          </w:p>
        </w:tc>
        <w:tc>
          <w:tcPr>
            <w:tcW w:w="449" w:type="dxa"/>
            <w:tcBorders>
              <w:bottom w:val="single" w:sz="4" w:space="0" w:color="auto"/>
            </w:tcBorders>
            <w:shd w:val="clear" w:color="auto" w:fill="auto"/>
            <w:vAlign w:val="center"/>
          </w:tcPr>
          <w:p w:rsidR="00913A0A" w:rsidRPr="003412D9" w:rsidRDefault="00C70EF2" w:rsidP="00132E08">
            <w:pPr>
              <w:pStyle w:val="TableText"/>
              <w:widowControl w:val="0"/>
              <w:rPr>
                <w:rFonts w:cs="Tahoma"/>
                <w:sz w:val="13"/>
                <w:szCs w:val="13"/>
              </w:rPr>
            </w:pPr>
            <w:hyperlink w:anchor="_7_Add-on_User" w:history="1">
              <w:r w:rsidR="00CF5A3E" w:rsidRPr="003412D9">
                <w:rPr>
                  <w:rStyle w:val="Hyperlink"/>
                  <w:rFonts w:cs="Tahoma"/>
                  <w:b/>
                  <w:sz w:val="13"/>
                  <w:szCs w:val="13"/>
                </w:rPr>
                <w:t>7</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Del="00436016"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Del="00436016"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Del="00436016"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Del="00436016" w:rsidTr="00515DFA">
        <w:trPr>
          <w:trHeight w:val="145"/>
        </w:trPr>
        <w:tc>
          <w:tcPr>
            <w:tcW w:w="2551" w:type="dxa"/>
            <w:gridSpan w:val="2"/>
            <w:tcBorders>
              <w:bottom w:val="single" w:sz="4" w:space="0" w:color="auto"/>
            </w:tcBorders>
            <w:shd w:val="clear" w:color="auto" w:fill="FABF8F"/>
            <w:vAlign w:val="center"/>
          </w:tcPr>
          <w:p w:rsidR="00913A0A" w:rsidRPr="004B208C" w:rsidDel="00436016" w:rsidRDefault="00913A0A" w:rsidP="002378E5">
            <w:pPr>
              <w:pStyle w:val="Heading2"/>
              <w:spacing w:beforeLines="20" w:before="48" w:afterLines="20" w:after="48"/>
              <w:ind w:left="0" w:firstLine="15"/>
              <w:rPr>
                <w:rFonts w:ascii="Tahoma" w:hAnsi="Tahoma" w:cs="Tahoma"/>
                <w:b w:val="0"/>
                <w:sz w:val="14"/>
                <w:szCs w:val="16"/>
              </w:rPr>
            </w:pPr>
            <w:bookmarkStart w:id="332" w:name="_Toc336338030"/>
            <w:bookmarkStart w:id="333" w:name="_Toc370981163"/>
            <w:r w:rsidRPr="004B208C">
              <w:rPr>
                <w:rFonts w:ascii="Tahoma" w:hAnsi="Tahoma" w:cs="Tahoma"/>
                <w:b w:val="0"/>
                <w:sz w:val="14"/>
                <w:szCs w:val="16"/>
              </w:rPr>
              <w:lastRenderedPageBreak/>
              <w:t>Office 365 Enterprise K1 (SL de Usuário)</w:t>
            </w:r>
            <w:bookmarkEnd w:id="332"/>
            <w:bookmarkEnd w:id="333"/>
          </w:p>
        </w:tc>
        <w:tc>
          <w:tcPr>
            <w:tcW w:w="449" w:type="dxa"/>
            <w:tcBorders>
              <w:bottom w:val="single" w:sz="4" w:space="0" w:color="auto"/>
            </w:tcBorders>
            <w:shd w:val="clear" w:color="auto" w:fill="FABF8F"/>
            <w:vAlign w:val="center"/>
          </w:tcPr>
          <w:p w:rsidR="00913A0A" w:rsidRPr="003412D9" w:rsidDel="00436016" w:rsidRDefault="00C70EF2" w:rsidP="00907139">
            <w:pPr>
              <w:pStyle w:val="TableText"/>
              <w:widowControl w:val="0"/>
              <w:rPr>
                <w:rFonts w:cs="Tahoma"/>
                <w:b/>
                <w:color w:val="0000FF"/>
                <w:sz w:val="13"/>
                <w:szCs w:val="13"/>
                <w:u w:val="single"/>
              </w:rPr>
            </w:pPr>
            <w:hyperlink w:anchor="_75_Office_365" w:history="1">
              <w:r w:rsidR="00CF5A3E" w:rsidRPr="003412D9">
                <w:rPr>
                  <w:rStyle w:val="Hyperlink"/>
                  <w:rFonts w:cs="Tahoma"/>
                  <w:b/>
                  <w:sz w:val="13"/>
                  <w:szCs w:val="13"/>
                </w:rPr>
                <w:t>75</w:t>
              </w:r>
            </w:hyperlink>
            <w:hyperlink w:anchor="_69_Office_365_1" w:history="1"/>
          </w:p>
        </w:tc>
        <w:tc>
          <w:tcPr>
            <w:tcW w:w="449" w:type="dxa"/>
            <w:tcBorders>
              <w:bottom w:val="single" w:sz="4" w:space="0" w:color="auto"/>
            </w:tcBorders>
            <w:shd w:val="clear" w:color="auto" w:fill="FABF8F"/>
          </w:tcPr>
          <w:p w:rsidR="00913A0A" w:rsidRPr="004B208C" w:rsidDel="00436016"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OSB</w:t>
            </w:r>
          </w:p>
        </w:tc>
        <w:tc>
          <w:tcPr>
            <w:tcW w:w="326" w:type="dxa"/>
            <w:gridSpan w:val="2"/>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Del="00436016"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Del="00436016"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Del="00436016"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Del="00436016" w:rsidTr="00515DFA">
        <w:trPr>
          <w:trHeight w:val="145"/>
        </w:trPr>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RDefault="00913A0A" w:rsidP="00731EEF">
            <w:pPr>
              <w:pStyle w:val="Heading2"/>
              <w:spacing w:beforeLines="20" w:before="48" w:afterLines="20" w:after="48"/>
              <w:ind w:left="0" w:firstLine="15"/>
              <w:rPr>
                <w:rFonts w:ascii="Tahoma" w:hAnsi="Tahoma" w:cs="Tahoma"/>
                <w:b w:val="0"/>
                <w:sz w:val="14"/>
                <w:szCs w:val="16"/>
              </w:rPr>
            </w:pPr>
            <w:bookmarkStart w:id="334" w:name="_Toc370981164"/>
            <w:r w:rsidRPr="004B208C">
              <w:rPr>
                <w:rFonts w:ascii="Tahoma" w:hAnsi="Tahoma" w:cs="Tahoma"/>
                <w:b w:val="0"/>
                <w:sz w:val="14"/>
                <w:szCs w:val="16"/>
              </w:rPr>
              <w:t>Office 365 Government G1, G3, G4 (SL</w:t>
            </w:r>
            <w:r w:rsidR="00731EEF">
              <w:rPr>
                <w:rFonts w:ascii="Tahoma" w:hAnsi="Tahoma" w:cs="Tahoma"/>
                <w:b w:val="0"/>
                <w:sz w:val="14"/>
                <w:szCs w:val="16"/>
              </w:rPr>
              <w:t> </w:t>
            </w:r>
            <w:r w:rsidRPr="004B208C">
              <w:rPr>
                <w:rFonts w:ascii="Tahoma" w:hAnsi="Tahoma" w:cs="Tahoma"/>
                <w:b w:val="0"/>
                <w:sz w:val="14"/>
                <w:szCs w:val="16"/>
              </w:rPr>
              <w:t>de Usuário)</w:t>
            </w:r>
            <w:bookmarkEnd w:id="334"/>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3412D9" w:rsidRDefault="00C70EF2" w:rsidP="00907139">
            <w:pPr>
              <w:pStyle w:val="TableText"/>
              <w:widowControl w:val="0"/>
              <w:rPr>
                <w:rFonts w:cs="Tahoma"/>
                <w:b/>
                <w:sz w:val="13"/>
                <w:szCs w:val="13"/>
              </w:rPr>
            </w:pPr>
            <w:hyperlink w:anchor="_77_Office_365" w:history="1">
              <w:r w:rsidR="00CF5A3E" w:rsidRPr="003412D9">
                <w:rPr>
                  <w:rStyle w:val="Hyperlink"/>
                  <w:rFonts w:cs="Tahoma"/>
                  <w:b/>
                  <w:sz w:val="13"/>
                  <w:szCs w:val="13"/>
                </w:rPr>
                <w:t>76</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rsidR="00913A0A" w:rsidRPr="004B208C" w:rsidRDefault="00913A0A" w:rsidP="00871AE2">
            <w:pPr>
              <w:pStyle w:val="TableText"/>
              <w:widowControl w:val="0"/>
              <w:spacing w:before="120"/>
              <w:rPr>
                <w:rFonts w:ascii="Tahoma" w:hAnsi="Tahoma" w:cs="Tahoma"/>
                <w:color w:val="000000"/>
                <w:sz w:val="13"/>
              </w:rPr>
            </w:pPr>
            <w:r w:rsidRPr="004B208C">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B208C" w:rsidRDefault="00913A0A" w:rsidP="00871AE2">
            <w:pPr>
              <w:pStyle w:val="TableText"/>
              <w:widowControl w:val="0"/>
              <w:rPr>
                <w:rFonts w:ascii="Tahoma" w:hAnsi="Tahoma" w:cs="Tahoma"/>
                <w:sz w:val="13"/>
              </w:rPr>
            </w:pPr>
            <w:r w:rsidRPr="004B208C">
              <w:rPr>
                <w:rFonts w:ascii="Tahoma" w:hAnsi="Tahoma" w:cs="Tahoma"/>
                <w:sz w:val="13"/>
              </w:rPr>
              <w:t>OSB</w:t>
            </w:r>
          </w:p>
        </w:tc>
        <w:tc>
          <w:tcPr>
            <w:tcW w:w="326"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35"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6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365"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B208C" w:rsidRDefault="00913A0A" w:rsidP="00871AE2">
            <w:pPr>
              <w:pStyle w:val="TableText"/>
              <w:widowControl w:val="0"/>
              <w:rPr>
                <w:rFonts w:ascii="Tahoma" w:hAnsi="Tahoma" w:cs="Tahoma"/>
                <w:sz w:val="13"/>
              </w:rPr>
            </w:pPr>
            <w:r w:rsidRPr="004B208C">
              <w:rPr>
                <w:rFonts w:ascii="Tahoma" w:hAnsi="Tahoma" w:cs="Tahoma"/>
                <w:sz w:val="13"/>
              </w:rPr>
              <w:t>EOLS</w:t>
            </w:r>
          </w:p>
        </w:tc>
        <w:tc>
          <w:tcPr>
            <w:tcW w:w="394"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621" w:type="dxa"/>
            <w:tcBorders>
              <w:top w:val="single" w:sz="4" w:space="0" w:color="auto"/>
              <w:left w:val="single" w:sz="4" w:space="0" w:color="auto"/>
              <w:bottom w:val="single" w:sz="4" w:space="0" w:color="auto"/>
              <w:right w:val="single" w:sz="4" w:space="0" w:color="auto"/>
            </w:tcBorders>
            <w:shd w:val="clear" w:color="auto" w:fill="auto"/>
          </w:tcPr>
          <w:p w:rsidR="00913A0A" w:rsidRPr="004B208C" w:rsidDel="00436016" w:rsidRDefault="00913A0A" w:rsidP="00871AE2">
            <w:pPr>
              <w:pStyle w:val="TableText"/>
              <w:widowControl w:val="0"/>
              <w:spacing w:before="120"/>
              <w:rPr>
                <w:rFonts w:ascii="Tahoma" w:hAnsi="Tahoma" w:cs="Tahoma"/>
                <w:sz w:val="13"/>
              </w:rPr>
            </w:pPr>
          </w:p>
        </w:tc>
        <w:tc>
          <w:tcPr>
            <w:tcW w:w="504"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371" w:type="dxa"/>
            <w:tcBorders>
              <w:top w:val="single" w:sz="4" w:space="0" w:color="auto"/>
              <w:left w:val="single" w:sz="4" w:space="0" w:color="auto"/>
              <w:bottom w:val="single" w:sz="4" w:space="0" w:color="auto"/>
              <w:right w:val="single" w:sz="4" w:space="0" w:color="auto"/>
            </w:tcBorders>
          </w:tcPr>
          <w:p w:rsidR="00913A0A" w:rsidRPr="004B208C" w:rsidDel="00436016" w:rsidRDefault="00913A0A" w:rsidP="00871AE2">
            <w:pPr>
              <w:pStyle w:val="TableText"/>
              <w:widowControl w:val="0"/>
              <w:rPr>
                <w:rFonts w:ascii="Tahoma" w:hAnsi="Tahoma" w:cs="Tahoma"/>
                <w:sz w:val="13"/>
              </w:rPr>
            </w:pPr>
          </w:p>
        </w:tc>
      </w:tr>
      <w:tr w:rsidR="00600C32" w:rsidRPr="004B208C" w:rsidDel="00436016" w:rsidTr="00515DFA">
        <w:trPr>
          <w:trHeight w:val="145"/>
        </w:trPr>
        <w:tc>
          <w:tcPr>
            <w:tcW w:w="2551"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B208C" w:rsidRDefault="00913A0A" w:rsidP="002378E5">
            <w:pPr>
              <w:pStyle w:val="Heading2"/>
              <w:spacing w:beforeLines="20" w:before="48" w:afterLines="20" w:after="48"/>
              <w:ind w:left="0" w:firstLine="15"/>
              <w:rPr>
                <w:rFonts w:ascii="Tahoma" w:hAnsi="Tahoma" w:cs="Tahoma"/>
                <w:b w:val="0"/>
                <w:sz w:val="14"/>
                <w:szCs w:val="16"/>
              </w:rPr>
            </w:pPr>
            <w:bookmarkStart w:id="335" w:name="_Toc370981165"/>
            <w:r w:rsidRPr="004B208C">
              <w:rPr>
                <w:rFonts w:ascii="Tahoma" w:hAnsi="Tahoma" w:cs="Tahoma"/>
                <w:b w:val="0"/>
                <w:sz w:val="14"/>
                <w:szCs w:val="16"/>
              </w:rPr>
              <w:t>Complemento do Office 365 Government G1, G3, G4 (SL de Usuário)</w:t>
            </w:r>
            <w:bookmarkEnd w:id="335"/>
          </w:p>
        </w:tc>
        <w:tc>
          <w:tcPr>
            <w:tcW w:w="449"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3412D9" w:rsidRDefault="00C70EF2" w:rsidP="00796355">
            <w:pPr>
              <w:pStyle w:val="TableText"/>
              <w:widowControl w:val="0"/>
              <w:rPr>
                <w:rFonts w:cs="Tahoma"/>
                <w:sz w:val="13"/>
                <w:szCs w:val="13"/>
              </w:rPr>
            </w:pPr>
            <w:hyperlink w:anchor="_7_Add-on_User" w:history="1">
              <w:r w:rsidR="00CF5A3E" w:rsidRPr="003412D9">
                <w:rPr>
                  <w:rStyle w:val="Hyperlink"/>
                  <w:rFonts w:cs="Tahoma"/>
                  <w:sz w:val="13"/>
                  <w:szCs w:val="13"/>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FABF8F"/>
          </w:tcPr>
          <w:p w:rsidR="00913A0A" w:rsidRPr="004B208C" w:rsidRDefault="00913A0A" w:rsidP="00871AE2">
            <w:pPr>
              <w:pStyle w:val="TableText"/>
              <w:widowControl w:val="0"/>
              <w:spacing w:before="120"/>
              <w:rPr>
                <w:rFonts w:ascii="Tahoma" w:hAnsi="Tahoma" w:cs="Tahoma"/>
                <w:color w:val="000000"/>
                <w:sz w:val="13"/>
              </w:rPr>
            </w:pPr>
            <w:r w:rsidRPr="004B208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4B208C" w:rsidRDefault="00913A0A" w:rsidP="00871AE2">
            <w:pPr>
              <w:pStyle w:val="TableText"/>
              <w:widowControl w:val="0"/>
              <w:rPr>
                <w:rFonts w:ascii="Tahoma" w:hAnsi="Tahoma" w:cs="Tahoma"/>
                <w:sz w:val="13"/>
              </w:rPr>
            </w:pPr>
          </w:p>
        </w:tc>
        <w:tc>
          <w:tcPr>
            <w:tcW w:w="326"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35"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65"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365"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4B208C" w:rsidRDefault="00913A0A" w:rsidP="00871AE2">
            <w:pPr>
              <w:pStyle w:val="TableText"/>
              <w:widowControl w:val="0"/>
              <w:rPr>
                <w:rFonts w:ascii="Tahoma" w:hAnsi="Tahoma" w:cs="Tahoma"/>
                <w:sz w:val="13"/>
              </w:rPr>
            </w:pPr>
            <w:r w:rsidRPr="004B208C">
              <w:rPr>
                <w:rFonts w:ascii="Tahoma" w:hAnsi="Tahoma"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621" w:type="dxa"/>
            <w:tcBorders>
              <w:top w:val="single" w:sz="4" w:space="0" w:color="auto"/>
              <w:left w:val="single" w:sz="4" w:space="0" w:color="auto"/>
              <w:bottom w:val="single" w:sz="4" w:space="0" w:color="auto"/>
              <w:right w:val="single" w:sz="4" w:space="0" w:color="auto"/>
            </w:tcBorders>
            <w:shd w:val="clear" w:color="auto" w:fill="FABF8F"/>
          </w:tcPr>
          <w:p w:rsidR="00913A0A" w:rsidRPr="004B208C" w:rsidDel="00436016" w:rsidRDefault="00913A0A" w:rsidP="00871AE2">
            <w:pPr>
              <w:pStyle w:val="TableText"/>
              <w:widowControl w:val="0"/>
              <w:spacing w:before="120"/>
              <w:rPr>
                <w:rFonts w:ascii="Tahoma" w:hAnsi="Tahoma" w:cs="Tahoma"/>
                <w:sz w:val="13"/>
              </w:rPr>
            </w:pPr>
          </w:p>
        </w:tc>
        <w:tc>
          <w:tcPr>
            <w:tcW w:w="504"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4B208C" w:rsidDel="00436016" w:rsidRDefault="00913A0A" w:rsidP="00871AE2">
            <w:pPr>
              <w:pStyle w:val="TableText"/>
              <w:widowControl w:val="0"/>
              <w:rPr>
                <w:rFonts w:ascii="Tahoma" w:hAnsi="Tahoma" w:cs="Tahoma"/>
                <w:sz w:val="13"/>
              </w:rPr>
            </w:pPr>
          </w:p>
        </w:tc>
        <w:tc>
          <w:tcPr>
            <w:tcW w:w="371" w:type="dxa"/>
            <w:tcBorders>
              <w:top w:val="single" w:sz="4" w:space="0" w:color="auto"/>
              <w:left w:val="single" w:sz="4" w:space="0" w:color="auto"/>
              <w:bottom w:val="single" w:sz="4" w:space="0" w:color="auto"/>
              <w:right w:val="single" w:sz="4" w:space="0" w:color="auto"/>
            </w:tcBorders>
            <w:shd w:val="clear" w:color="auto" w:fill="FABF8F"/>
          </w:tcPr>
          <w:p w:rsidR="00913A0A" w:rsidRPr="004B208C" w:rsidDel="00436016" w:rsidRDefault="002C4BA9" w:rsidP="00871AE2">
            <w:pPr>
              <w:pStyle w:val="TableText"/>
              <w:widowControl w:val="0"/>
              <w:rPr>
                <w:rFonts w:ascii="Tahoma" w:hAnsi="Tahoma" w:cs="Tahoma"/>
                <w:sz w:val="13"/>
              </w:rPr>
            </w:pPr>
            <w:r w:rsidRPr="004B208C">
              <w:rPr>
                <w:rFonts w:ascii="Tahoma" w:hAnsi="Tahoma" w:cs="Tahoma"/>
                <w:sz w:val="13"/>
              </w:rPr>
              <w:t>A</w:t>
            </w:r>
          </w:p>
        </w:tc>
      </w:tr>
      <w:tr w:rsidR="00600C32" w:rsidRPr="004B208C" w:rsidDel="00436016" w:rsidTr="00515DFA">
        <w:trPr>
          <w:trHeight w:val="145"/>
        </w:trPr>
        <w:tc>
          <w:tcPr>
            <w:tcW w:w="255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RDefault="00913A0A" w:rsidP="00731EEF">
            <w:pPr>
              <w:pStyle w:val="Heading2"/>
              <w:spacing w:beforeLines="20" w:before="48" w:afterLines="20" w:after="48"/>
              <w:ind w:left="0" w:firstLine="15"/>
              <w:rPr>
                <w:rFonts w:ascii="Tahoma" w:hAnsi="Tahoma" w:cs="Tahoma"/>
                <w:b w:val="0"/>
                <w:sz w:val="14"/>
                <w:szCs w:val="16"/>
              </w:rPr>
            </w:pPr>
            <w:bookmarkStart w:id="336" w:name="_Toc370981166"/>
            <w:r w:rsidRPr="004B208C">
              <w:rPr>
                <w:rFonts w:ascii="Tahoma" w:hAnsi="Tahoma" w:cs="Tahoma"/>
                <w:b w:val="0"/>
                <w:sz w:val="14"/>
                <w:szCs w:val="16"/>
              </w:rPr>
              <w:t>Office 365 Government G3, G4 sem Complemento do Office Pro Plus (SL</w:t>
            </w:r>
            <w:r w:rsidR="00731EEF">
              <w:rPr>
                <w:rFonts w:ascii="Tahoma" w:hAnsi="Tahoma" w:cs="Tahoma"/>
                <w:b w:val="0"/>
                <w:sz w:val="14"/>
                <w:szCs w:val="16"/>
              </w:rPr>
              <w:t> </w:t>
            </w:r>
            <w:r w:rsidRPr="004B208C">
              <w:rPr>
                <w:rFonts w:ascii="Tahoma" w:hAnsi="Tahoma" w:cs="Tahoma"/>
                <w:b w:val="0"/>
                <w:sz w:val="14"/>
                <w:szCs w:val="16"/>
              </w:rPr>
              <w:t>de</w:t>
            </w:r>
            <w:r w:rsidR="00731EEF">
              <w:rPr>
                <w:rFonts w:ascii="Tahoma" w:hAnsi="Tahoma" w:cs="Tahoma"/>
                <w:b w:val="0"/>
                <w:sz w:val="14"/>
                <w:szCs w:val="16"/>
              </w:rPr>
              <w:t> </w:t>
            </w:r>
            <w:r w:rsidRPr="004B208C">
              <w:rPr>
                <w:rFonts w:ascii="Tahoma" w:hAnsi="Tahoma" w:cs="Tahoma"/>
                <w:b w:val="0"/>
                <w:sz w:val="14"/>
                <w:szCs w:val="16"/>
              </w:rPr>
              <w:t>Usuário)</w:t>
            </w:r>
            <w:bookmarkEnd w:id="336"/>
          </w:p>
        </w:tc>
        <w:tc>
          <w:tcPr>
            <w:tcW w:w="449"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3412D9" w:rsidRDefault="00C70EF2" w:rsidP="00796355">
            <w:pPr>
              <w:pStyle w:val="TableText"/>
              <w:widowControl w:val="0"/>
              <w:rPr>
                <w:rFonts w:cs="Tahoma"/>
                <w:sz w:val="13"/>
                <w:szCs w:val="13"/>
              </w:rPr>
            </w:pPr>
            <w:hyperlink w:anchor="_7_Add-on_User" w:history="1">
              <w:r w:rsidR="00CF5A3E" w:rsidRPr="003412D9">
                <w:rPr>
                  <w:rStyle w:val="Hyperlink"/>
                  <w:rFonts w:cs="Tahoma"/>
                  <w:b/>
                  <w:sz w:val="13"/>
                  <w:szCs w:val="13"/>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rsidR="00913A0A" w:rsidRPr="004B208C" w:rsidRDefault="00913A0A" w:rsidP="00871AE2">
            <w:pPr>
              <w:pStyle w:val="TableText"/>
              <w:widowControl w:val="0"/>
              <w:spacing w:before="120"/>
              <w:rPr>
                <w:rFonts w:ascii="Tahoma" w:hAnsi="Tahoma" w:cs="Tahoma"/>
                <w:color w:val="000000"/>
                <w:sz w:val="13"/>
              </w:rPr>
            </w:pPr>
            <w:r w:rsidRPr="004B208C">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B208C" w:rsidRDefault="00913A0A" w:rsidP="00871AE2">
            <w:pPr>
              <w:pStyle w:val="TableText"/>
              <w:widowControl w:val="0"/>
              <w:rPr>
                <w:rFonts w:ascii="Tahoma" w:hAnsi="Tahoma" w:cs="Tahoma"/>
                <w:sz w:val="13"/>
              </w:rPr>
            </w:pPr>
          </w:p>
        </w:tc>
        <w:tc>
          <w:tcPr>
            <w:tcW w:w="326"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35"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65"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365"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4B208C" w:rsidRDefault="00913A0A" w:rsidP="00871AE2">
            <w:pPr>
              <w:pStyle w:val="TableText"/>
              <w:widowControl w:val="0"/>
              <w:rPr>
                <w:rFonts w:ascii="Tahoma" w:hAnsi="Tahoma" w:cs="Tahoma"/>
                <w:sz w:val="13"/>
              </w:rPr>
            </w:pPr>
            <w:r w:rsidRPr="004B208C">
              <w:rPr>
                <w:rFonts w:ascii="Tahoma" w:hAnsi="Tahoma" w:cs="Tahoma"/>
                <w:sz w:val="13"/>
              </w:rPr>
              <w:t>A</w:t>
            </w:r>
          </w:p>
        </w:tc>
        <w:tc>
          <w:tcPr>
            <w:tcW w:w="394"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621" w:type="dxa"/>
            <w:tcBorders>
              <w:top w:val="single" w:sz="4" w:space="0" w:color="auto"/>
              <w:left w:val="single" w:sz="4" w:space="0" w:color="auto"/>
              <w:bottom w:val="single" w:sz="4" w:space="0" w:color="auto"/>
              <w:right w:val="single" w:sz="4" w:space="0" w:color="auto"/>
            </w:tcBorders>
            <w:shd w:val="clear" w:color="auto" w:fill="auto"/>
          </w:tcPr>
          <w:p w:rsidR="00913A0A" w:rsidRPr="004B208C" w:rsidDel="00436016" w:rsidRDefault="00913A0A" w:rsidP="00871AE2">
            <w:pPr>
              <w:pStyle w:val="TableText"/>
              <w:widowControl w:val="0"/>
              <w:spacing w:before="120"/>
              <w:rPr>
                <w:rFonts w:ascii="Tahoma" w:hAnsi="Tahoma" w:cs="Tahoma"/>
                <w:sz w:val="13"/>
              </w:rPr>
            </w:pPr>
          </w:p>
        </w:tc>
        <w:tc>
          <w:tcPr>
            <w:tcW w:w="504"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4B208C" w:rsidDel="00436016" w:rsidRDefault="00913A0A" w:rsidP="00871AE2">
            <w:pPr>
              <w:pStyle w:val="TableText"/>
              <w:widowControl w:val="0"/>
              <w:rPr>
                <w:rFonts w:ascii="Tahoma" w:hAnsi="Tahoma" w:cs="Tahoma"/>
                <w:sz w:val="13"/>
              </w:rPr>
            </w:pPr>
          </w:p>
        </w:tc>
        <w:tc>
          <w:tcPr>
            <w:tcW w:w="371" w:type="dxa"/>
            <w:tcBorders>
              <w:top w:val="single" w:sz="4" w:space="0" w:color="auto"/>
              <w:left w:val="single" w:sz="4" w:space="0" w:color="auto"/>
              <w:bottom w:val="single" w:sz="4" w:space="0" w:color="auto"/>
              <w:right w:val="single" w:sz="4" w:space="0" w:color="auto"/>
            </w:tcBorders>
          </w:tcPr>
          <w:p w:rsidR="00913A0A" w:rsidRPr="004B208C" w:rsidDel="00436016" w:rsidRDefault="002C4BA9" w:rsidP="00871AE2">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6C465D">
            <w:pPr>
              <w:pStyle w:val="ProductNames"/>
              <w:spacing w:before="0" w:after="0"/>
              <w:rPr>
                <w:rFonts w:ascii="Tahoma" w:hAnsi="Tahoma" w:cs="Tahoma"/>
                <w:sz w:val="14"/>
              </w:rPr>
            </w:pPr>
            <w:bookmarkStart w:id="337" w:name="_Toc336338032"/>
            <w:bookmarkStart w:id="338" w:name="_Toc370981167"/>
            <w:r w:rsidRPr="004B208C">
              <w:rPr>
                <w:rFonts w:ascii="Tahoma" w:hAnsi="Tahoma" w:cs="Tahoma"/>
                <w:sz w:val="14"/>
              </w:rPr>
              <w:t>Aplicativos da Web do Office com SharePoint Plano 2A (SL do Usuário)</w:t>
            </w:r>
            <w:bookmarkEnd w:id="337"/>
            <w:bookmarkEnd w:id="338"/>
          </w:p>
        </w:tc>
        <w:tc>
          <w:tcPr>
            <w:tcW w:w="449" w:type="dxa"/>
            <w:tcBorders>
              <w:bottom w:val="single" w:sz="4" w:space="0" w:color="auto"/>
            </w:tcBorders>
            <w:shd w:val="clear" w:color="auto" w:fill="FABF8F"/>
            <w:vAlign w:val="center"/>
          </w:tcPr>
          <w:p w:rsidR="00913A0A" w:rsidRPr="00731EEF" w:rsidRDefault="00913A0A" w:rsidP="00D66F68">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vAlign w:val="center"/>
          </w:tcPr>
          <w:p w:rsidR="00913A0A" w:rsidRPr="004B208C" w:rsidRDefault="00913A0A" w:rsidP="006C465D">
            <w:pPr>
              <w:pStyle w:val="TableText"/>
              <w:widowControl w:val="0"/>
              <w:rPr>
                <w:rFonts w:ascii="Tahoma" w:hAnsi="Tahoma" w:cs="Tahoma"/>
                <w:color w:val="000000"/>
                <w:sz w:val="13"/>
              </w:rPr>
            </w:pPr>
            <w:r w:rsidRPr="004B208C">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D66F68">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D66F68">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4B208C" w:rsidRDefault="00913A0A" w:rsidP="002A6E97">
            <w:pPr>
              <w:pStyle w:val="TableText"/>
              <w:widowControl w:val="0"/>
              <w:rPr>
                <w:rFonts w:ascii="Tahoma" w:hAnsi="Tahoma" w:cs="Tahoma"/>
                <w:sz w:val="14"/>
                <w:szCs w:val="14"/>
              </w:rPr>
            </w:pPr>
          </w:p>
        </w:tc>
        <w:tc>
          <w:tcPr>
            <w:tcW w:w="435" w:type="dxa"/>
            <w:tcBorders>
              <w:bottom w:val="single" w:sz="4" w:space="0" w:color="auto"/>
            </w:tcBorders>
            <w:shd w:val="clear" w:color="auto" w:fill="FABF8F"/>
            <w:vAlign w:val="bottom"/>
          </w:tcPr>
          <w:p w:rsidR="00913A0A" w:rsidRPr="004B208C" w:rsidRDefault="00913A0A" w:rsidP="002A6E97">
            <w:pPr>
              <w:pStyle w:val="TableText"/>
              <w:widowControl w:val="0"/>
              <w:rPr>
                <w:rFonts w:ascii="Tahoma" w:hAnsi="Tahoma" w:cs="Tahoma"/>
                <w:sz w:val="14"/>
                <w:szCs w:val="14"/>
              </w:rPr>
            </w:pPr>
          </w:p>
        </w:tc>
        <w:tc>
          <w:tcPr>
            <w:tcW w:w="465" w:type="dxa"/>
            <w:gridSpan w:val="3"/>
            <w:tcBorders>
              <w:bottom w:val="single" w:sz="4" w:space="0" w:color="auto"/>
            </w:tcBorders>
            <w:shd w:val="clear" w:color="auto" w:fill="FABF8F"/>
            <w:vAlign w:val="bottom"/>
          </w:tcPr>
          <w:p w:rsidR="00913A0A" w:rsidRPr="004B208C"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4B208C" w:rsidRDefault="00913A0A" w:rsidP="006C465D">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4B208C" w:rsidRDefault="00913A0A" w:rsidP="006C465D">
            <w:pPr>
              <w:pStyle w:val="TableText"/>
              <w:widowControl w:val="0"/>
              <w:rPr>
                <w:rFonts w:ascii="Tahoma" w:hAnsi="Tahoma" w:cs="Tahoma"/>
                <w:sz w:val="14"/>
                <w:szCs w:val="14"/>
              </w:rPr>
            </w:pPr>
          </w:p>
        </w:tc>
        <w:tc>
          <w:tcPr>
            <w:tcW w:w="365" w:type="dxa"/>
            <w:tcBorders>
              <w:bottom w:val="single" w:sz="4" w:space="0" w:color="auto"/>
              <w:right w:val="single" w:sz="18" w:space="0" w:color="auto"/>
            </w:tcBorders>
            <w:shd w:val="clear" w:color="auto" w:fill="FABF8F"/>
            <w:vAlign w:val="bottom"/>
          </w:tcPr>
          <w:p w:rsidR="00913A0A" w:rsidRPr="004B208C"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913A0A" w:rsidRPr="004B208C" w:rsidRDefault="00913A0A"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4B208C" w:rsidRDefault="00913A0A"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913A0A" w:rsidRPr="004B208C" w:rsidRDefault="00913A0A"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6C465D">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D02D7A">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D02D7A">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6C465D">
            <w:pPr>
              <w:pStyle w:val="TableText"/>
              <w:widowControl w:val="0"/>
              <w:rPr>
                <w:rFonts w:ascii="Tahoma" w:hAnsi="Tahoma" w:cs="Tahoma"/>
                <w:sz w:val="13"/>
              </w:rPr>
            </w:pPr>
            <w:r w:rsidRPr="004B208C">
              <w:rPr>
                <w:rFonts w:ascii="Tahoma" w:hAnsi="Tahoma" w:cs="Tahoma"/>
                <w:sz w:val="13"/>
              </w:rPr>
              <w:t>A, ST (Somente EES)</w:t>
            </w:r>
          </w:p>
        </w:tc>
        <w:tc>
          <w:tcPr>
            <w:tcW w:w="504" w:type="dxa"/>
            <w:tcBorders>
              <w:bottom w:val="single" w:sz="4" w:space="0" w:color="auto"/>
            </w:tcBorders>
            <w:shd w:val="clear" w:color="auto" w:fill="FABF8F"/>
            <w:vAlign w:val="center"/>
          </w:tcPr>
          <w:p w:rsidR="00913A0A" w:rsidRPr="004B208C" w:rsidRDefault="00913A0A" w:rsidP="00D66F68">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D66F68">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39" w:name="_Toc370981168"/>
            <w:r w:rsidRPr="004B208C">
              <w:rPr>
                <w:rFonts w:ascii="Tahoma" w:hAnsi="Tahoma" w:cs="Tahoma"/>
                <w:sz w:val="14"/>
              </w:rPr>
              <w:t>Project Online</w:t>
            </w:r>
            <w:bookmarkEnd w:id="339"/>
            <w:r w:rsidR="00172F11">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731EEF" w:rsidRDefault="00913A0A"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40"/>
              <w:rPr>
                <w:rFonts w:ascii="Tahoma" w:hAnsi="Tahoma" w:cs="Tahoma"/>
                <w:color w:val="000000"/>
                <w:sz w:val="13"/>
              </w:rPr>
            </w:pPr>
            <w:r w:rsidRPr="004B208C">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35" w:type="dxa"/>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65" w:type="dxa"/>
            <w:gridSpan w:val="3"/>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365"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40" w:name="_Toc370981169"/>
            <w:r w:rsidRPr="004B208C">
              <w:rPr>
                <w:rFonts w:ascii="Tahoma" w:hAnsi="Tahoma" w:cs="Tahoma"/>
                <w:sz w:val="14"/>
              </w:rPr>
              <w:t>Project Online A</w:t>
            </w:r>
            <w:bookmarkEnd w:id="340"/>
          </w:p>
        </w:tc>
        <w:tc>
          <w:tcPr>
            <w:tcW w:w="449" w:type="dxa"/>
            <w:tcBorders>
              <w:bottom w:val="single" w:sz="4" w:space="0" w:color="auto"/>
            </w:tcBorders>
            <w:shd w:val="clear" w:color="auto" w:fill="FABF8F"/>
            <w:vAlign w:val="center"/>
          </w:tcPr>
          <w:p w:rsidR="00913A0A" w:rsidRPr="00731EEF" w:rsidRDefault="00913A0A"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40"/>
              <w:rPr>
                <w:rFonts w:ascii="Tahoma" w:hAnsi="Tahoma" w:cs="Tahoma"/>
                <w:color w:val="000000"/>
                <w:sz w:val="13"/>
              </w:rPr>
            </w:pPr>
            <w:r w:rsidRPr="004B208C">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35" w:type="dxa"/>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65" w:type="dxa"/>
            <w:gridSpan w:val="3"/>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365"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41" w:name="_Toc336338033"/>
            <w:bookmarkStart w:id="342" w:name="_Toc370981170"/>
            <w:r w:rsidRPr="004B208C">
              <w:rPr>
                <w:rFonts w:ascii="Tahoma" w:hAnsi="Tahoma" w:cs="Tahoma"/>
                <w:sz w:val="14"/>
              </w:rPr>
              <w:t xml:space="preserve">Project Server </w:t>
            </w:r>
            <w:bookmarkEnd w:id="341"/>
            <w:r w:rsidRPr="004B208C">
              <w:rPr>
                <w:rFonts w:ascii="Tahoma" w:hAnsi="Tahoma" w:cs="Tahoma"/>
                <w:sz w:val="14"/>
              </w:rPr>
              <w:t>2013</w:t>
            </w:r>
            <w:bookmarkEnd w:id="342"/>
          </w:p>
        </w:tc>
        <w:tc>
          <w:tcPr>
            <w:tcW w:w="449" w:type="dxa"/>
            <w:tcBorders>
              <w:bottom w:val="single" w:sz="4" w:space="0" w:color="auto"/>
            </w:tcBorders>
            <w:shd w:val="clear" w:color="auto" w:fill="auto"/>
            <w:vAlign w:val="center"/>
          </w:tcPr>
          <w:p w:rsidR="00913A0A" w:rsidRPr="00731EEF" w:rsidRDefault="00913A0A" w:rsidP="001A63C6">
            <w:pPr>
              <w:pStyle w:val="TableText"/>
              <w:widowControl w:val="0"/>
              <w:rPr>
                <w:rStyle w:val="EndnoteReference"/>
                <w:rFonts w:cs="Tahoma"/>
                <w:color w:val="0000FF"/>
                <w:sz w:val="13"/>
                <w:szCs w:val="13"/>
                <w:u w:val="single"/>
              </w:rPr>
            </w:pPr>
            <w:bookmarkStart w:id="343" w:name="_Hlt336249768"/>
          </w:p>
        </w:tc>
        <w:bookmarkEnd w:id="343"/>
        <w:tc>
          <w:tcPr>
            <w:tcW w:w="449" w:type="dxa"/>
            <w:tcBorders>
              <w:bottom w:val="single" w:sz="4" w:space="0" w:color="auto"/>
            </w:tcBorders>
            <w:shd w:val="clear" w:color="auto" w:fill="auto"/>
          </w:tcPr>
          <w:p w:rsidR="00913A0A" w:rsidRPr="004B208C" w:rsidRDefault="00913A0A" w:rsidP="001A63C6">
            <w:pPr>
              <w:pStyle w:val="TableText"/>
              <w:widowControl w:val="0"/>
              <w:spacing w:before="40"/>
              <w:rPr>
                <w:rFonts w:ascii="Tahoma" w:hAnsi="Tahoma" w:cs="Tahoma"/>
                <w:color w:val="000000"/>
                <w:sz w:val="13"/>
              </w:rPr>
            </w:pPr>
            <w:r w:rsidRPr="004B208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2A6E97">
            <w:pPr>
              <w:pStyle w:val="TableText"/>
              <w:widowControl w:val="0"/>
              <w:rPr>
                <w:rFonts w:ascii="Tahoma" w:hAnsi="Tahoma" w:cs="Tahoma"/>
                <w:sz w:val="14"/>
                <w:szCs w:val="14"/>
              </w:rPr>
            </w:pPr>
            <w:r w:rsidRPr="004B208C">
              <w:rPr>
                <w:rFonts w:ascii="Tahoma" w:hAnsi="Tahoma" w:cs="Tahoma"/>
                <w:sz w:val="14"/>
                <w:szCs w:val="14"/>
              </w:rPr>
              <w:t>50</w:t>
            </w:r>
          </w:p>
        </w:tc>
        <w:tc>
          <w:tcPr>
            <w:tcW w:w="450" w:type="dxa"/>
            <w:gridSpan w:val="2"/>
            <w:tcBorders>
              <w:bottom w:val="single" w:sz="4" w:space="0" w:color="auto"/>
            </w:tcBorders>
            <w:shd w:val="clear" w:color="auto" w:fill="auto"/>
            <w:vAlign w:val="center"/>
          </w:tcPr>
          <w:p w:rsidR="00913A0A" w:rsidRPr="004B208C" w:rsidRDefault="00913A0A" w:rsidP="002A6E97">
            <w:pPr>
              <w:pStyle w:val="TableText"/>
              <w:widowControl w:val="0"/>
              <w:rPr>
                <w:rFonts w:ascii="Tahoma" w:hAnsi="Tahoma" w:cs="Tahoma"/>
                <w:sz w:val="14"/>
                <w:szCs w:val="14"/>
              </w:rPr>
            </w:pPr>
            <w:r w:rsidRPr="004B208C">
              <w:rPr>
                <w:rFonts w:ascii="Tahoma" w:hAnsi="Tahoma" w:cs="Tahoma"/>
                <w:sz w:val="14"/>
                <w:szCs w:val="14"/>
              </w:rPr>
              <w:t>125</w:t>
            </w:r>
          </w:p>
        </w:tc>
        <w:tc>
          <w:tcPr>
            <w:tcW w:w="435" w:type="dxa"/>
            <w:tcBorders>
              <w:bottom w:val="single" w:sz="4" w:space="0" w:color="auto"/>
            </w:tcBorders>
            <w:shd w:val="clear" w:color="auto" w:fill="auto"/>
            <w:vAlign w:val="center"/>
          </w:tcPr>
          <w:p w:rsidR="00913A0A" w:rsidRPr="004B208C" w:rsidRDefault="00913A0A" w:rsidP="00D02D7A">
            <w:pPr>
              <w:pStyle w:val="TableText"/>
              <w:widowControl w:val="0"/>
              <w:rPr>
                <w:rFonts w:ascii="Tahoma" w:hAnsi="Tahoma" w:cs="Tahoma"/>
                <w:sz w:val="14"/>
                <w:szCs w:val="14"/>
              </w:rPr>
            </w:pPr>
            <w:r w:rsidRPr="004B208C">
              <w:rPr>
                <w:rFonts w:ascii="Tahoma" w:hAnsi="Tahoma" w:cs="Tahoma"/>
                <w:sz w:val="14"/>
                <w:szCs w:val="14"/>
              </w:rPr>
              <w:t>100</w:t>
            </w:r>
          </w:p>
        </w:tc>
        <w:tc>
          <w:tcPr>
            <w:tcW w:w="465" w:type="dxa"/>
            <w:gridSpan w:val="3"/>
            <w:tcBorders>
              <w:bottom w:val="single" w:sz="4" w:space="0" w:color="auto"/>
            </w:tcBorders>
            <w:shd w:val="clear" w:color="auto" w:fill="auto"/>
            <w:vAlign w:val="center"/>
          </w:tcPr>
          <w:p w:rsidR="00913A0A" w:rsidRPr="004B208C" w:rsidRDefault="00913A0A" w:rsidP="00D02D7A">
            <w:pPr>
              <w:pStyle w:val="TableText"/>
              <w:widowControl w:val="0"/>
              <w:rPr>
                <w:rFonts w:ascii="Tahoma" w:hAnsi="Tahoma" w:cs="Tahoma"/>
                <w:sz w:val="14"/>
                <w:szCs w:val="14"/>
              </w:rPr>
            </w:pPr>
            <w:r w:rsidRPr="004B208C">
              <w:rPr>
                <w:rFonts w:ascii="Tahoma" w:hAnsi="Tahoma" w:cs="Tahoma"/>
                <w:sz w:val="14"/>
                <w:szCs w:val="14"/>
              </w:rPr>
              <w:t>75</w:t>
            </w:r>
          </w:p>
        </w:tc>
        <w:tc>
          <w:tcPr>
            <w:tcW w:w="450" w:type="dxa"/>
            <w:gridSpan w:val="2"/>
            <w:tcBorders>
              <w:bottom w:val="single" w:sz="4" w:space="0" w:color="auto"/>
            </w:tcBorders>
            <w:shd w:val="clear" w:color="auto" w:fill="auto"/>
            <w:vAlign w:val="center"/>
          </w:tcPr>
          <w:p w:rsidR="00913A0A" w:rsidRPr="004B208C" w:rsidRDefault="00913A0A" w:rsidP="00242B11">
            <w:pPr>
              <w:pStyle w:val="TableText"/>
              <w:widowControl w:val="0"/>
              <w:rPr>
                <w:rFonts w:ascii="Tahoma" w:hAnsi="Tahoma" w:cs="Tahoma"/>
                <w:sz w:val="14"/>
                <w:szCs w:val="14"/>
              </w:rPr>
            </w:pPr>
            <w:r w:rsidRPr="004B208C">
              <w:rPr>
                <w:rFonts w:ascii="Tahoma" w:hAnsi="Tahoma" w:cs="Tahoma"/>
                <w:sz w:val="14"/>
                <w:szCs w:val="14"/>
              </w:rPr>
              <w:t>75</w:t>
            </w:r>
          </w:p>
        </w:tc>
        <w:tc>
          <w:tcPr>
            <w:tcW w:w="450" w:type="dxa"/>
            <w:gridSpan w:val="2"/>
            <w:tcBorders>
              <w:bottom w:val="single" w:sz="4" w:space="0" w:color="auto"/>
            </w:tcBorders>
            <w:shd w:val="clear" w:color="auto" w:fill="auto"/>
            <w:vAlign w:val="center"/>
          </w:tcPr>
          <w:p w:rsidR="00913A0A" w:rsidRPr="004B208C" w:rsidRDefault="00913A0A" w:rsidP="00242B11">
            <w:pPr>
              <w:pStyle w:val="TableText"/>
              <w:widowControl w:val="0"/>
              <w:rPr>
                <w:rFonts w:ascii="Tahoma" w:hAnsi="Tahoma" w:cs="Tahoma"/>
                <w:sz w:val="14"/>
                <w:szCs w:val="14"/>
              </w:rPr>
            </w:pPr>
            <w:r w:rsidRPr="004B208C">
              <w:rPr>
                <w:rFonts w:ascii="Tahoma" w:hAnsi="Tahoma" w:cs="Tahoma"/>
                <w:sz w:val="14"/>
                <w:szCs w:val="14"/>
              </w:rPr>
              <w:t>50</w:t>
            </w:r>
          </w:p>
        </w:tc>
        <w:tc>
          <w:tcPr>
            <w:tcW w:w="365" w:type="dxa"/>
            <w:tcBorders>
              <w:bottom w:val="single" w:sz="4" w:space="0" w:color="auto"/>
              <w:right w:val="single" w:sz="18" w:space="0" w:color="auto"/>
            </w:tcBorders>
            <w:shd w:val="clear" w:color="auto" w:fill="auto"/>
            <w:vAlign w:val="center"/>
          </w:tcPr>
          <w:p w:rsidR="00913A0A" w:rsidRPr="004B208C" w:rsidRDefault="00913A0A" w:rsidP="00EA31A6">
            <w:pPr>
              <w:pStyle w:val="TableText"/>
              <w:widowControl w:val="0"/>
              <w:rPr>
                <w:rFonts w:ascii="Tahoma" w:hAnsi="Tahoma" w:cs="Tahoma"/>
                <w:sz w:val="14"/>
                <w:szCs w:val="14"/>
              </w:rPr>
            </w:pPr>
            <w:r w:rsidRPr="004B208C">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913A0A" w:rsidRPr="004B208C" w:rsidRDefault="00913A0A" w:rsidP="00EA31A6">
            <w:pPr>
              <w:pStyle w:val="TableText"/>
              <w:widowControl w:val="0"/>
              <w:rPr>
                <w:rFonts w:ascii="Tahoma" w:hAnsi="Tahoma" w:cs="Tahoma"/>
                <w:sz w:val="14"/>
                <w:szCs w:val="14"/>
              </w:rPr>
            </w:pPr>
            <w:r w:rsidRPr="004B208C">
              <w:rPr>
                <w:rFonts w:ascii="Tahoma" w:hAnsi="Tahoma" w:cs="Tahoma"/>
                <w:sz w:val="14"/>
                <w:szCs w:val="14"/>
              </w:rPr>
              <w:t>50</w:t>
            </w:r>
          </w:p>
        </w:tc>
        <w:tc>
          <w:tcPr>
            <w:tcW w:w="450" w:type="dxa"/>
            <w:tcBorders>
              <w:bottom w:val="single" w:sz="4" w:space="0" w:color="auto"/>
            </w:tcBorders>
            <w:shd w:val="clear" w:color="auto" w:fill="auto"/>
            <w:vAlign w:val="center"/>
          </w:tcPr>
          <w:p w:rsidR="00913A0A" w:rsidRPr="004B208C" w:rsidRDefault="00913A0A" w:rsidP="00EA31A6">
            <w:pPr>
              <w:pStyle w:val="TableText"/>
              <w:widowControl w:val="0"/>
              <w:rPr>
                <w:rFonts w:ascii="Tahoma" w:hAnsi="Tahoma" w:cs="Tahoma"/>
                <w:sz w:val="14"/>
                <w:szCs w:val="14"/>
              </w:rPr>
            </w:pPr>
            <w:r w:rsidRPr="004B208C">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913A0A" w:rsidRPr="004B208C" w:rsidRDefault="00913A0A" w:rsidP="00EA31A6">
            <w:pPr>
              <w:pStyle w:val="TableText"/>
              <w:widowControl w:val="0"/>
              <w:rPr>
                <w:rFonts w:ascii="Tahoma" w:hAnsi="Tahoma" w:cs="Tahoma"/>
                <w:sz w:val="14"/>
                <w:szCs w:val="14"/>
              </w:rPr>
            </w:pPr>
            <w:r w:rsidRPr="004B208C">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913A0A" w:rsidRPr="004B208C" w:rsidRDefault="00913A0A" w:rsidP="003537B9">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B208C" w:rsidRDefault="00913A0A" w:rsidP="003537B9">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3537B9">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913A0A" w:rsidRPr="004B208C" w:rsidRDefault="00913A0A" w:rsidP="003537B9">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C778DB">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C778DB">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44" w:name="_Toc336338034"/>
            <w:bookmarkStart w:id="345" w:name="_Toc370981171"/>
            <w:r w:rsidRPr="004B208C">
              <w:rPr>
                <w:rFonts w:ascii="Tahoma" w:hAnsi="Tahoma" w:cs="Tahoma"/>
                <w:sz w:val="14"/>
              </w:rPr>
              <w:t>CAL do Project Server</w:t>
            </w:r>
            <w:bookmarkEnd w:id="344"/>
            <w:r w:rsidRPr="004B208C">
              <w:rPr>
                <w:rFonts w:ascii="Tahoma" w:hAnsi="Tahoma" w:cs="Tahoma"/>
                <w:sz w:val="14"/>
              </w:rPr>
              <w:t xml:space="preserve"> 2013</w:t>
            </w:r>
            <w:bookmarkEnd w:id="345"/>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731EEF"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firstLine="15"/>
              <w:rPr>
                <w:rFonts w:ascii="Tahoma" w:hAnsi="Tahoma" w:cs="Tahoma"/>
                <w:b w:val="0"/>
                <w:sz w:val="14"/>
              </w:rPr>
            </w:pPr>
            <w:bookmarkStart w:id="346" w:name="_Toc336338036"/>
            <w:bookmarkStart w:id="347" w:name="_Toc370981172"/>
            <w:r w:rsidRPr="004B208C">
              <w:rPr>
                <w:rFonts w:ascii="Tahoma" w:hAnsi="Tahoma" w:cs="Tahoma"/>
                <w:b w:val="0"/>
                <w:sz w:val="14"/>
              </w:rPr>
              <w:t>Armazenamento Extra do SharePoint™ Online de 1 GB (SL Complementar)</w:t>
            </w:r>
            <w:bookmarkEnd w:id="346"/>
            <w:bookmarkEnd w:id="347"/>
          </w:p>
        </w:tc>
        <w:tc>
          <w:tcPr>
            <w:tcW w:w="449" w:type="dxa"/>
            <w:tcBorders>
              <w:bottom w:val="single" w:sz="4" w:space="0" w:color="auto"/>
            </w:tcBorders>
            <w:shd w:val="clear" w:color="auto" w:fill="auto"/>
            <w:vAlign w:val="center"/>
          </w:tcPr>
          <w:p w:rsidR="00913A0A" w:rsidRPr="00731EEF" w:rsidRDefault="00913A0A" w:rsidP="001A63C6">
            <w:pPr>
              <w:pStyle w:val="TableText"/>
              <w:widowControl w:val="0"/>
              <w:rPr>
                <w:rFonts w:cs="Tahoma"/>
                <w:b/>
                <w:color w:val="000000"/>
                <w:sz w:val="13"/>
                <w:szCs w:val="13"/>
                <w:u w:val="single"/>
              </w:rPr>
            </w:pPr>
          </w:p>
        </w:tc>
        <w:tc>
          <w:tcPr>
            <w:tcW w:w="449" w:type="dxa"/>
            <w:tcBorders>
              <w:bottom w:val="single" w:sz="4" w:space="0" w:color="auto"/>
            </w:tcBorders>
            <w:shd w:val="clear" w:color="auto" w:fill="auto"/>
          </w:tcPr>
          <w:p w:rsidR="00913A0A" w:rsidRPr="004B208C" w:rsidDel="008F575D" w:rsidRDefault="00913A0A" w:rsidP="001A63C6">
            <w:pPr>
              <w:pStyle w:val="TableText"/>
              <w:widowControl w:val="0"/>
              <w:spacing w:before="8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7E466C">
            <w:pPr>
              <w:pStyle w:val="Heading2"/>
              <w:ind w:left="0" w:firstLine="15"/>
              <w:jc w:val="both"/>
              <w:rPr>
                <w:rFonts w:ascii="Tahoma" w:hAnsi="Tahoma" w:cs="Tahoma"/>
                <w:b w:val="0"/>
                <w:sz w:val="14"/>
              </w:rPr>
            </w:pPr>
            <w:bookmarkStart w:id="348" w:name="_Toc336338037"/>
            <w:bookmarkStart w:id="349" w:name="_Toc370981173"/>
            <w:r w:rsidRPr="004B208C">
              <w:rPr>
                <w:rFonts w:ascii="Tahoma" w:hAnsi="Tahoma" w:cs="Tahoma"/>
                <w:b w:val="0"/>
                <w:sz w:val="14"/>
              </w:rPr>
              <w:t>Armazenamento Extra do SharePoint™ Online de A 1 GB (SL Complementar)</w:t>
            </w:r>
            <w:bookmarkEnd w:id="348"/>
            <w:bookmarkEnd w:id="349"/>
          </w:p>
        </w:tc>
        <w:tc>
          <w:tcPr>
            <w:tcW w:w="449" w:type="dxa"/>
            <w:tcBorders>
              <w:bottom w:val="single" w:sz="4" w:space="0" w:color="auto"/>
            </w:tcBorders>
            <w:shd w:val="clear" w:color="auto" w:fill="FABF8F"/>
            <w:vAlign w:val="center"/>
          </w:tcPr>
          <w:p w:rsidR="00913A0A" w:rsidRPr="00731EEF" w:rsidRDefault="00913A0A" w:rsidP="00D66F68">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vAlign w:val="center"/>
          </w:tcPr>
          <w:p w:rsidR="00913A0A" w:rsidRPr="004B208C" w:rsidRDefault="00913A0A" w:rsidP="007E466C">
            <w:pPr>
              <w:pStyle w:val="TableText"/>
              <w:widowControl w:val="0"/>
              <w:rPr>
                <w:rFonts w:ascii="Tahoma" w:hAnsi="Tahoma" w:cs="Tahoma"/>
                <w:sz w:val="13"/>
              </w:rPr>
            </w:pPr>
            <w:r w:rsidRPr="004B208C">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D66F68">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D66F68">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6C465D">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6C465D">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6C465D">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D02D7A">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D02D7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EA31A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EA31A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7E466C">
            <w:pPr>
              <w:pStyle w:val="TableText"/>
              <w:widowControl w:val="0"/>
              <w:rPr>
                <w:rFonts w:ascii="Tahoma" w:hAnsi="Tahoma" w:cs="Tahoma"/>
                <w:sz w:val="13"/>
              </w:rPr>
            </w:pPr>
            <w:r w:rsidRPr="004B208C">
              <w:rPr>
                <w:rFonts w:ascii="Tahoma" w:hAnsi="Tahoma" w:cs="Tahoma"/>
                <w:sz w:val="13"/>
              </w:rPr>
              <w:t>A, ST (Somente EES)</w:t>
            </w:r>
          </w:p>
        </w:tc>
        <w:tc>
          <w:tcPr>
            <w:tcW w:w="504" w:type="dxa"/>
            <w:tcBorders>
              <w:bottom w:val="single" w:sz="4" w:space="0" w:color="auto"/>
            </w:tcBorders>
            <w:shd w:val="clear" w:color="auto" w:fill="FABF8F"/>
            <w:vAlign w:val="center"/>
          </w:tcPr>
          <w:p w:rsidR="00913A0A" w:rsidRPr="004B208C" w:rsidRDefault="00913A0A" w:rsidP="00D66F68">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D66F68">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firstLine="15"/>
              <w:jc w:val="both"/>
              <w:rPr>
                <w:rFonts w:ascii="Tahoma" w:hAnsi="Tahoma" w:cs="Tahoma"/>
                <w:b w:val="0"/>
                <w:sz w:val="14"/>
              </w:rPr>
            </w:pPr>
            <w:bookmarkStart w:id="350" w:name="_Toc370981174"/>
            <w:r w:rsidRPr="004B208C">
              <w:rPr>
                <w:rFonts w:ascii="Tahoma" w:hAnsi="Tahoma" w:cs="Tahoma"/>
                <w:b w:val="0"/>
                <w:sz w:val="14"/>
              </w:rPr>
              <w:t>Complemento do SharePoint™ Online Plano 1 (SL de Usuário)</w:t>
            </w:r>
            <w:bookmarkEnd w:id="350"/>
          </w:p>
        </w:tc>
        <w:tc>
          <w:tcPr>
            <w:tcW w:w="449" w:type="dxa"/>
            <w:tcBorders>
              <w:bottom w:val="single" w:sz="4" w:space="0" w:color="auto"/>
            </w:tcBorders>
            <w:shd w:val="clear" w:color="auto" w:fill="auto"/>
            <w:vAlign w:val="center"/>
          </w:tcPr>
          <w:p w:rsidR="00913A0A" w:rsidRPr="00731EEF" w:rsidRDefault="00913A0A" w:rsidP="00796355">
            <w:pPr>
              <w:pStyle w:val="TableText"/>
              <w:widowControl w:val="0"/>
              <w:rPr>
                <w:rFonts w:cs="Tahoma"/>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731EEF">
            <w:pPr>
              <w:pStyle w:val="Heading2"/>
              <w:spacing w:beforeLines="20" w:before="48" w:afterLines="20" w:after="48"/>
              <w:ind w:left="0" w:firstLine="15"/>
              <w:jc w:val="both"/>
              <w:rPr>
                <w:rFonts w:ascii="Tahoma" w:hAnsi="Tahoma" w:cs="Tahoma"/>
                <w:b w:val="0"/>
              </w:rPr>
            </w:pPr>
            <w:bookmarkStart w:id="351" w:name="_Toc336338038"/>
            <w:bookmarkStart w:id="352" w:name="_Toc370981175"/>
            <w:r w:rsidRPr="004B208C">
              <w:rPr>
                <w:rFonts w:ascii="Tahoma" w:hAnsi="Tahoma" w:cs="Tahoma"/>
                <w:b w:val="0"/>
                <w:sz w:val="14"/>
              </w:rPr>
              <w:t>SharePoint™</w:t>
            </w:r>
            <w:r w:rsidR="00731EEF">
              <w:rPr>
                <w:rFonts w:ascii="Tahoma" w:hAnsi="Tahoma" w:cs="Tahoma"/>
                <w:b w:val="0"/>
                <w:sz w:val="14"/>
              </w:rPr>
              <w:t> </w:t>
            </w:r>
            <w:r w:rsidRPr="004B208C">
              <w:rPr>
                <w:rFonts w:ascii="Tahoma" w:hAnsi="Tahoma" w:cs="Tahoma"/>
                <w:b w:val="0"/>
                <w:sz w:val="14"/>
              </w:rPr>
              <w:t>Online</w:t>
            </w:r>
            <w:r w:rsidR="00731EEF">
              <w:rPr>
                <w:rFonts w:ascii="Tahoma" w:hAnsi="Tahoma" w:cs="Tahoma"/>
                <w:b w:val="0"/>
                <w:sz w:val="14"/>
              </w:rPr>
              <w:t> </w:t>
            </w:r>
            <w:r w:rsidRPr="004B208C">
              <w:rPr>
                <w:rFonts w:ascii="Tahoma" w:hAnsi="Tahoma" w:cs="Tahoma"/>
                <w:b w:val="0"/>
                <w:sz w:val="14"/>
              </w:rPr>
              <w:t>Plano</w:t>
            </w:r>
            <w:r w:rsidR="00731EEF">
              <w:rPr>
                <w:rFonts w:ascii="Tahoma" w:hAnsi="Tahoma" w:cs="Tahoma"/>
                <w:b w:val="0"/>
                <w:sz w:val="14"/>
              </w:rPr>
              <w:t> </w:t>
            </w:r>
            <w:r w:rsidRPr="004B208C">
              <w:rPr>
                <w:rFonts w:ascii="Tahoma" w:hAnsi="Tahoma" w:cs="Tahoma"/>
                <w:b w:val="0"/>
                <w:sz w:val="14"/>
              </w:rPr>
              <w:t>1</w:t>
            </w:r>
            <w:r w:rsidR="00731EEF">
              <w:rPr>
                <w:rFonts w:ascii="Tahoma" w:hAnsi="Tahoma" w:cs="Tahoma"/>
                <w:b w:val="0"/>
                <w:sz w:val="14"/>
              </w:rPr>
              <w:t> </w:t>
            </w:r>
            <w:r w:rsidR="00731EEF">
              <w:rPr>
                <w:rFonts w:ascii="Tahoma" w:hAnsi="Tahoma" w:cs="Tahoma"/>
                <w:b w:val="0"/>
                <w:sz w:val="14"/>
              </w:rPr>
              <w:br/>
            </w:r>
            <w:r w:rsidRPr="004B208C">
              <w:rPr>
                <w:rFonts w:ascii="Tahoma" w:hAnsi="Tahoma" w:cs="Tahoma"/>
                <w:b w:val="0"/>
                <w:sz w:val="14"/>
              </w:rPr>
              <w:t>(SL de</w:t>
            </w:r>
            <w:r w:rsidR="00731EEF">
              <w:rPr>
                <w:rFonts w:ascii="Tahoma" w:hAnsi="Tahoma" w:cs="Tahoma"/>
                <w:b w:val="0"/>
                <w:sz w:val="14"/>
              </w:rPr>
              <w:t> </w:t>
            </w:r>
            <w:r w:rsidRPr="004B208C">
              <w:rPr>
                <w:rFonts w:ascii="Tahoma" w:hAnsi="Tahoma" w:cs="Tahoma"/>
                <w:b w:val="0"/>
                <w:sz w:val="14"/>
              </w:rPr>
              <w:t>Usuário)</w:t>
            </w:r>
            <w:bookmarkEnd w:id="351"/>
            <w:bookmarkEnd w:id="352"/>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Style w:val="EndnoteReference"/>
                <w:rFonts w:cs="Tahoma"/>
                <w:b w:val="0"/>
                <w:color w:val="0000FF"/>
                <w:sz w:val="13"/>
                <w:szCs w:val="13"/>
                <w:u w:val="single"/>
              </w:rPr>
            </w:pPr>
            <w:hyperlink w:anchor="_78_SharePoint_Online" w:history="1">
              <w:r w:rsidR="00CF5A3E" w:rsidRPr="003412D9">
                <w:rPr>
                  <w:rStyle w:val="Hyperlink"/>
                  <w:rFonts w:cs="Tahoma"/>
                  <w:b/>
                  <w:sz w:val="13"/>
                  <w:szCs w:val="13"/>
                </w:rPr>
                <w:t>77</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firstLine="15"/>
              <w:jc w:val="both"/>
              <w:rPr>
                <w:rFonts w:ascii="Tahoma" w:hAnsi="Tahoma" w:cs="Tahoma"/>
                <w:b w:val="0"/>
                <w:sz w:val="14"/>
              </w:rPr>
            </w:pPr>
            <w:bookmarkStart w:id="353" w:name="_Toc370981176"/>
            <w:r w:rsidRPr="004B208C">
              <w:rPr>
                <w:rFonts w:ascii="Tahoma" w:hAnsi="Tahoma" w:cs="Tahoma"/>
                <w:b w:val="0"/>
                <w:sz w:val="14"/>
              </w:rPr>
              <w:t>SharePoint™ Online Plano 1 com Complemento Yammer (SL de Usuário)</w:t>
            </w:r>
            <w:bookmarkEnd w:id="353"/>
          </w:p>
        </w:tc>
        <w:tc>
          <w:tcPr>
            <w:tcW w:w="449" w:type="dxa"/>
            <w:tcBorders>
              <w:bottom w:val="single" w:sz="4" w:space="0" w:color="auto"/>
            </w:tcBorders>
            <w:shd w:val="clear" w:color="auto" w:fill="auto"/>
            <w:vAlign w:val="center"/>
          </w:tcPr>
          <w:p w:rsidR="00913A0A" w:rsidRPr="003412D9" w:rsidRDefault="00913A0A" w:rsidP="00796355">
            <w:pPr>
              <w:pStyle w:val="TableText"/>
              <w:widowControl w:val="0"/>
              <w:rPr>
                <w:rFonts w:cs="Tahoma"/>
                <w:sz w:val="13"/>
                <w:szCs w:val="13"/>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54" w:name="_Toc336338039"/>
            <w:bookmarkStart w:id="355" w:name="_Toc370981177"/>
            <w:r w:rsidRPr="004B208C">
              <w:rPr>
                <w:rFonts w:ascii="Tahoma" w:hAnsi="Tahoma" w:cs="Tahoma"/>
                <w:sz w:val="14"/>
              </w:rPr>
              <w:t>SharePoint™ Online Plano 2 (SL de Usuário)</w:t>
            </w:r>
            <w:bookmarkEnd w:id="354"/>
            <w:bookmarkEnd w:id="355"/>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Style w:val="EndnoteReference"/>
                <w:rFonts w:cs="Tahoma"/>
                <w:b w:val="0"/>
                <w:color w:val="000000"/>
                <w:sz w:val="13"/>
                <w:szCs w:val="13"/>
                <w:u w:val="single"/>
              </w:rPr>
            </w:pPr>
            <w:hyperlink w:anchor="_78_SharePoint_Online" w:history="1">
              <w:r w:rsidR="00CF5A3E" w:rsidRPr="003412D9">
                <w:rPr>
                  <w:rStyle w:val="Hyperlink"/>
                  <w:rFonts w:cs="Tahoma"/>
                  <w:b/>
                  <w:sz w:val="13"/>
                  <w:szCs w:val="13"/>
                </w:rPr>
                <w:t>77</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2378E5">
            <w:pPr>
              <w:pStyle w:val="ProductNames"/>
              <w:spacing w:beforeLines="20" w:before="48" w:afterLines="20" w:after="48"/>
              <w:rPr>
                <w:rFonts w:ascii="Tahoma" w:hAnsi="Tahoma" w:cs="Tahoma"/>
                <w:sz w:val="14"/>
              </w:rPr>
            </w:pPr>
            <w:bookmarkStart w:id="356" w:name="_Toc336338040"/>
            <w:bookmarkStart w:id="357" w:name="_Toc370981178"/>
            <w:r w:rsidRPr="004B208C">
              <w:rPr>
                <w:rFonts w:ascii="Tahoma" w:hAnsi="Tahoma" w:cs="Tahoma"/>
                <w:sz w:val="14"/>
              </w:rPr>
              <w:t xml:space="preserve">SharePoint™ Server </w:t>
            </w:r>
            <w:bookmarkEnd w:id="356"/>
            <w:r w:rsidRPr="004B208C">
              <w:rPr>
                <w:rFonts w:ascii="Tahoma" w:hAnsi="Tahoma" w:cs="Tahoma"/>
                <w:sz w:val="14"/>
              </w:rPr>
              <w:t>2013</w:t>
            </w:r>
            <w:bookmarkEnd w:id="357"/>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00"/>
                <w:sz w:val="13"/>
                <w:szCs w:val="13"/>
                <w:u w:val="single"/>
              </w:rPr>
            </w:pPr>
            <w:hyperlink w:anchor="_78_SharePoint_Server" w:history="1">
              <w:r w:rsidR="00913A0A" w:rsidRPr="003412D9">
                <w:rPr>
                  <w:rStyle w:val="Hyperlink"/>
                  <w:rFonts w:cs="Tahoma"/>
                  <w:b/>
                  <w:sz w:val="13"/>
                  <w:szCs w:val="13"/>
                </w:rPr>
                <w:t>78</w:t>
              </w:r>
            </w:hyperlink>
            <w:hyperlink w:anchor="_79_SharePoint_Server" w:history="1"/>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913A0A" w:rsidRPr="004B208C" w:rsidRDefault="00913A0A" w:rsidP="006C465D">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731EEF">
            <w:pPr>
              <w:pStyle w:val="ProductNames"/>
              <w:spacing w:beforeLines="20" w:before="48" w:afterLines="20" w:after="48"/>
              <w:rPr>
                <w:rFonts w:ascii="Tahoma" w:hAnsi="Tahoma" w:cs="Tahoma"/>
                <w:sz w:val="14"/>
              </w:rPr>
            </w:pPr>
            <w:bookmarkStart w:id="358" w:name="_Toc336338041"/>
            <w:bookmarkStart w:id="359" w:name="_Toc370981179"/>
            <w:r w:rsidRPr="004B208C">
              <w:rPr>
                <w:rFonts w:ascii="Tahoma" w:hAnsi="Tahoma" w:cs="Tahoma"/>
                <w:sz w:val="14"/>
              </w:rPr>
              <w:t>CAL Empresarial do SharePoint™ Server</w:t>
            </w:r>
            <w:bookmarkEnd w:id="358"/>
            <w:r w:rsidR="00731EEF">
              <w:rPr>
                <w:rFonts w:ascii="Tahoma" w:hAnsi="Tahoma" w:cs="Tahoma"/>
                <w:sz w:val="14"/>
              </w:rPr>
              <w:t> </w:t>
            </w:r>
            <w:r w:rsidRPr="004B208C">
              <w:rPr>
                <w:rFonts w:ascii="Tahoma" w:hAnsi="Tahoma" w:cs="Tahoma"/>
                <w:sz w:val="14"/>
              </w:rPr>
              <w:t>2013</w:t>
            </w:r>
            <w:bookmarkEnd w:id="359"/>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D</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260"/>
        </w:trPr>
        <w:tc>
          <w:tcPr>
            <w:tcW w:w="2551" w:type="dxa"/>
            <w:gridSpan w:val="2"/>
            <w:tcBorders>
              <w:bottom w:val="single" w:sz="4" w:space="0" w:color="auto"/>
            </w:tcBorders>
            <w:shd w:val="clear" w:color="auto" w:fill="auto"/>
          </w:tcPr>
          <w:p w:rsidR="00913A0A" w:rsidRPr="004B208C" w:rsidRDefault="00913A0A" w:rsidP="00731EEF">
            <w:pPr>
              <w:pStyle w:val="ProductNames"/>
              <w:spacing w:beforeLines="20" w:before="48" w:afterLines="20" w:after="48"/>
              <w:rPr>
                <w:rFonts w:ascii="Tahoma" w:hAnsi="Tahoma" w:cs="Tahoma"/>
                <w:sz w:val="14"/>
              </w:rPr>
            </w:pPr>
            <w:bookmarkStart w:id="360" w:name="_Toc336338044"/>
            <w:bookmarkStart w:id="361" w:name="_Toc370981180"/>
            <w:r w:rsidRPr="004B208C">
              <w:rPr>
                <w:rFonts w:ascii="Tahoma" w:hAnsi="Tahoma" w:cs="Tahoma"/>
                <w:sz w:val="14"/>
              </w:rPr>
              <w:t>CAL Padrão do SharePoint™ Server</w:t>
            </w:r>
            <w:bookmarkEnd w:id="360"/>
            <w:r w:rsidR="00731EEF">
              <w:rPr>
                <w:rFonts w:ascii="Tahoma" w:hAnsi="Tahoma" w:cs="Tahoma"/>
                <w:sz w:val="14"/>
              </w:rPr>
              <w:t> </w:t>
            </w:r>
            <w:r w:rsidRPr="004B208C">
              <w:rPr>
                <w:rFonts w:ascii="Tahoma" w:hAnsi="Tahoma" w:cs="Tahoma"/>
                <w:sz w:val="14"/>
              </w:rPr>
              <w:t>2013</w:t>
            </w:r>
            <w:bookmarkEnd w:id="361"/>
          </w:p>
        </w:tc>
        <w:tc>
          <w:tcPr>
            <w:tcW w:w="449" w:type="dxa"/>
            <w:tcBorders>
              <w:bottom w:val="single" w:sz="4" w:space="0" w:color="auto"/>
            </w:tcBorders>
            <w:shd w:val="clear" w:color="auto" w:fill="auto"/>
            <w:vAlign w:val="center"/>
          </w:tcPr>
          <w:p w:rsidR="00913A0A" w:rsidRPr="003412D9" w:rsidRDefault="00913A0A" w:rsidP="002378E5">
            <w:pPr>
              <w:pStyle w:val="TableText"/>
              <w:widowControl w:val="0"/>
              <w:spacing w:beforeLines="20" w:before="48" w:afterLines="20" w:after="48"/>
              <w:rPr>
                <w:rStyle w:val="EndnoteReference"/>
                <w:rFonts w:cs="Tahoma"/>
                <w:color w:val="000000"/>
                <w:sz w:val="13"/>
                <w:szCs w:val="13"/>
                <w:u w:val="single"/>
              </w:rPr>
            </w:pPr>
          </w:p>
        </w:tc>
        <w:tc>
          <w:tcPr>
            <w:tcW w:w="449" w:type="dxa"/>
            <w:tcBorders>
              <w:bottom w:val="single" w:sz="4" w:space="0" w:color="auto"/>
            </w:tcBorders>
            <w:shd w:val="clear" w:color="auto" w:fill="auto"/>
          </w:tcPr>
          <w:p w:rsidR="00913A0A" w:rsidRPr="004B208C" w:rsidRDefault="00913A0A" w:rsidP="002378E5">
            <w:pPr>
              <w:pStyle w:val="TableText"/>
              <w:widowControl w:val="0"/>
              <w:spacing w:beforeLines="20" w:before="48" w:afterLines="20" w:after="48"/>
              <w:rPr>
                <w:rFonts w:ascii="Tahoma" w:hAnsi="Tahoma" w:cs="Tahoma"/>
                <w:color w:val="000000"/>
                <w:sz w:val="13"/>
              </w:rPr>
            </w:pPr>
            <w:r w:rsidRPr="004B208C">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2378E5">
            <w:pPr>
              <w:pStyle w:val="TableText"/>
              <w:widowControl w:val="0"/>
              <w:spacing w:beforeLines="20" w:before="48" w:afterLines="20" w:after="48"/>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auto"/>
            <w:vAlign w:val="center"/>
          </w:tcPr>
          <w:p w:rsidR="00913A0A" w:rsidRPr="004B208C" w:rsidRDefault="00913A0A" w:rsidP="002378E5">
            <w:pPr>
              <w:pStyle w:val="TableText"/>
              <w:widowControl w:val="0"/>
              <w:spacing w:beforeLines="20" w:before="48" w:afterLines="20" w:after="48"/>
              <w:rPr>
                <w:rFonts w:ascii="Tahoma" w:hAnsi="Tahoma" w:cs="Tahoma"/>
                <w:sz w:val="13"/>
              </w:rPr>
            </w:pPr>
          </w:p>
        </w:tc>
        <w:tc>
          <w:tcPr>
            <w:tcW w:w="371" w:type="dxa"/>
            <w:tcBorders>
              <w:bottom w:val="single" w:sz="4" w:space="0" w:color="auto"/>
            </w:tcBorders>
          </w:tcPr>
          <w:p w:rsidR="00913A0A" w:rsidRPr="004B208C" w:rsidRDefault="002C4BA9" w:rsidP="002378E5">
            <w:pPr>
              <w:pStyle w:val="TableText"/>
              <w:widowControl w:val="0"/>
              <w:spacing w:beforeLines="20" w:before="48" w:afterLines="20" w:after="48"/>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lang w:val="pt-BR"/>
              </w:rPr>
            </w:pPr>
            <w:bookmarkStart w:id="362" w:name="_Toc336338045"/>
            <w:bookmarkStart w:id="363" w:name="_Toc370981181"/>
            <w:r w:rsidRPr="004B208C">
              <w:rPr>
                <w:rFonts w:ascii="Tahoma" w:hAnsi="Tahoma" w:cs="Tahoma"/>
                <w:sz w:val="14"/>
              </w:rPr>
              <w:t>Licença para um processador do 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2008 R2 Datacenter 1</w:t>
            </w:r>
            <w:bookmarkEnd w:id="362"/>
            <w:bookmarkEnd w:id="363"/>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Fonts w:cs="Tahoma"/>
                <w:b/>
                <w:color w:val="0000FF"/>
                <w:sz w:val="13"/>
                <w:szCs w:val="13"/>
                <w:u w:val="single"/>
              </w:rPr>
            </w:pPr>
            <w:hyperlink w:anchor="_75_73_SQL" w:history="1">
              <w:r w:rsidR="00CF5A3E" w:rsidRPr="003412D9">
                <w:rPr>
                  <w:rStyle w:val="Hyperlink"/>
                  <w:rFonts w:cs="Tahoma"/>
                  <w:b/>
                  <w:sz w:val="13"/>
                  <w:szCs w:val="13"/>
                </w:rPr>
                <w:t>79</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64" w:name="_Toc336338048"/>
            <w:bookmarkStart w:id="365" w:name="_Toc370981182"/>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2008 R2 Small Business</w:t>
            </w:r>
            <w:bookmarkEnd w:id="364"/>
            <w:bookmarkEnd w:id="365"/>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00"/>
                <w:sz w:val="13"/>
                <w:szCs w:val="13"/>
                <w:u w:val="single"/>
              </w:rPr>
            </w:pPr>
            <w:hyperlink w:anchor="_76_74_SQL" w:history="1">
              <w:r w:rsidR="00CF5A3E" w:rsidRPr="003412D9">
                <w:rPr>
                  <w:rStyle w:val="Hyperlink"/>
                  <w:rFonts w:cs="Tahoma"/>
                  <w:b/>
                  <w:sz w:val="13"/>
                  <w:szCs w:val="13"/>
                </w:rPr>
                <w:t>80</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66" w:name="_Toc336338049"/>
            <w:bookmarkStart w:id="367" w:name="_Toc370981183"/>
            <w:r w:rsidRPr="004B208C">
              <w:rPr>
                <w:rFonts w:ascii="Tahoma" w:hAnsi="Tahoma" w:cs="Tahoma"/>
                <w:sz w:val="14"/>
              </w:rPr>
              <w:t>CAL do 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2008 R2 Small Business</w:t>
            </w:r>
            <w:bookmarkEnd w:id="366"/>
            <w:bookmarkEnd w:id="367"/>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68" w:name="_Toc336338050"/>
            <w:bookmarkStart w:id="369" w:name="_Toc370981184"/>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2008 R2 Web por Processador</w:t>
            </w:r>
            <w:bookmarkEnd w:id="368"/>
            <w:bookmarkEnd w:id="369"/>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00"/>
                <w:sz w:val="13"/>
                <w:szCs w:val="13"/>
                <w:u w:val="single"/>
              </w:rPr>
            </w:pPr>
            <w:hyperlink w:anchor="_77_75_SQL" w:history="1">
              <w:r w:rsidR="00CF5A3E" w:rsidRPr="003412D9">
                <w:rPr>
                  <w:rStyle w:val="Hyperlink"/>
                  <w:rFonts w:cs="Tahoma"/>
                  <w:b/>
                  <w:sz w:val="13"/>
                  <w:szCs w:val="13"/>
                </w:rPr>
                <w:t>81</w:t>
              </w:r>
            </w:hyperlink>
            <w:hyperlink w:anchor="Srv_84SQL2008R2Webproc" w:history="1"/>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70" w:name="_Toc336338051"/>
            <w:bookmarkStart w:id="371" w:name="_Toc370981185"/>
            <w:r w:rsidRPr="004B208C">
              <w:rPr>
                <w:rFonts w:ascii="Tahoma" w:hAnsi="Tahoma" w:cs="Tahoma"/>
                <w:sz w:val="14"/>
              </w:rPr>
              <w:t>CAL do 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2008 R2 Workgroup</w:t>
            </w:r>
            <w:bookmarkEnd w:id="370"/>
            <w:bookmarkEnd w:id="371"/>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72" w:name="_Toc336338053"/>
            <w:bookmarkStart w:id="373" w:name="_Toc370981186"/>
            <w:r w:rsidRPr="004B208C">
              <w:rPr>
                <w:rFonts w:ascii="Tahoma" w:hAnsi="Tahoma" w:cs="Tahoma"/>
                <w:sz w:val="14"/>
                <w:szCs w:val="18"/>
              </w:rPr>
              <w:t>SQL Server</w:t>
            </w:r>
            <w:r w:rsidR="00172F11" w:rsidRPr="00172F11">
              <w:rPr>
                <w:rFonts w:ascii="Tahoma" w:eastAsia="Times New Roman" w:hAnsi="Tahoma" w:cs="Tahoma"/>
                <w:color w:val="000000"/>
                <w:sz w:val="14"/>
                <w:szCs w:val="18"/>
                <w:vertAlign w:val="superscript"/>
              </w:rPr>
              <w:t>®</w:t>
            </w:r>
            <w:r w:rsidRPr="004B208C">
              <w:rPr>
                <w:rFonts w:ascii="Tahoma" w:hAnsi="Tahoma" w:cs="Tahoma"/>
                <w:sz w:val="14"/>
                <w:szCs w:val="18"/>
              </w:rPr>
              <w:t xml:space="preserve"> 2008 R2 Workgroup (Complementar para 5 Clientes)</w:t>
            </w:r>
            <w:bookmarkEnd w:id="372"/>
            <w:bookmarkEnd w:id="373"/>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00"/>
                <w:sz w:val="13"/>
                <w:szCs w:val="13"/>
                <w:u w:val="single"/>
              </w:rPr>
            </w:pPr>
            <w:hyperlink w:anchor="_85_84_SQL" w:history="1">
              <w:r w:rsidR="00CF5A3E" w:rsidRPr="003412D9">
                <w:rPr>
                  <w:rStyle w:val="Hyperlink"/>
                  <w:rFonts w:cs="Tahoma"/>
                  <w:b/>
                  <w:sz w:val="13"/>
                  <w:szCs w:val="13"/>
                </w:rPr>
                <w:t>82</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szCs w:val="18"/>
              </w:rPr>
            </w:pPr>
            <w:bookmarkStart w:id="374" w:name="_Toc336338052"/>
            <w:bookmarkStart w:id="375" w:name="_Toc370981187"/>
            <w:r w:rsidRPr="004B208C">
              <w:rPr>
                <w:rFonts w:ascii="Tahoma" w:hAnsi="Tahoma" w:cs="Tahoma"/>
                <w:sz w:val="14"/>
              </w:rPr>
              <w:t>Licença para um Processador do 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2008 R2 Workgroup</w:t>
            </w:r>
            <w:bookmarkEnd w:id="374"/>
            <w:bookmarkEnd w:id="375"/>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Style w:val="EndnoteReference"/>
                <w:rFonts w:cs="Tahoma"/>
                <w:b w:val="0"/>
                <w:color w:val="000000"/>
                <w:sz w:val="13"/>
                <w:szCs w:val="13"/>
              </w:rPr>
            </w:pPr>
            <w:hyperlink w:anchor="_84_SQL_Server®" w:history="1">
              <w:r w:rsidR="00CF5A3E" w:rsidRPr="003412D9">
                <w:rPr>
                  <w:rStyle w:val="Hyperlink"/>
                  <w:rFonts w:cs="Tahoma"/>
                  <w:b/>
                  <w:sz w:val="13"/>
                  <w:szCs w:val="13"/>
                </w:rPr>
                <w:t>83</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76" w:name="_Toc336338054"/>
            <w:bookmarkStart w:id="377" w:name="_Toc370981188"/>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Business Intelligence</w:t>
            </w:r>
            <w:bookmarkEnd w:id="376"/>
            <w:bookmarkEnd w:id="377"/>
          </w:p>
        </w:tc>
        <w:tc>
          <w:tcPr>
            <w:tcW w:w="449" w:type="dxa"/>
            <w:tcBorders>
              <w:bottom w:val="single" w:sz="4" w:space="0" w:color="auto"/>
            </w:tcBorders>
            <w:shd w:val="clear" w:color="auto" w:fill="auto"/>
            <w:vAlign w:val="center"/>
          </w:tcPr>
          <w:p w:rsidR="00913A0A" w:rsidRPr="00731EEF"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u w:val="single"/>
              </w:rPr>
              <w:t>75</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188</w:t>
            </w:r>
          </w:p>
        </w:tc>
        <w:tc>
          <w:tcPr>
            <w:tcW w:w="435" w:type="dxa"/>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150</w:t>
            </w:r>
          </w:p>
        </w:tc>
        <w:tc>
          <w:tcPr>
            <w:tcW w:w="465" w:type="dxa"/>
            <w:gridSpan w:val="3"/>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113</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113</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75</w:t>
            </w:r>
          </w:p>
        </w:tc>
        <w:tc>
          <w:tcPr>
            <w:tcW w:w="365"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75</w:t>
            </w:r>
          </w:p>
        </w:tc>
        <w:tc>
          <w:tcPr>
            <w:tcW w:w="450" w:type="dxa"/>
            <w:tcBorders>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szCs w:val="13"/>
              </w:rPr>
            </w:pPr>
            <w:r w:rsidRPr="004B208C">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731EEF">
            <w:pPr>
              <w:pStyle w:val="ProductNames"/>
              <w:spacing w:beforeLines="20" w:before="48" w:afterLines="20" w:after="48"/>
              <w:rPr>
                <w:rFonts w:ascii="Tahoma" w:hAnsi="Tahoma" w:cs="Tahoma"/>
                <w:sz w:val="14"/>
              </w:rPr>
            </w:pPr>
            <w:bookmarkStart w:id="378" w:name="_Toc336338055"/>
            <w:bookmarkStart w:id="379" w:name="_Toc370981189"/>
            <w:r w:rsidRPr="004B208C">
              <w:rPr>
                <w:rFonts w:ascii="Tahoma" w:hAnsi="Tahoma" w:cs="Tahoma"/>
                <w:sz w:val="14"/>
              </w:rPr>
              <w:t>CAL do 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(SL</w:t>
            </w:r>
            <w:r w:rsidR="00731EEF">
              <w:rPr>
                <w:rFonts w:ascii="Tahoma" w:hAnsi="Tahoma" w:cs="Tahoma"/>
                <w:sz w:val="14"/>
              </w:rPr>
              <w:t> </w:t>
            </w:r>
            <w:r w:rsidRPr="004B208C">
              <w:rPr>
                <w:rFonts w:ascii="Tahoma" w:hAnsi="Tahoma" w:cs="Tahoma"/>
                <w:sz w:val="14"/>
              </w:rPr>
              <w:t>de</w:t>
            </w:r>
            <w:r w:rsidR="00731EEF">
              <w:rPr>
                <w:rFonts w:ascii="Tahoma" w:hAnsi="Tahoma" w:cs="Tahoma"/>
                <w:sz w:val="14"/>
              </w:rPr>
              <w:t> </w:t>
            </w:r>
            <w:r w:rsidRPr="004B208C">
              <w:rPr>
                <w:rFonts w:ascii="Tahoma" w:hAnsi="Tahoma" w:cs="Tahoma"/>
                <w:sz w:val="14"/>
              </w:rPr>
              <w:t>Usuário e Dispositivo)</w:t>
            </w:r>
            <w:bookmarkEnd w:id="378"/>
            <w:bookmarkEnd w:id="379"/>
          </w:p>
        </w:tc>
        <w:tc>
          <w:tcPr>
            <w:tcW w:w="449" w:type="dxa"/>
            <w:tcBorders>
              <w:bottom w:val="single" w:sz="4" w:space="0" w:color="auto"/>
            </w:tcBorders>
            <w:shd w:val="clear" w:color="auto" w:fill="FABF8F"/>
            <w:vAlign w:val="center"/>
          </w:tcPr>
          <w:p w:rsidR="00913A0A" w:rsidRPr="00731EEF"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A,S,D</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AO, 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260"/>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80" w:name="_Toc336338056"/>
            <w:bookmarkStart w:id="381" w:name="_Toc370981190"/>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Developer</w:t>
            </w:r>
            <w:bookmarkEnd w:id="380"/>
            <w:bookmarkEnd w:id="381"/>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00"/>
                <w:sz w:val="13"/>
                <w:szCs w:val="13"/>
              </w:rPr>
            </w:pPr>
            <w:hyperlink w:anchor="_85_SQL_Server®" w:history="1">
              <w:r w:rsidR="00CF5A3E" w:rsidRPr="003412D9">
                <w:rPr>
                  <w:rStyle w:val="Hyperlink"/>
                  <w:rFonts w:cs="Tahoma"/>
                  <w:b/>
                  <w:sz w:val="13"/>
                  <w:szCs w:val="13"/>
                </w:rPr>
                <w:t>84</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82" w:name="_Toc336338057"/>
            <w:bookmarkStart w:id="383" w:name="_Toc370981191"/>
            <w:r w:rsidRPr="004B208C">
              <w:rPr>
                <w:rFonts w:ascii="Tahoma" w:hAnsi="Tahoma" w:cs="Tahoma"/>
                <w:sz w:val="14"/>
              </w:rPr>
              <w:lastRenderedPageBreak/>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Enterprise</w:t>
            </w:r>
            <w:bookmarkEnd w:id="382"/>
            <w:bookmarkEnd w:id="383"/>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Style w:val="EndnoteReference"/>
                <w:rFonts w:cs="Tahoma"/>
                <w:b w:val="0"/>
                <w:color w:val="000000"/>
                <w:sz w:val="13"/>
                <w:szCs w:val="13"/>
              </w:rPr>
            </w:pPr>
            <w:hyperlink w:anchor="_86_SQL_Server®" w:history="1">
              <w:r w:rsidR="00CF5A3E" w:rsidRPr="003412D9">
                <w:rPr>
                  <w:rStyle w:val="Hyperlink"/>
                  <w:rFonts w:cs="Tahoma"/>
                  <w:b/>
                  <w:sz w:val="13"/>
                  <w:szCs w:val="13"/>
                </w:rPr>
                <w:t>85</w:t>
              </w:r>
            </w:hyperlink>
            <w:hyperlink w:anchor="_81_79_SQL" w:history="1"/>
            <w:hyperlink w:anchor="Srv_88SQLServer2012Enterprise"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188</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 xml:space="preserve">A </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84" w:name="_Toc336338058"/>
            <w:bookmarkStart w:id="385" w:name="_Toc370981192"/>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Enterprise Core (pacote com duas Licenças Principais)</w:t>
            </w:r>
            <w:bookmarkEnd w:id="384"/>
            <w:bookmarkEnd w:id="385"/>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FF"/>
                <w:sz w:val="13"/>
                <w:szCs w:val="13"/>
                <w:u w:val="single"/>
              </w:rPr>
            </w:pPr>
            <w:hyperlink w:anchor="_87_SQL_Server®" w:history="1">
              <w:r w:rsidR="00CF5A3E" w:rsidRPr="003412D9">
                <w:rPr>
                  <w:rStyle w:val="Hyperlink"/>
                  <w:rFonts w:cs="Tahoma"/>
                  <w:b/>
                  <w:sz w:val="13"/>
                  <w:szCs w:val="13"/>
                </w:rPr>
                <w:t>86</w:t>
              </w:r>
            </w:hyperlink>
            <w:hyperlink w:anchor="Srv_89SQLServer2012EnterpriseCore" w:history="1"/>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313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188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188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86" w:name="_Toc336338046"/>
            <w:bookmarkStart w:id="387" w:name="_Toc370981193"/>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Parallel Data Warehouse</w:t>
            </w:r>
            <w:bookmarkEnd w:id="386"/>
            <w:bookmarkEnd w:id="387"/>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Style w:val="EndnoteReference"/>
                <w:rFonts w:cs="Tahoma"/>
                <w:b w:val="0"/>
                <w:color w:val="000000"/>
                <w:sz w:val="13"/>
                <w:szCs w:val="13"/>
                <w:u w:val="single"/>
              </w:rPr>
            </w:pPr>
            <w:hyperlink w:anchor="_88_SQL_Server" w:history="1">
              <w:r w:rsidR="00CF5A3E" w:rsidRPr="003412D9">
                <w:rPr>
                  <w:rStyle w:val="Hyperlink"/>
                  <w:rFonts w:cs="Tahoma"/>
                  <w:b/>
                  <w:sz w:val="13"/>
                  <w:szCs w:val="13"/>
                </w:rPr>
                <w:t>87</w:t>
              </w:r>
            </w:hyperlink>
            <w:hyperlink w:anchor="_80_SQL_Server"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500</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400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300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200</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88" w:name="_Toc336338047"/>
            <w:bookmarkStart w:id="389" w:name="_Toc370981194"/>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Parallel Data Warehouse Developer</w:t>
            </w:r>
            <w:bookmarkEnd w:id="388"/>
            <w:bookmarkEnd w:id="389"/>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90" w:name="_Toc336338059"/>
            <w:bookmarkStart w:id="391" w:name="_Toc370981195"/>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Standard</w:t>
            </w:r>
            <w:bookmarkEnd w:id="390"/>
            <w:bookmarkEnd w:id="391"/>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FF"/>
                <w:sz w:val="13"/>
                <w:szCs w:val="13"/>
                <w:u w:val="single"/>
              </w:rPr>
            </w:pPr>
            <w:hyperlink w:anchor="_89_SQL_Server®" w:history="1">
              <w:r w:rsidR="00CF5A3E" w:rsidRPr="003412D9">
                <w:rPr>
                  <w:rStyle w:val="Hyperlink"/>
                  <w:rFonts w:cs="Tahoma"/>
                  <w:b/>
                  <w:sz w:val="13"/>
                  <w:szCs w:val="13"/>
                </w:rPr>
                <w:t>88</w:t>
              </w:r>
            </w:hyperlink>
            <w:hyperlink w:anchor="Srv_90SQLServer2012Standard" w:history="1"/>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92" w:name="_Toc336338060"/>
            <w:bookmarkStart w:id="393" w:name="_Toc370981196"/>
            <w:r w:rsidRPr="004B208C">
              <w:rPr>
                <w:rFonts w:ascii="Tahoma" w:hAnsi="Tahoma" w:cs="Tahoma"/>
                <w:sz w:val="14"/>
              </w:rPr>
              <w:t>SQL Server</w:t>
            </w:r>
            <w:r w:rsidR="00172F11" w:rsidRPr="00172F11">
              <w:rPr>
                <w:rFonts w:ascii="Tahoma" w:eastAsia="Times New Roman" w:hAnsi="Tahoma" w:cs="Tahoma"/>
                <w:color w:val="000000"/>
                <w:sz w:val="18"/>
                <w:szCs w:val="18"/>
                <w:vertAlign w:val="superscript"/>
              </w:rPr>
              <w:t>®</w:t>
            </w:r>
            <w:r w:rsidRPr="004B208C">
              <w:rPr>
                <w:rFonts w:ascii="Tahoma" w:hAnsi="Tahoma" w:cs="Tahoma"/>
                <w:sz w:val="14"/>
              </w:rPr>
              <w:t xml:space="preserve"> 2012 Standard Core (pacote com duas Licenças Principais)</w:t>
            </w:r>
            <w:bookmarkEnd w:id="392"/>
            <w:bookmarkEnd w:id="393"/>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Style w:val="EndnoteReference"/>
                <w:rFonts w:cs="Tahoma"/>
                <w:b w:val="0"/>
                <w:color w:val="000000"/>
                <w:sz w:val="13"/>
                <w:szCs w:val="13"/>
                <w:u w:val="single"/>
              </w:rPr>
            </w:pPr>
            <w:hyperlink w:anchor="_85_83_SQL" w:history="1">
              <w:r w:rsidR="00CF5A3E" w:rsidRPr="003412D9">
                <w:rPr>
                  <w:rStyle w:val="Hyperlink"/>
                  <w:rFonts w:cs="Tahoma"/>
                  <w:b/>
                  <w:sz w:val="13"/>
                  <w:szCs w:val="13"/>
                </w:rPr>
                <w:t>89</w:t>
              </w:r>
            </w:hyperlink>
            <w:hyperlink w:anchor="Srv_91SQLServer2012StandardCore"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394" w:name="_Toc336338062"/>
            <w:bookmarkStart w:id="395" w:name="_Toc370981197"/>
            <w:r w:rsidRPr="004B208C">
              <w:rPr>
                <w:rFonts w:ascii="Tahoma" w:hAnsi="Tahoma" w:cs="Tahoma"/>
                <w:sz w:val="14"/>
              </w:rPr>
              <w:t>Licença de Gerenciamento de Servidor do System Center Configuration Manager 2007 R3 Enterprise</w:t>
            </w:r>
            <w:bookmarkEnd w:id="394"/>
            <w:bookmarkEnd w:id="395"/>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80"/>
              <w:rPr>
                <w:rFonts w:ascii="Tahoma" w:hAnsi="Tahoma" w:cs="Tahoma"/>
                <w:color w:val="000000"/>
                <w:sz w:val="13"/>
              </w:rPr>
            </w:pPr>
            <w:r w:rsidRPr="004B208C">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396" w:name="_Toc336338063"/>
            <w:bookmarkStart w:id="397" w:name="_Toc370981198"/>
            <w:r w:rsidRPr="004B208C">
              <w:rPr>
                <w:rFonts w:ascii="Tahoma" w:hAnsi="Tahoma" w:cs="Tahoma"/>
                <w:sz w:val="14"/>
              </w:rPr>
              <w:t>Licença de Gerenciamento de Servidor Standard (ML de Servidor Standard) do System Center Configuration Manager 2007 R3)</w:t>
            </w:r>
            <w:bookmarkEnd w:id="396"/>
            <w:bookmarkEnd w:id="397"/>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80"/>
              <w:rPr>
                <w:rFonts w:ascii="Tahoma" w:hAnsi="Tahoma" w:cs="Tahoma"/>
                <w:color w:val="000000"/>
                <w:sz w:val="13"/>
              </w:rPr>
            </w:pPr>
            <w:r w:rsidRPr="004B208C">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10" w:before="24" w:afterLines="10" w:after="24"/>
              <w:rPr>
                <w:rFonts w:ascii="Tahoma" w:hAnsi="Tahoma" w:cs="Tahoma"/>
                <w:sz w:val="14"/>
              </w:rPr>
            </w:pPr>
            <w:bookmarkStart w:id="398" w:name="_Toc257333903"/>
            <w:bookmarkStart w:id="399" w:name="_Toc336338067"/>
            <w:bookmarkStart w:id="400" w:name="_Toc370981199"/>
            <w:r w:rsidRPr="004B208C">
              <w:rPr>
                <w:rFonts w:ascii="Tahoma" w:hAnsi="Tahoma" w:cs="Tahoma"/>
                <w:sz w:val="14"/>
              </w:rPr>
              <w:t>Licença de Gerenciamento de Servidor Enterprise do System Center Data Protection Manager 2010</w:t>
            </w:r>
            <w:bookmarkEnd w:id="398"/>
            <w:bookmarkEnd w:id="399"/>
            <w:bookmarkEnd w:id="400"/>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jc w:val="left"/>
              <w:rPr>
                <w:rStyle w:val="EndnoteReference"/>
                <w:rFonts w:cs="Tahoma"/>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80"/>
              <w:rPr>
                <w:rFonts w:ascii="Tahoma" w:hAnsi="Tahoma" w:cs="Tahoma"/>
                <w:color w:val="000000"/>
                <w:sz w:val="13"/>
              </w:rPr>
            </w:pPr>
            <w:r w:rsidRPr="004B208C">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AO, 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10" w:before="24" w:afterLines="10" w:after="24"/>
              <w:rPr>
                <w:rFonts w:ascii="Tahoma" w:hAnsi="Tahoma" w:cs="Tahoma"/>
                <w:sz w:val="14"/>
              </w:rPr>
            </w:pPr>
            <w:bookmarkStart w:id="401" w:name="_Toc257333904"/>
            <w:bookmarkStart w:id="402" w:name="_Toc336338068"/>
            <w:bookmarkStart w:id="403" w:name="_Toc370981200"/>
            <w:r w:rsidRPr="004B208C">
              <w:rPr>
                <w:rFonts w:ascii="Tahoma" w:hAnsi="Tahoma" w:cs="Tahoma"/>
                <w:sz w:val="14"/>
              </w:rPr>
              <w:t>Licença de Gerenciamento de Servidor Standard do System Center Data Protection Manager 2010</w:t>
            </w:r>
            <w:bookmarkEnd w:id="401"/>
            <w:bookmarkEnd w:id="402"/>
            <w:bookmarkEnd w:id="403"/>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80"/>
              <w:rPr>
                <w:rFonts w:ascii="Tahoma" w:hAnsi="Tahoma" w:cs="Tahoma"/>
                <w:color w:val="000000"/>
                <w:sz w:val="13"/>
              </w:rPr>
            </w:pPr>
            <w:r w:rsidRPr="004B208C">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AO, 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404" w:name="_Toc336338069"/>
            <w:bookmarkStart w:id="405" w:name="_Toc257333905"/>
            <w:bookmarkStart w:id="406" w:name="_Toc370981201"/>
            <w:r w:rsidRPr="004B208C">
              <w:rPr>
                <w:rFonts w:ascii="Tahoma" w:hAnsi="Tahoma" w:cs="Tahoma"/>
                <w:sz w:val="14"/>
              </w:rPr>
              <w:t>System Center Essentials 2010</w:t>
            </w:r>
            <w:bookmarkEnd w:id="404"/>
            <w:bookmarkEnd w:id="406"/>
            <w:r w:rsidRPr="004B208C">
              <w:rPr>
                <w:rFonts w:ascii="Tahoma" w:hAnsi="Tahoma" w:cs="Tahoma"/>
                <w:sz w:val="14"/>
              </w:rPr>
              <w:t xml:space="preserve"> </w:t>
            </w:r>
            <w:bookmarkEnd w:id="405"/>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FF"/>
                <w:sz w:val="13"/>
                <w:szCs w:val="13"/>
                <w:u w:val="single"/>
              </w:rPr>
            </w:pPr>
            <w:hyperlink w:anchor="_79_System_Center" w:history="1">
              <w:r w:rsidR="00CF5A3E" w:rsidRPr="003412D9">
                <w:rPr>
                  <w:rStyle w:val="Hyperlink"/>
                  <w:rFonts w:cs="Tahoma"/>
                  <w:b/>
                  <w:sz w:val="13"/>
                  <w:szCs w:val="13"/>
                </w:rPr>
                <w:t>90</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407" w:name="_Toc257333906"/>
            <w:bookmarkStart w:id="408" w:name="_Toc336338070"/>
            <w:bookmarkStart w:id="409" w:name="_Toc370981202"/>
            <w:r w:rsidRPr="004B208C">
              <w:rPr>
                <w:rFonts w:ascii="Tahoma" w:hAnsi="Tahoma" w:cs="Tahoma"/>
                <w:sz w:val="14"/>
              </w:rPr>
              <w:t>ML de Cliente do System Center Essentials 2010</w:t>
            </w:r>
            <w:bookmarkEnd w:id="407"/>
            <w:bookmarkEnd w:id="408"/>
            <w:bookmarkEnd w:id="409"/>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410" w:name="_Toc257333908"/>
            <w:bookmarkStart w:id="411" w:name="_Toc336338071"/>
            <w:bookmarkStart w:id="412" w:name="_Toc370981203"/>
            <w:r w:rsidRPr="004B208C">
              <w:rPr>
                <w:rFonts w:ascii="Tahoma" w:hAnsi="Tahoma" w:cs="Tahoma"/>
                <w:sz w:val="14"/>
              </w:rPr>
              <w:t>ML de Servidor do System Center Essentials 2010</w:t>
            </w:r>
            <w:bookmarkEnd w:id="410"/>
            <w:bookmarkEnd w:id="411"/>
            <w:bookmarkEnd w:id="412"/>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731EEF">
            <w:pPr>
              <w:pStyle w:val="ProductNames"/>
              <w:spacing w:beforeLines="20" w:before="48" w:afterLines="20" w:after="48"/>
              <w:rPr>
                <w:rFonts w:ascii="Tahoma" w:hAnsi="Tahoma" w:cs="Tahoma"/>
                <w:sz w:val="14"/>
              </w:rPr>
            </w:pPr>
            <w:bookmarkStart w:id="413" w:name="_Toc336338072"/>
            <w:bookmarkStart w:id="414" w:name="_Toc257333910"/>
            <w:bookmarkStart w:id="415" w:name="_Toc370981204"/>
            <w:r w:rsidRPr="004B208C">
              <w:rPr>
                <w:rFonts w:ascii="Tahoma" w:hAnsi="Tahoma" w:cs="Tahoma"/>
                <w:sz w:val="14"/>
              </w:rPr>
              <w:t>System Center Essentials 2010 com</w:t>
            </w:r>
            <w:r w:rsidR="00731EEF">
              <w:rPr>
                <w:rFonts w:ascii="Tahoma" w:hAnsi="Tahoma" w:cs="Tahoma"/>
                <w:sz w:val="14"/>
              </w:rPr>
              <w:t> </w:t>
            </w:r>
            <w:r w:rsidRPr="004B208C">
              <w:rPr>
                <w:rFonts w:ascii="Tahoma" w:hAnsi="Tahoma" w:cs="Tahoma"/>
                <w:sz w:val="14"/>
              </w:rPr>
              <w:t>Tecnologia SQL Server 2008</w:t>
            </w:r>
            <w:bookmarkEnd w:id="413"/>
            <w:bookmarkEnd w:id="415"/>
            <w:r w:rsidRPr="004B208C">
              <w:rPr>
                <w:rFonts w:ascii="Tahoma" w:hAnsi="Tahoma" w:cs="Tahoma"/>
                <w:sz w:val="14"/>
              </w:rPr>
              <w:t xml:space="preserve"> </w:t>
            </w:r>
            <w:bookmarkEnd w:id="414"/>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20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416" w:name="_Toc336338073"/>
            <w:bookmarkStart w:id="417" w:name="_Toc370981205"/>
            <w:r w:rsidRPr="004B208C">
              <w:rPr>
                <w:rFonts w:ascii="Tahoma" w:hAnsi="Tahoma" w:cs="Tahoma"/>
                <w:sz w:val="14"/>
              </w:rPr>
              <w:t>Management License Suite do System Center Essentials Plus 2010 Client</w:t>
            </w:r>
            <w:bookmarkEnd w:id="416"/>
            <w:bookmarkEnd w:id="417"/>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418" w:name="_Toc336338077"/>
            <w:bookmarkStart w:id="419" w:name="_Toc370981206"/>
            <w:r w:rsidRPr="004B208C">
              <w:rPr>
                <w:rFonts w:ascii="Tahoma" w:hAnsi="Tahoma" w:cs="Tahoma"/>
                <w:sz w:val="14"/>
              </w:rPr>
              <w:t>Licença de Gerenciamento de Servidor Standard do System Center Operations Manager 2007 R2</w:t>
            </w:r>
            <w:bookmarkEnd w:id="418"/>
            <w:bookmarkEnd w:id="419"/>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200"/>
              <w:rPr>
                <w:rFonts w:ascii="Tahoma" w:hAnsi="Tahoma" w:cs="Tahoma"/>
                <w:color w:val="000000"/>
                <w:sz w:val="13"/>
              </w:rPr>
            </w:pPr>
            <w:r w:rsidRPr="004B208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420" w:name="_Toc336338078"/>
            <w:bookmarkStart w:id="421" w:name="_Toc370981207"/>
            <w:r w:rsidRPr="004B208C">
              <w:rPr>
                <w:rFonts w:ascii="Tahoma" w:hAnsi="Tahoma" w:cs="Tahoma"/>
                <w:sz w:val="14"/>
              </w:rPr>
              <w:t>Licença de Gerenciamento de Servidor Enterprise do System Center Operations Manager 2007 R2</w:t>
            </w:r>
            <w:bookmarkEnd w:id="420"/>
            <w:bookmarkEnd w:id="421"/>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200"/>
              <w:rPr>
                <w:rFonts w:ascii="Tahoma" w:hAnsi="Tahoma" w:cs="Tahoma"/>
                <w:color w:val="000000"/>
                <w:sz w:val="13"/>
              </w:rPr>
            </w:pPr>
            <w:r w:rsidRPr="004B208C">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731EEF">
            <w:pPr>
              <w:pStyle w:val="ProductNames"/>
              <w:spacing w:beforeLines="20" w:before="48" w:afterLines="20" w:after="48"/>
              <w:rPr>
                <w:rFonts w:ascii="Tahoma" w:hAnsi="Tahoma" w:cs="Tahoma"/>
                <w:sz w:val="14"/>
              </w:rPr>
            </w:pPr>
            <w:bookmarkStart w:id="422" w:name="_Toc336338079"/>
            <w:bookmarkStart w:id="423" w:name="_Toc370981208"/>
            <w:r w:rsidRPr="004B208C">
              <w:rPr>
                <w:rFonts w:ascii="Tahoma" w:hAnsi="Tahoma" w:cs="Tahoma"/>
                <w:sz w:val="14"/>
              </w:rPr>
              <w:t>Licença de Gerenciamento de Cliente do</w:t>
            </w:r>
            <w:r w:rsidR="00731EEF">
              <w:rPr>
                <w:rFonts w:ascii="Tahoma" w:hAnsi="Tahoma" w:cs="Tahoma"/>
                <w:sz w:val="14"/>
              </w:rPr>
              <w:t> </w:t>
            </w:r>
            <w:r w:rsidRPr="004B208C">
              <w:rPr>
                <w:rFonts w:ascii="Tahoma" w:hAnsi="Tahoma" w:cs="Tahoma"/>
                <w:sz w:val="14"/>
              </w:rPr>
              <w:t>System Center Operations Manager 2007 R2 por OSE</w:t>
            </w:r>
            <w:bookmarkEnd w:id="422"/>
            <w:bookmarkEnd w:id="423"/>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200"/>
              <w:rPr>
                <w:rFonts w:ascii="Tahoma" w:hAnsi="Tahoma" w:cs="Tahoma"/>
                <w:color w:val="000000"/>
                <w:sz w:val="13"/>
              </w:rPr>
            </w:pPr>
            <w:r w:rsidRPr="004B208C">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sz w:val="13"/>
              </w:rPr>
              <w:t>AO, 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731EEF">
            <w:pPr>
              <w:pStyle w:val="ProductNames"/>
              <w:spacing w:beforeLines="20" w:before="48" w:afterLines="20" w:after="48"/>
              <w:rPr>
                <w:rFonts w:ascii="Tahoma" w:hAnsi="Tahoma" w:cs="Tahoma"/>
                <w:sz w:val="14"/>
              </w:rPr>
            </w:pPr>
            <w:bookmarkStart w:id="424" w:name="_Toc336338080"/>
            <w:bookmarkStart w:id="425" w:name="_Toc370981209"/>
            <w:r w:rsidRPr="004B208C">
              <w:rPr>
                <w:rFonts w:ascii="Tahoma" w:hAnsi="Tahoma" w:cs="Tahoma"/>
                <w:sz w:val="14"/>
              </w:rPr>
              <w:t>Licença de Gerenciamento de Cliente do</w:t>
            </w:r>
            <w:r w:rsidR="00731EEF">
              <w:rPr>
                <w:rFonts w:ascii="Tahoma" w:hAnsi="Tahoma" w:cs="Tahoma"/>
                <w:sz w:val="14"/>
              </w:rPr>
              <w:t> </w:t>
            </w:r>
            <w:r w:rsidRPr="004B208C">
              <w:rPr>
                <w:rFonts w:ascii="Tahoma" w:hAnsi="Tahoma" w:cs="Tahoma"/>
                <w:sz w:val="14"/>
              </w:rPr>
              <w:t>System Center Operations Manager 2007 R2 por Usuário</w:t>
            </w:r>
            <w:bookmarkEnd w:id="424"/>
            <w:bookmarkEnd w:id="425"/>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200"/>
              <w:rPr>
                <w:rFonts w:ascii="Tahoma" w:hAnsi="Tahoma" w:cs="Tahoma"/>
                <w:sz w:val="13"/>
              </w:rPr>
            </w:pPr>
            <w:r w:rsidRPr="004B208C">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rPr>
            </w:pPr>
          </w:p>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426" w:name="_Toc336338081"/>
            <w:bookmarkStart w:id="427" w:name="_Toc370981210"/>
            <w:r w:rsidRPr="004B208C">
              <w:rPr>
                <w:rFonts w:ascii="Tahoma" w:hAnsi="Tahoma" w:cs="Tahoma"/>
                <w:sz w:val="14"/>
              </w:rPr>
              <w:t>System Center Reporting Manager 2006</w:t>
            </w:r>
            <w:bookmarkEnd w:id="426"/>
            <w:bookmarkEnd w:id="427"/>
            <w:r w:rsidRPr="004B208C">
              <w:rPr>
                <w:rFonts w:ascii="Tahoma" w:hAnsi="Tahoma" w:cs="Tahoma"/>
                <w:sz w:val="14"/>
              </w:rPr>
              <w:t xml:space="preserve"> </w:t>
            </w:r>
          </w:p>
        </w:tc>
        <w:tc>
          <w:tcPr>
            <w:tcW w:w="449" w:type="dxa"/>
            <w:tcBorders>
              <w:bottom w:val="single" w:sz="4" w:space="0" w:color="auto"/>
            </w:tcBorders>
            <w:shd w:val="clear" w:color="auto" w:fill="FABF8F"/>
            <w:vAlign w:val="center"/>
          </w:tcPr>
          <w:p w:rsidR="00913A0A" w:rsidRPr="003412D9" w:rsidRDefault="00C70EF2" w:rsidP="00907139">
            <w:pPr>
              <w:pStyle w:val="TableText"/>
              <w:widowControl w:val="0"/>
              <w:rPr>
                <w:rStyle w:val="EndnoteReference"/>
                <w:rFonts w:cs="Tahoma"/>
                <w:b w:val="0"/>
                <w:color w:val="0000FF"/>
                <w:sz w:val="13"/>
                <w:szCs w:val="13"/>
                <w:u w:val="single"/>
              </w:rPr>
            </w:pPr>
            <w:hyperlink w:anchor="_80_System_Center" w:history="1">
              <w:r w:rsidR="00CF5A3E" w:rsidRPr="003412D9">
                <w:rPr>
                  <w:rStyle w:val="Hyperlink"/>
                  <w:rFonts w:cs="Tahoma"/>
                  <w:b/>
                  <w:sz w:val="13"/>
                  <w:szCs w:val="13"/>
                </w:rPr>
                <w:t>91</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428" w:name="_Toc336338082"/>
            <w:bookmarkStart w:id="429" w:name="_Toc370981211"/>
            <w:r w:rsidRPr="004B208C">
              <w:rPr>
                <w:rFonts w:ascii="Tahoma" w:hAnsi="Tahoma" w:cs="Tahoma"/>
                <w:sz w:val="14"/>
              </w:rPr>
              <w:t>System Center Server Management Suite Enterprise</w:t>
            </w:r>
            <w:bookmarkEnd w:id="428"/>
            <w:bookmarkEnd w:id="429"/>
            <w:r w:rsidRPr="004B208C">
              <w:rPr>
                <w:rFonts w:ascii="Tahoma" w:hAnsi="Tahoma" w:cs="Tahoma"/>
                <w:sz w:val="14"/>
              </w:rPr>
              <w:t xml:space="preserve"> </w:t>
            </w:r>
          </w:p>
        </w:tc>
        <w:tc>
          <w:tcPr>
            <w:tcW w:w="449" w:type="dxa"/>
            <w:tcBorders>
              <w:bottom w:val="single" w:sz="4" w:space="0" w:color="auto"/>
            </w:tcBorders>
            <w:shd w:val="clear" w:color="auto" w:fill="auto"/>
            <w:vAlign w:val="center"/>
          </w:tcPr>
          <w:p w:rsidR="00913A0A" w:rsidRPr="003412D9" w:rsidRDefault="00C70EF2" w:rsidP="00907139">
            <w:pPr>
              <w:pStyle w:val="TableText"/>
              <w:widowControl w:val="0"/>
              <w:rPr>
                <w:rStyle w:val="EndnoteReference"/>
                <w:rFonts w:cs="Tahoma"/>
                <w:b w:val="0"/>
                <w:color w:val="0000FF"/>
                <w:sz w:val="13"/>
                <w:szCs w:val="13"/>
                <w:u w:val="single"/>
              </w:rPr>
            </w:pPr>
            <w:hyperlink w:anchor="_93_System_Center" w:history="1">
              <w:r w:rsidR="00CF5A3E" w:rsidRPr="003412D9">
                <w:rPr>
                  <w:rStyle w:val="Hyperlink"/>
                  <w:rFonts w:cs="Tahoma"/>
                  <w:b/>
                  <w:sz w:val="13"/>
                  <w:szCs w:val="13"/>
                </w:rPr>
                <w:t>92</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60"/>
              <w:rPr>
                <w:rFonts w:ascii="Tahoma" w:hAnsi="Tahoma" w:cs="Tahoma"/>
                <w:sz w:val="13"/>
                <w:szCs w:val="13"/>
              </w:rPr>
            </w:pPr>
          </w:p>
        </w:tc>
        <w:tc>
          <w:tcPr>
            <w:tcW w:w="435" w:type="dxa"/>
            <w:tcBorders>
              <w:bottom w:val="single" w:sz="4" w:space="0" w:color="auto"/>
            </w:tcBorders>
            <w:shd w:val="clear" w:color="auto" w:fill="auto"/>
            <w:vAlign w:val="bottom"/>
          </w:tcPr>
          <w:p w:rsidR="00913A0A" w:rsidRPr="004B208C" w:rsidRDefault="00913A0A" w:rsidP="001A63C6">
            <w:pPr>
              <w:pStyle w:val="TableText"/>
              <w:widowControl w:val="0"/>
              <w:spacing w:after="60"/>
              <w:rPr>
                <w:rFonts w:ascii="Tahoma" w:hAnsi="Tahoma" w:cs="Tahoma"/>
                <w:sz w:val="13"/>
                <w:szCs w:val="13"/>
              </w:rPr>
            </w:pPr>
          </w:p>
        </w:tc>
        <w:tc>
          <w:tcPr>
            <w:tcW w:w="465" w:type="dxa"/>
            <w:gridSpan w:val="3"/>
            <w:tcBorders>
              <w:bottom w:val="single" w:sz="4" w:space="0" w:color="auto"/>
            </w:tcBorders>
            <w:shd w:val="clear" w:color="auto" w:fill="auto"/>
            <w:vAlign w:val="bottom"/>
          </w:tcPr>
          <w:p w:rsidR="00913A0A" w:rsidRPr="004B208C"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6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60"/>
              <w:rPr>
                <w:rFonts w:ascii="Tahoma" w:hAnsi="Tahoma" w:cs="Tahoma"/>
                <w:sz w:val="13"/>
                <w:szCs w:val="13"/>
              </w:rPr>
            </w:pPr>
          </w:p>
        </w:tc>
        <w:tc>
          <w:tcPr>
            <w:tcW w:w="365"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spacing w:after="6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2378E5">
            <w:pPr>
              <w:pStyle w:val="Heading4"/>
              <w:spacing w:beforeLines="20" w:before="48" w:afterLines="20" w:after="48"/>
              <w:ind w:left="0" w:firstLine="0"/>
              <w:rPr>
                <w:rFonts w:ascii="Tahoma" w:hAnsi="Tahoma" w:cs="Tahoma"/>
                <w:b w:val="0"/>
                <w:sz w:val="18"/>
                <w:szCs w:val="18"/>
              </w:rPr>
            </w:pPr>
            <w:bookmarkStart w:id="430" w:name="_Toc336338083"/>
            <w:bookmarkStart w:id="431" w:name="_Toc370981212"/>
            <w:r w:rsidRPr="004B208C">
              <w:rPr>
                <w:rFonts w:ascii="Tahoma" w:hAnsi="Tahoma" w:cs="Tahoma"/>
                <w:b w:val="0"/>
                <w:sz w:val="14"/>
                <w:szCs w:val="18"/>
              </w:rPr>
              <w:t>System Center Server Management Suite Datacenter</w:t>
            </w:r>
            <w:bookmarkEnd w:id="430"/>
            <w:bookmarkEnd w:id="431"/>
          </w:p>
        </w:tc>
        <w:tc>
          <w:tcPr>
            <w:tcW w:w="449" w:type="dxa"/>
            <w:tcBorders>
              <w:bottom w:val="single" w:sz="4" w:space="0" w:color="auto"/>
            </w:tcBorders>
            <w:shd w:val="clear" w:color="auto" w:fill="FABF8F"/>
          </w:tcPr>
          <w:p w:rsidR="00913A0A" w:rsidRPr="003412D9" w:rsidRDefault="00C70EF2" w:rsidP="00907139">
            <w:pPr>
              <w:pStyle w:val="TableText"/>
              <w:widowControl w:val="0"/>
              <w:spacing w:before="120"/>
              <w:rPr>
                <w:rStyle w:val="EndnoteReference"/>
                <w:rFonts w:cs="Tahoma"/>
                <w:b w:val="0"/>
                <w:sz w:val="13"/>
                <w:szCs w:val="13"/>
                <w:u w:val="single"/>
              </w:rPr>
            </w:pPr>
            <w:hyperlink w:anchor="_94_System_Center" w:history="1">
              <w:r w:rsidR="00CF5A3E" w:rsidRPr="003412D9">
                <w:rPr>
                  <w:rStyle w:val="Hyperlink"/>
                  <w:rFonts w:cs="Tahoma"/>
                  <w:b/>
                  <w:sz w:val="13"/>
                  <w:szCs w:val="13"/>
                </w:rPr>
                <w:t>93</w:t>
              </w:r>
            </w:hyperlink>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07/09</w:t>
            </w:r>
          </w:p>
        </w:tc>
        <w:tc>
          <w:tcPr>
            <w:tcW w:w="360" w:type="dxa"/>
            <w:tcBorders>
              <w:bottom w:val="single" w:sz="4" w:space="0" w:color="auto"/>
              <w:right w:val="single" w:sz="18"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35"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65" w:type="dxa"/>
            <w:gridSpan w:val="3"/>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365" w:type="dxa"/>
            <w:tcBorders>
              <w:bottom w:val="single" w:sz="4" w:space="0" w:color="auto"/>
              <w:right w:val="single" w:sz="18"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2378E5">
            <w:pPr>
              <w:pStyle w:val="ProductNames"/>
              <w:spacing w:beforeLines="10" w:before="24" w:afterLines="10" w:after="24"/>
              <w:rPr>
                <w:rFonts w:ascii="Tahoma" w:hAnsi="Tahoma" w:cs="Tahoma"/>
                <w:b/>
                <w:sz w:val="14"/>
              </w:rPr>
            </w:pPr>
            <w:bookmarkStart w:id="432" w:name="_Toc336338086"/>
            <w:bookmarkStart w:id="433" w:name="_Toc370981213"/>
            <w:r w:rsidRPr="004B208C">
              <w:rPr>
                <w:rFonts w:ascii="Tahoma" w:hAnsi="Tahoma" w:cs="Tahoma"/>
                <w:sz w:val="14"/>
              </w:rPr>
              <w:t>Licença de Gerenciamento de Cliente (ML de Cliente) do System Center Service Manager 2010 por OSE</w:t>
            </w:r>
            <w:bookmarkEnd w:id="432"/>
            <w:bookmarkEnd w:id="433"/>
          </w:p>
        </w:tc>
        <w:tc>
          <w:tcPr>
            <w:tcW w:w="449" w:type="dxa"/>
            <w:tcBorders>
              <w:bottom w:val="single" w:sz="4" w:space="0" w:color="auto"/>
            </w:tcBorders>
            <w:shd w:val="clear" w:color="auto" w:fill="auto"/>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04/10</w:t>
            </w:r>
          </w:p>
        </w:tc>
        <w:tc>
          <w:tcPr>
            <w:tcW w:w="360" w:type="dxa"/>
            <w:tcBorders>
              <w:bottom w:val="single" w:sz="4" w:space="0" w:color="auto"/>
              <w:right w:val="single" w:sz="18"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rPr>
            </w:pPr>
          </w:p>
          <w:p w:rsidR="00913A0A" w:rsidRPr="004B208C" w:rsidRDefault="00913A0A" w:rsidP="001A63C6">
            <w:pPr>
              <w:pStyle w:val="TableText"/>
              <w:widowControl w:val="0"/>
              <w:spacing w:before="12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2378E5">
            <w:pPr>
              <w:pStyle w:val="ProductNames"/>
              <w:spacing w:beforeLines="10" w:before="24" w:afterLines="10" w:after="24"/>
              <w:rPr>
                <w:rFonts w:ascii="Tahoma" w:hAnsi="Tahoma" w:cs="Tahoma"/>
                <w:b/>
                <w:sz w:val="14"/>
              </w:rPr>
            </w:pPr>
            <w:bookmarkStart w:id="434" w:name="_Toc336338087"/>
            <w:bookmarkStart w:id="435" w:name="_Toc370981214"/>
            <w:r w:rsidRPr="004B208C">
              <w:rPr>
                <w:rFonts w:ascii="Tahoma" w:hAnsi="Tahoma" w:cs="Tahoma"/>
                <w:sz w:val="14"/>
              </w:rPr>
              <w:t xml:space="preserve">Licença de Gerenciamento de Cliente (ML de Cliente) do System Center </w:t>
            </w:r>
            <w:r w:rsidRPr="004B208C">
              <w:rPr>
                <w:rFonts w:ascii="Tahoma" w:hAnsi="Tahoma" w:cs="Tahoma"/>
                <w:sz w:val="14"/>
              </w:rPr>
              <w:lastRenderedPageBreak/>
              <w:t>Service Manager 2010 por Usuário</w:t>
            </w:r>
            <w:bookmarkEnd w:id="434"/>
            <w:bookmarkEnd w:id="435"/>
          </w:p>
        </w:tc>
        <w:tc>
          <w:tcPr>
            <w:tcW w:w="449" w:type="dxa"/>
            <w:tcBorders>
              <w:bottom w:val="single" w:sz="4" w:space="0" w:color="auto"/>
            </w:tcBorders>
            <w:shd w:val="clear" w:color="auto" w:fill="FABF8F"/>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04/10</w:t>
            </w:r>
          </w:p>
        </w:tc>
        <w:tc>
          <w:tcPr>
            <w:tcW w:w="360" w:type="dxa"/>
            <w:tcBorders>
              <w:bottom w:val="single" w:sz="4" w:space="0" w:color="auto"/>
              <w:right w:val="single" w:sz="18"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rPr>
            </w:pPr>
          </w:p>
          <w:p w:rsidR="00913A0A" w:rsidRPr="004B208C" w:rsidRDefault="00913A0A" w:rsidP="001A63C6">
            <w:pPr>
              <w:pStyle w:val="TableText"/>
              <w:widowControl w:val="0"/>
              <w:spacing w:before="12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lastRenderedPageBreak/>
              <w:t>AO, ST</w:t>
            </w:r>
          </w:p>
        </w:tc>
        <w:tc>
          <w:tcPr>
            <w:tcW w:w="504"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tcPr>
          <w:p w:rsidR="00913A0A" w:rsidRPr="004B208C" w:rsidRDefault="00913A0A" w:rsidP="002378E5">
            <w:pPr>
              <w:pStyle w:val="Heading3"/>
              <w:spacing w:beforeLines="20" w:before="48" w:afterLines="20" w:after="48"/>
              <w:rPr>
                <w:rFonts w:ascii="Tahoma" w:hAnsi="Tahoma" w:cs="Tahoma"/>
                <w:b w:val="0"/>
                <w:sz w:val="14"/>
                <w:szCs w:val="16"/>
              </w:rPr>
            </w:pPr>
            <w:bookmarkStart w:id="436" w:name="_Toc336338088"/>
            <w:bookmarkStart w:id="437" w:name="_Toc370981215"/>
            <w:r w:rsidRPr="004B208C">
              <w:rPr>
                <w:rFonts w:ascii="Tahoma" w:hAnsi="Tahoma" w:cs="Tahoma"/>
                <w:b w:val="0"/>
                <w:sz w:val="14"/>
                <w:szCs w:val="16"/>
              </w:rPr>
              <w:lastRenderedPageBreak/>
              <w:t>Licença de Gerenciamento de Servidor (ML de Servidor) do System Center Service Manager 2010 por OSE</w:t>
            </w:r>
            <w:bookmarkEnd w:id="436"/>
            <w:bookmarkEnd w:id="437"/>
          </w:p>
        </w:tc>
        <w:tc>
          <w:tcPr>
            <w:tcW w:w="449" w:type="dxa"/>
            <w:tcBorders>
              <w:bottom w:val="single" w:sz="4" w:space="0" w:color="auto"/>
            </w:tcBorders>
            <w:shd w:val="clear" w:color="auto" w:fill="auto"/>
          </w:tcPr>
          <w:p w:rsidR="00913A0A" w:rsidRPr="003412D9" w:rsidRDefault="00913A0A" w:rsidP="001A63C6">
            <w:pPr>
              <w:pStyle w:val="TableText"/>
              <w:widowControl w:val="0"/>
              <w:spacing w:before="20" w:after="20"/>
              <w:rPr>
                <w:rStyle w:val="EndnoteReference"/>
                <w:rFonts w:cs="Tahoma"/>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20" w:after="20"/>
              <w:rPr>
                <w:rFonts w:ascii="Tahoma" w:hAnsi="Tahoma" w:cs="Tahoma"/>
                <w:sz w:val="13"/>
              </w:rPr>
            </w:pPr>
            <w:r w:rsidRPr="004B208C">
              <w:rPr>
                <w:rFonts w:ascii="Tahoma" w:hAnsi="Tahoma" w:cs="Tahoma"/>
                <w:sz w:val="13"/>
              </w:rPr>
              <w:t>04/10</w:t>
            </w:r>
          </w:p>
        </w:tc>
        <w:tc>
          <w:tcPr>
            <w:tcW w:w="360" w:type="dxa"/>
            <w:tcBorders>
              <w:bottom w:val="single" w:sz="4" w:space="0" w:color="auto"/>
              <w:right w:val="single" w:sz="18" w:space="0" w:color="auto"/>
            </w:tcBorders>
            <w:shd w:val="clear" w:color="auto" w:fill="auto"/>
          </w:tcPr>
          <w:p w:rsidR="00913A0A" w:rsidRPr="004B208C" w:rsidRDefault="00913A0A" w:rsidP="001A63C6">
            <w:pPr>
              <w:pStyle w:val="TableText"/>
              <w:widowControl w:val="0"/>
              <w:spacing w:before="20" w:after="2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rPr>
            </w:pPr>
          </w:p>
          <w:p w:rsidR="00913A0A" w:rsidRPr="004B208C" w:rsidRDefault="00913A0A" w:rsidP="001A63C6">
            <w:pPr>
              <w:pStyle w:val="TableText"/>
              <w:widowControl w:val="0"/>
              <w:spacing w:before="20" w:after="2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spacing w:before="20" w:after="2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tcPr>
          <w:p w:rsidR="00913A0A" w:rsidRPr="004B208C" w:rsidRDefault="00913A0A" w:rsidP="001A63C6">
            <w:pPr>
              <w:pStyle w:val="TableText"/>
              <w:widowControl w:val="0"/>
              <w:spacing w:before="20" w:after="2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spacing w:before="20" w:after="20"/>
              <w:rPr>
                <w:rFonts w:ascii="Tahoma" w:hAnsi="Tahoma" w:cs="Tahoma"/>
                <w:sz w:val="13"/>
              </w:rPr>
            </w:pPr>
          </w:p>
        </w:tc>
      </w:tr>
      <w:tr w:rsidR="00600C32" w:rsidRPr="004B208C" w:rsidTr="00515DFA">
        <w:trPr>
          <w:trHeight w:val="368"/>
        </w:trPr>
        <w:tc>
          <w:tcPr>
            <w:tcW w:w="2551" w:type="dxa"/>
            <w:gridSpan w:val="2"/>
            <w:tcBorders>
              <w:bottom w:val="single" w:sz="4" w:space="0" w:color="auto"/>
            </w:tcBorders>
            <w:shd w:val="clear" w:color="auto" w:fill="FABF8F"/>
            <w:vAlign w:val="center"/>
          </w:tcPr>
          <w:p w:rsidR="00913A0A" w:rsidRPr="004B208C" w:rsidRDefault="00913A0A" w:rsidP="00731EEF">
            <w:pPr>
              <w:pStyle w:val="ProductNames"/>
              <w:spacing w:beforeLines="20" w:before="48" w:afterLines="20" w:after="48"/>
              <w:rPr>
                <w:rFonts w:ascii="Tahoma" w:hAnsi="Tahoma" w:cs="Tahoma"/>
                <w:sz w:val="14"/>
              </w:rPr>
            </w:pPr>
            <w:bookmarkStart w:id="438" w:name="_Toc336338093"/>
            <w:bookmarkStart w:id="439" w:name="_Toc370981216"/>
            <w:r w:rsidRPr="004B208C">
              <w:rPr>
                <w:rFonts w:ascii="Tahoma" w:hAnsi="Tahoma" w:cs="Tahoma"/>
                <w:sz w:val="14"/>
                <w:szCs w:val="18"/>
              </w:rPr>
              <w:t>System Center 2012 R2 Client Management Suite (ML de Cliente) por</w:t>
            </w:r>
            <w:r w:rsidR="00731EEF">
              <w:rPr>
                <w:rFonts w:ascii="Tahoma" w:hAnsi="Tahoma" w:cs="Tahoma"/>
                <w:sz w:val="14"/>
                <w:szCs w:val="18"/>
              </w:rPr>
              <w:t> </w:t>
            </w:r>
            <w:r w:rsidRPr="004B208C">
              <w:rPr>
                <w:rFonts w:ascii="Tahoma" w:hAnsi="Tahoma" w:cs="Tahoma"/>
                <w:sz w:val="14"/>
                <w:szCs w:val="18"/>
              </w:rPr>
              <w:t>OSE</w:t>
            </w:r>
            <w:bookmarkEnd w:id="438"/>
            <w:bookmarkEnd w:id="439"/>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Fonts w:cs="Tahoma"/>
                <w:b/>
                <w:color w:val="000000"/>
                <w:sz w:val="13"/>
                <w:szCs w:val="13"/>
                <w:u w:val="single"/>
              </w:rPr>
            </w:pPr>
            <w:hyperlink w:anchor="_96_System_Center_1" w:history="1">
              <w:r w:rsidR="00CF5A3E" w:rsidRPr="003412D9">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24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35" w:type="dxa"/>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65" w:type="dxa"/>
            <w:gridSpan w:val="3"/>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365" w:type="dxa"/>
            <w:tcBorders>
              <w:bottom w:val="single" w:sz="4" w:space="0" w:color="auto"/>
              <w:right w:val="single" w:sz="18" w:space="0" w:color="auto"/>
            </w:tcBorders>
            <w:shd w:val="clear" w:color="auto" w:fill="FABF8F"/>
            <w:vAlign w:val="bottom"/>
          </w:tcPr>
          <w:p w:rsidR="00913A0A" w:rsidRPr="004B208C" w:rsidRDefault="00AD6873" w:rsidP="001A63C6">
            <w:pPr>
              <w:pStyle w:val="TableText"/>
              <w:widowControl w:val="0"/>
              <w:spacing w:after="120"/>
              <w:rPr>
                <w:rFonts w:ascii="Tahoma" w:hAnsi="Tahoma" w:cs="Tahoma"/>
                <w:sz w:val="13"/>
                <w:szCs w:val="13"/>
              </w:rPr>
            </w:pPr>
            <w:r w:rsidRPr="004B208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A, E</w:t>
            </w:r>
          </w:p>
        </w:tc>
        <w:tc>
          <w:tcPr>
            <w:tcW w:w="394" w:type="dxa"/>
            <w:tcBorders>
              <w:left w:val="single" w:sz="18" w:space="0" w:color="auto"/>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P</w:t>
            </w:r>
          </w:p>
        </w:tc>
        <w:tc>
          <w:tcPr>
            <w:tcW w:w="621" w:type="dxa"/>
            <w:tcBorders>
              <w:bottom w:val="single" w:sz="4" w:space="0" w:color="auto"/>
            </w:tcBorders>
            <w:shd w:val="clear" w:color="auto" w:fill="FABF8F"/>
          </w:tcPr>
          <w:p w:rsidR="00913A0A" w:rsidRPr="004B208C" w:rsidRDefault="00913A0A" w:rsidP="001A63C6">
            <w:pPr>
              <w:spacing w:before="240"/>
              <w:jc w:val="center"/>
              <w:rPr>
                <w:rFonts w:cs="Tahoma"/>
              </w:rPr>
            </w:pPr>
            <w:r w:rsidRPr="004B208C">
              <w:rPr>
                <w:rFonts w:cs="Tahoma"/>
                <w:sz w:val="13"/>
                <w:szCs w:val="13"/>
              </w:rPr>
              <w:t>AO, ST</w:t>
            </w:r>
          </w:p>
          <w:p w:rsidR="00913A0A" w:rsidRPr="004B208C" w:rsidRDefault="00913A0A" w:rsidP="001A63C6">
            <w:pPr>
              <w:pStyle w:val="TableText"/>
              <w:widowControl w:val="0"/>
              <w:rPr>
                <w:rFonts w:ascii="Tahoma" w:hAnsi="Tahoma" w:cs="Tahoma"/>
                <w:sz w:val="13"/>
                <w:szCs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34"/>
        </w:trPr>
        <w:tc>
          <w:tcPr>
            <w:tcW w:w="2551" w:type="dxa"/>
            <w:gridSpan w:val="2"/>
            <w:tcBorders>
              <w:bottom w:val="single" w:sz="4" w:space="0" w:color="auto"/>
            </w:tcBorders>
            <w:shd w:val="clear" w:color="auto" w:fill="auto"/>
            <w:vAlign w:val="center"/>
          </w:tcPr>
          <w:p w:rsidR="00913A0A" w:rsidRPr="004B208C" w:rsidRDefault="00913A0A" w:rsidP="00731EEF">
            <w:pPr>
              <w:pStyle w:val="ProductNames"/>
              <w:spacing w:beforeLines="20" w:before="48" w:afterLines="20" w:after="48"/>
              <w:rPr>
                <w:rFonts w:ascii="Tahoma" w:hAnsi="Tahoma" w:cs="Tahoma"/>
                <w:sz w:val="14"/>
              </w:rPr>
            </w:pPr>
            <w:bookmarkStart w:id="440" w:name="_Toc336338094"/>
            <w:bookmarkStart w:id="441" w:name="_Toc370981217"/>
            <w:r w:rsidRPr="004B208C">
              <w:rPr>
                <w:rFonts w:ascii="Tahoma" w:hAnsi="Tahoma" w:cs="Tahoma"/>
                <w:sz w:val="14"/>
                <w:szCs w:val="18"/>
              </w:rPr>
              <w:t>System Center 2012 R2 Client Management Suite (ML de Cliente) por</w:t>
            </w:r>
            <w:r w:rsidR="00731EEF">
              <w:rPr>
                <w:rFonts w:ascii="Tahoma" w:hAnsi="Tahoma" w:cs="Tahoma"/>
                <w:sz w:val="14"/>
                <w:szCs w:val="18"/>
              </w:rPr>
              <w:t> </w:t>
            </w:r>
            <w:r w:rsidRPr="004B208C">
              <w:rPr>
                <w:rFonts w:ascii="Tahoma" w:hAnsi="Tahoma" w:cs="Tahoma"/>
                <w:sz w:val="14"/>
                <w:szCs w:val="18"/>
              </w:rPr>
              <w:t>Usuário</w:t>
            </w:r>
            <w:bookmarkEnd w:id="440"/>
            <w:bookmarkEnd w:id="441"/>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rPr>
                <w:rFonts w:cs="Tahoma"/>
                <w:b/>
                <w:color w:val="000000"/>
                <w:sz w:val="13"/>
                <w:szCs w:val="13"/>
                <w:u w:val="single"/>
              </w:rPr>
            </w:pPr>
            <w:hyperlink w:anchor="_96_System_Center_1" w:history="1">
              <w:r w:rsidR="00C84F74" w:rsidRPr="003412D9">
                <w:rPr>
                  <w:rStyle w:val="Hyperlink"/>
                  <w:rFonts w:cs="Tahoma"/>
                  <w:b/>
                  <w:sz w:val="13"/>
                  <w:szCs w:val="13"/>
                </w:rPr>
                <w:t>96</w:t>
              </w:r>
            </w:hyperlink>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24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35" w:type="dxa"/>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65" w:type="dxa"/>
            <w:gridSpan w:val="3"/>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365" w:type="dxa"/>
            <w:tcBorders>
              <w:bottom w:val="single" w:sz="4" w:space="0" w:color="auto"/>
              <w:right w:val="single" w:sz="18" w:space="0" w:color="auto"/>
            </w:tcBorders>
            <w:shd w:val="clear" w:color="auto" w:fill="auto"/>
            <w:vAlign w:val="bottom"/>
          </w:tcPr>
          <w:p w:rsidR="00913A0A" w:rsidRPr="004B208C" w:rsidRDefault="00AD6873" w:rsidP="001A63C6">
            <w:pPr>
              <w:pStyle w:val="TableText"/>
              <w:widowControl w:val="0"/>
              <w:spacing w:after="120"/>
              <w:rPr>
                <w:rFonts w:ascii="Tahoma" w:hAnsi="Tahoma" w:cs="Tahoma"/>
                <w:sz w:val="13"/>
                <w:szCs w:val="13"/>
              </w:rPr>
            </w:pPr>
            <w:r w:rsidRPr="004B208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34"/>
        </w:trPr>
        <w:tc>
          <w:tcPr>
            <w:tcW w:w="2551" w:type="dxa"/>
            <w:gridSpan w:val="2"/>
            <w:tcBorders>
              <w:bottom w:val="single" w:sz="4" w:space="0" w:color="auto"/>
            </w:tcBorders>
            <w:shd w:val="clear" w:color="auto" w:fill="FABF8F"/>
            <w:vAlign w:val="center"/>
          </w:tcPr>
          <w:p w:rsidR="00913A0A" w:rsidRPr="004B208C" w:rsidRDefault="00913A0A" w:rsidP="00731EEF">
            <w:pPr>
              <w:pStyle w:val="ProductNames"/>
              <w:spacing w:beforeLines="20" w:before="48" w:afterLines="20" w:after="48"/>
              <w:rPr>
                <w:rFonts w:ascii="Tahoma" w:hAnsi="Tahoma" w:cs="Tahoma"/>
                <w:sz w:val="14"/>
              </w:rPr>
            </w:pPr>
            <w:bookmarkStart w:id="442" w:name="_Toc336338095"/>
            <w:bookmarkStart w:id="443" w:name="_Toc370981218"/>
            <w:r w:rsidRPr="004B208C">
              <w:rPr>
                <w:rFonts w:ascii="Tahoma" w:hAnsi="Tahoma" w:cs="Tahoma"/>
                <w:sz w:val="14"/>
                <w:szCs w:val="14"/>
              </w:rPr>
              <w:t>Licença de Gerenciamento de Cliente do System Center 2012 R2 Configuration Manager (ML de Cliente) (Somente para</w:t>
            </w:r>
            <w:r w:rsidR="00731EEF">
              <w:rPr>
                <w:rFonts w:ascii="Tahoma" w:hAnsi="Tahoma" w:cs="Tahoma"/>
                <w:sz w:val="14"/>
                <w:szCs w:val="14"/>
              </w:rPr>
              <w:t> </w:t>
            </w:r>
            <w:r w:rsidRPr="004B208C">
              <w:rPr>
                <w:rFonts w:ascii="Tahoma" w:hAnsi="Tahoma" w:cs="Tahoma"/>
                <w:sz w:val="14"/>
                <w:szCs w:val="14"/>
              </w:rPr>
              <w:t>Aluno)</w:t>
            </w:r>
            <w:bookmarkEnd w:id="442"/>
            <w:bookmarkEnd w:id="443"/>
          </w:p>
        </w:tc>
        <w:tc>
          <w:tcPr>
            <w:tcW w:w="449" w:type="dxa"/>
            <w:tcBorders>
              <w:bottom w:val="single" w:sz="4" w:space="0" w:color="auto"/>
            </w:tcBorders>
            <w:shd w:val="clear" w:color="auto" w:fill="FABF8F"/>
            <w:vAlign w:val="center"/>
          </w:tcPr>
          <w:p w:rsidR="00913A0A" w:rsidRPr="003412D9" w:rsidRDefault="00C70EF2" w:rsidP="0054317D">
            <w:pPr>
              <w:pStyle w:val="TableText"/>
              <w:widowControl w:val="0"/>
              <w:rPr>
                <w:rFonts w:cs="Tahoma"/>
                <w:b/>
                <w:color w:val="000000"/>
                <w:sz w:val="13"/>
                <w:szCs w:val="13"/>
                <w:u w:val="single"/>
              </w:rPr>
            </w:pPr>
            <w:hyperlink w:anchor="_97_System_Center_1" w:history="1">
              <w:r w:rsidR="00CF5A3E" w:rsidRPr="003412D9">
                <w:rPr>
                  <w:rStyle w:val="Hyperlink"/>
                  <w:rFonts w:cs="Tahoma"/>
                  <w:b/>
                  <w:sz w:val="13"/>
                  <w:szCs w:val="13"/>
                </w:rPr>
                <w:t>97</w:t>
              </w:r>
            </w:hyperlink>
            <w:hyperlink w:anchor="_91_89_System" w:history="1"/>
            <w:hyperlink w:anchor="Srv_101SystemCenter2012"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24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35" w:type="dxa"/>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65" w:type="dxa"/>
            <w:gridSpan w:val="3"/>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365" w:type="dxa"/>
            <w:tcBorders>
              <w:bottom w:val="single" w:sz="4" w:space="0" w:color="auto"/>
              <w:right w:val="single" w:sz="18" w:space="0" w:color="auto"/>
            </w:tcBorders>
            <w:shd w:val="clear" w:color="auto" w:fill="FABF8F"/>
            <w:vAlign w:val="bottom"/>
          </w:tcPr>
          <w:p w:rsidR="00913A0A" w:rsidRPr="004B208C" w:rsidRDefault="00AD6873" w:rsidP="001A63C6">
            <w:pPr>
              <w:pStyle w:val="TableText"/>
              <w:widowControl w:val="0"/>
              <w:spacing w:after="120"/>
              <w:rPr>
                <w:rFonts w:ascii="Tahoma" w:hAnsi="Tahoma" w:cs="Tahoma"/>
                <w:sz w:val="13"/>
                <w:szCs w:val="13"/>
              </w:rPr>
            </w:pPr>
            <w:r w:rsidRPr="004B208C">
              <w:rPr>
                <w:rFonts w:ascii="Tahoma" w:hAnsi="Tahoma" w:cs="Tahoma"/>
                <w:sz w:val="13"/>
                <w:szCs w:val="13"/>
              </w:rPr>
              <w:t xml:space="preserve"> </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34"/>
        </w:trPr>
        <w:tc>
          <w:tcPr>
            <w:tcW w:w="2551" w:type="dxa"/>
            <w:gridSpan w:val="2"/>
            <w:tcBorders>
              <w:bottom w:val="single" w:sz="4" w:space="0" w:color="auto"/>
            </w:tcBorders>
            <w:shd w:val="clear" w:color="auto" w:fill="auto"/>
            <w:vAlign w:val="center"/>
          </w:tcPr>
          <w:p w:rsidR="00913A0A" w:rsidRPr="004B208C" w:rsidRDefault="00913A0A" w:rsidP="002378E5">
            <w:pPr>
              <w:pStyle w:val="ProductNames"/>
              <w:spacing w:beforeLines="20" w:before="48" w:afterLines="20" w:after="48"/>
              <w:rPr>
                <w:rFonts w:ascii="Tahoma" w:hAnsi="Tahoma" w:cs="Tahoma"/>
                <w:sz w:val="14"/>
              </w:rPr>
            </w:pPr>
            <w:bookmarkStart w:id="444" w:name="_Toc336338096"/>
            <w:bookmarkStart w:id="445" w:name="_Toc370981219"/>
            <w:r w:rsidRPr="004B208C">
              <w:rPr>
                <w:rFonts w:ascii="Tahoma" w:hAnsi="Tahoma" w:cs="Tahoma"/>
                <w:sz w:val="14"/>
              </w:rPr>
              <w:t>Licença de Gerenciamento de Cliente do System Center 2012 R2 Configuration Manager por OSE</w:t>
            </w:r>
            <w:bookmarkEnd w:id="444"/>
            <w:bookmarkEnd w:id="445"/>
          </w:p>
        </w:tc>
        <w:tc>
          <w:tcPr>
            <w:tcW w:w="449" w:type="dxa"/>
            <w:tcBorders>
              <w:bottom w:val="single" w:sz="4" w:space="0" w:color="auto"/>
            </w:tcBorders>
            <w:shd w:val="clear" w:color="auto" w:fill="auto"/>
            <w:vAlign w:val="center"/>
          </w:tcPr>
          <w:p w:rsidR="00913A0A" w:rsidRPr="003412D9" w:rsidRDefault="00C70EF2" w:rsidP="0054317D">
            <w:pPr>
              <w:pStyle w:val="TableText"/>
              <w:widowControl w:val="0"/>
              <w:rPr>
                <w:rFonts w:cs="Tahoma"/>
                <w:b/>
                <w:color w:val="000000"/>
                <w:sz w:val="13"/>
                <w:szCs w:val="13"/>
                <w:u w:val="single"/>
              </w:rPr>
            </w:pPr>
            <w:hyperlink w:anchor="_97_System_Center_1" w:history="1">
              <w:r w:rsidR="00C84F74" w:rsidRPr="003412D9">
                <w:rPr>
                  <w:rStyle w:val="Hyperlink"/>
                  <w:rFonts w:cs="Tahoma"/>
                  <w:b/>
                  <w:sz w:val="13"/>
                  <w:szCs w:val="13"/>
                </w:rPr>
                <w:t>97</w:t>
              </w:r>
            </w:hyperlink>
            <w:hyperlink w:anchor="_91_89_System" w:history="1"/>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24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w:t>
            </w:r>
          </w:p>
        </w:tc>
        <w:tc>
          <w:tcPr>
            <w:tcW w:w="435" w:type="dxa"/>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65" w:type="dxa"/>
            <w:gridSpan w:val="3"/>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365"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24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34"/>
        </w:trPr>
        <w:tc>
          <w:tcPr>
            <w:tcW w:w="2551" w:type="dxa"/>
            <w:gridSpan w:val="2"/>
            <w:tcBorders>
              <w:bottom w:val="single" w:sz="4" w:space="0" w:color="auto"/>
            </w:tcBorders>
            <w:shd w:val="clear" w:color="auto" w:fill="FABF8F"/>
            <w:vAlign w:val="center"/>
          </w:tcPr>
          <w:p w:rsidR="00913A0A" w:rsidRPr="004B208C" w:rsidRDefault="00913A0A" w:rsidP="002378E5">
            <w:pPr>
              <w:pStyle w:val="ProductNames"/>
              <w:spacing w:beforeLines="20" w:before="48" w:afterLines="20" w:after="48"/>
              <w:rPr>
                <w:rFonts w:ascii="Tahoma" w:hAnsi="Tahoma" w:cs="Tahoma"/>
                <w:sz w:val="14"/>
              </w:rPr>
            </w:pPr>
            <w:bookmarkStart w:id="446" w:name="_Toc336338097"/>
            <w:bookmarkStart w:id="447" w:name="_Toc370981220"/>
            <w:r w:rsidRPr="004B208C">
              <w:rPr>
                <w:rFonts w:ascii="Tahoma" w:hAnsi="Tahoma" w:cs="Tahoma"/>
                <w:sz w:val="14"/>
              </w:rPr>
              <w:t>Licença de Gerenciamento de Cliente do System Center 2012 R2 Configuration Manager por Usuário</w:t>
            </w:r>
            <w:bookmarkEnd w:id="446"/>
            <w:bookmarkEnd w:id="447"/>
          </w:p>
        </w:tc>
        <w:tc>
          <w:tcPr>
            <w:tcW w:w="449" w:type="dxa"/>
            <w:tcBorders>
              <w:bottom w:val="single" w:sz="4" w:space="0" w:color="auto"/>
            </w:tcBorders>
            <w:shd w:val="clear" w:color="auto" w:fill="FABF8F"/>
            <w:vAlign w:val="center"/>
          </w:tcPr>
          <w:p w:rsidR="00913A0A" w:rsidRPr="003412D9" w:rsidRDefault="00C70EF2" w:rsidP="0054317D">
            <w:pPr>
              <w:pStyle w:val="TableText"/>
              <w:widowControl w:val="0"/>
              <w:rPr>
                <w:rFonts w:cs="Tahoma"/>
                <w:b/>
                <w:color w:val="000000"/>
                <w:sz w:val="13"/>
                <w:szCs w:val="13"/>
                <w:u w:val="single"/>
              </w:rPr>
            </w:pPr>
            <w:hyperlink w:anchor="_97_System_Center_1" w:history="1">
              <w:r w:rsidR="00C84F74" w:rsidRPr="003412D9">
                <w:rPr>
                  <w:rStyle w:val="Hyperlink"/>
                  <w:rFonts w:cs="Tahoma"/>
                  <w:b/>
                  <w:sz w:val="13"/>
                  <w:szCs w:val="13"/>
                </w:rPr>
                <w:t>97</w:t>
              </w:r>
            </w:hyperlink>
            <w:hyperlink w:anchor="_91_89_System" w:history="1"/>
            <w:hyperlink w:anchor="Srv_101SystemCenter2012" w:history="1"/>
          </w:p>
        </w:tc>
        <w:tc>
          <w:tcPr>
            <w:tcW w:w="449" w:type="dxa"/>
            <w:tcBorders>
              <w:bottom w:val="single" w:sz="4" w:space="0" w:color="auto"/>
            </w:tcBorders>
            <w:shd w:val="clear" w:color="auto" w:fill="FABF8F"/>
          </w:tcPr>
          <w:p w:rsidR="00913A0A" w:rsidRPr="004B208C" w:rsidRDefault="00913A0A" w:rsidP="001A63C6">
            <w:pPr>
              <w:pStyle w:val="TableText"/>
              <w:widowControl w:val="0"/>
              <w:spacing w:before="24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w:t>
            </w:r>
          </w:p>
        </w:tc>
        <w:tc>
          <w:tcPr>
            <w:tcW w:w="435" w:type="dxa"/>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65" w:type="dxa"/>
            <w:gridSpan w:val="3"/>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gridSpan w:val="2"/>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365"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E</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spacing w:before="24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134"/>
        </w:trPr>
        <w:tc>
          <w:tcPr>
            <w:tcW w:w="2551" w:type="dxa"/>
            <w:gridSpan w:val="2"/>
            <w:tcBorders>
              <w:bottom w:val="single" w:sz="4" w:space="0" w:color="auto"/>
            </w:tcBorders>
            <w:shd w:val="clear" w:color="auto" w:fill="auto"/>
          </w:tcPr>
          <w:p w:rsidR="00913A0A" w:rsidRPr="004B208C" w:rsidRDefault="00913A0A" w:rsidP="00731EEF">
            <w:pPr>
              <w:pStyle w:val="ProductNames"/>
              <w:spacing w:beforeLines="20" w:before="48" w:afterLines="20" w:after="48"/>
              <w:rPr>
                <w:rFonts w:ascii="Tahoma" w:hAnsi="Tahoma" w:cs="Tahoma"/>
                <w:sz w:val="14"/>
              </w:rPr>
            </w:pPr>
            <w:bookmarkStart w:id="448" w:name="_Toc336338098"/>
            <w:bookmarkStart w:id="449" w:name="_Toc370981221"/>
            <w:r w:rsidRPr="004B208C">
              <w:rPr>
                <w:rFonts w:ascii="Tahoma" w:hAnsi="Tahoma" w:cs="Tahoma"/>
                <w:sz w:val="14"/>
              </w:rPr>
              <w:t>Licença de Gerenciamento do System Center 2012 R2 Datacenter Server (2</w:t>
            </w:r>
            <w:r w:rsidR="00731EEF">
              <w:rPr>
                <w:rFonts w:ascii="Tahoma" w:hAnsi="Tahoma" w:cs="Tahoma"/>
                <w:sz w:val="14"/>
              </w:rPr>
              <w:t> </w:t>
            </w:r>
            <w:r w:rsidRPr="004B208C">
              <w:rPr>
                <w:rFonts w:ascii="Tahoma" w:hAnsi="Tahoma" w:cs="Tahoma"/>
                <w:sz w:val="14"/>
              </w:rPr>
              <w:t>processadores)</w:t>
            </w:r>
            <w:bookmarkEnd w:id="448"/>
            <w:bookmarkEnd w:id="449"/>
          </w:p>
        </w:tc>
        <w:tc>
          <w:tcPr>
            <w:tcW w:w="449" w:type="dxa"/>
            <w:tcBorders>
              <w:bottom w:val="single" w:sz="4" w:space="0" w:color="auto"/>
            </w:tcBorders>
            <w:shd w:val="clear" w:color="auto" w:fill="auto"/>
            <w:vAlign w:val="center"/>
          </w:tcPr>
          <w:p w:rsidR="00913A0A" w:rsidRPr="003412D9" w:rsidRDefault="00C70EF2" w:rsidP="0054317D">
            <w:pPr>
              <w:pStyle w:val="TableText"/>
              <w:widowControl w:val="0"/>
              <w:rPr>
                <w:rFonts w:cs="Tahoma"/>
                <w:b/>
                <w:color w:val="000000"/>
                <w:sz w:val="13"/>
                <w:szCs w:val="13"/>
                <w:u w:val="single"/>
              </w:rPr>
            </w:pPr>
            <w:hyperlink w:anchor="_96_System_Center" w:history="1">
              <w:r w:rsidR="00CF5A3E" w:rsidRPr="003412D9">
                <w:rPr>
                  <w:rStyle w:val="Hyperlink"/>
                  <w:rFonts w:cs="Tahoma"/>
                  <w:b/>
                  <w:sz w:val="13"/>
                  <w:szCs w:val="13"/>
                </w:rPr>
                <w:t>94</w:t>
              </w:r>
            </w:hyperlink>
            <w:hyperlink w:anchor="_91_89_System" w:history="1"/>
            <w:hyperlink w:anchor="Srv_101SystemCenter2012" w:history="1"/>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63</w:t>
            </w:r>
          </w:p>
        </w:tc>
        <w:tc>
          <w:tcPr>
            <w:tcW w:w="435" w:type="dxa"/>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50</w:t>
            </w:r>
          </w:p>
        </w:tc>
        <w:tc>
          <w:tcPr>
            <w:tcW w:w="465" w:type="dxa"/>
            <w:gridSpan w:val="3"/>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38</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38</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25</w:t>
            </w:r>
          </w:p>
        </w:tc>
        <w:tc>
          <w:tcPr>
            <w:tcW w:w="365"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 C</w:t>
            </w:r>
          </w:p>
        </w:tc>
      </w:tr>
      <w:tr w:rsidR="00600C32" w:rsidRPr="004B208C" w:rsidTr="00916AA6">
        <w:trPr>
          <w:trHeight w:val="134"/>
        </w:trPr>
        <w:tc>
          <w:tcPr>
            <w:tcW w:w="2551" w:type="dxa"/>
            <w:gridSpan w:val="2"/>
            <w:tcBorders>
              <w:bottom w:val="single" w:sz="4" w:space="0" w:color="auto"/>
            </w:tcBorders>
            <w:shd w:val="clear" w:color="auto" w:fill="FABF8F"/>
            <w:vAlign w:val="center"/>
          </w:tcPr>
          <w:p w:rsidR="00913A0A" w:rsidRPr="004B208C" w:rsidRDefault="00913A0A" w:rsidP="007E466C">
            <w:pPr>
              <w:pStyle w:val="ProductNames"/>
              <w:spacing w:before="60" w:after="60"/>
              <w:rPr>
                <w:rFonts w:ascii="Tahoma" w:hAnsi="Tahoma" w:cs="Tahoma"/>
                <w:sz w:val="14"/>
              </w:rPr>
            </w:pPr>
            <w:bookmarkStart w:id="450" w:name="_Toc370981222"/>
            <w:r w:rsidRPr="004B208C">
              <w:rPr>
                <w:rFonts w:ascii="Tahoma" w:hAnsi="Tahoma" w:cs="Tahoma"/>
                <w:sz w:val="14"/>
              </w:rPr>
              <w:t>System Center 2012 R2 Endpoint Protection</w:t>
            </w:r>
            <w:bookmarkEnd w:id="450"/>
          </w:p>
        </w:tc>
        <w:tc>
          <w:tcPr>
            <w:tcW w:w="449" w:type="dxa"/>
            <w:tcBorders>
              <w:bottom w:val="single" w:sz="4" w:space="0" w:color="auto"/>
            </w:tcBorders>
            <w:shd w:val="clear" w:color="auto" w:fill="FABF8F"/>
            <w:vAlign w:val="center"/>
          </w:tcPr>
          <w:p w:rsidR="00913A0A" w:rsidRPr="003412D9" w:rsidRDefault="00C70EF2" w:rsidP="0054317D">
            <w:pPr>
              <w:pStyle w:val="TableText"/>
              <w:widowControl w:val="0"/>
              <w:rPr>
                <w:rFonts w:cs="Tahoma"/>
                <w:b/>
                <w:color w:val="000000"/>
                <w:sz w:val="13"/>
                <w:szCs w:val="13"/>
                <w:u w:val="single"/>
              </w:rPr>
            </w:pPr>
            <w:hyperlink w:anchor="_97_System_Center" w:history="1">
              <w:r w:rsidR="00CF5A3E" w:rsidRPr="003412D9">
                <w:rPr>
                  <w:rStyle w:val="Hyperlink"/>
                  <w:rFonts w:cs="Tahoma"/>
                  <w:b/>
                  <w:sz w:val="13"/>
                  <w:szCs w:val="13"/>
                </w:rPr>
                <w:t>98</w:t>
              </w:r>
            </w:hyperlink>
            <w:hyperlink w:anchor="Srv_102SysCtr2012EndpointProt" w:history="1"/>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7E466C">
            <w:pPr>
              <w:pStyle w:val="TableText"/>
              <w:widowControl w:val="0"/>
              <w:rPr>
                <w:rFonts w:ascii="Tahoma" w:hAnsi="Tahoma" w:cs="Tahoma"/>
                <w:sz w:val="13"/>
                <w:szCs w:val="13"/>
              </w:rPr>
            </w:pPr>
            <w:r w:rsidRPr="004B208C">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913A0A" w:rsidRPr="004B208C" w:rsidRDefault="00913A0A"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7E466C">
            <w:pPr>
              <w:pStyle w:val="TableText"/>
              <w:widowControl w:val="0"/>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913A0A" w:rsidRPr="004B208C" w:rsidRDefault="00913A0A" w:rsidP="007E466C">
            <w:pPr>
              <w:pStyle w:val="TableText"/>
              <w:widowControl w:val="0"/>
              <w:rPr>
                <w:rFonts w:ascii="Tahoma" w:hAnsi="Tahoma" w:cs="Tahoma"/>
                <w:sz w:val="13"/>
              </w:rPr>
            </w:pPr>
            <w:r w:rsidRPr="004B208C">
              <w:rPr>
                <w:rFonts w:ascii="Tahoma" w:hAnsi="Tahoma" w:cs="Tahoma"/>
                <w:sz w:val="13"/>
              </w:rPr>
              <w:t>AO, 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34"/>
        </w:trPr>
        <w:tc>
          <w:tcPr>
            <w:tcW w:w="2551" w:type="dxa"/>
            <w:gridSpan w:val="2"/>
            <w:tcBorders>
              <w:bottom w:val="single" w:sz="4" w:space="0" w:color="auto"/>
            </w:tcBorders>
            <w:shd w:val="clear" w:color="auto" w:fill="auto"/>
          </w:tcPr>
          <w:p w:rsidR="00913A0A" w:rsidRPr="004B208C" w:rsidRDefault="00913A0A" w:rsidP="00731EEF">
            <w:pPr>
              <w:pStyle w:val="ProductNames"/>
              <w:spacing w:beforeLines="20" w:before="48" w:afterLines="20" w:after="48"/>
              <w:rPr>
                <w:rFonts w:ascii="Tahoma" w:hAnsi="Tahoma" w:cs="Tahoma"/>
                <w:sz w:val="14"/>
              </w:rPr>
            </w:pPr>
            <w:bookmarkStart w:id="451" w:name="_Toc336338100"/>
            <w:bookmarkStart w:id="452" w:name="_Toc370981223"/>
            <w:r w:rsidRPr="004B208C">
              <w:rPr>
                <w:rFonts w:ascii="Tahoma" w:hAnsi="Tahoma" w:cs="Tahoma"/>
                <w:sz w:val="14"/>
              </w:rPr>
              <w:t>Licença de Gerenciamento do System Center 2012 R2 Standard Server (2</w:t>
            </w:r>
            <w:r w:rsidR="00731EEF">
              <w:rPr>
                <w:rFonts w:ascii="Tahoma" w:hAnsi="Tahoma" w:cs="Tahoma"/>
                <w:sz w:val="14"/>
              </w:rPr>
              <w:t> </w:t>
            </w:r>
            <w:r w:rsidRPr="004B208C">
              <w:rPr>
                <w:rFonts w:ascii="Tahoma" w:hAnsi="Tahoma" w:cs="Tahoma"/>
                <w:sz w:val="14"/>
              </w:rPr>
              <w:t>processadores)</w:t>
            </w:r>
            <w:bookmarkEnd w:id="451"/>
            <w:bookmarkEnd w:id="452"/>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spacing w:before="240"/>
              <w:rPr>
                <w:rFonts w:cs="Tahoma"/>
                <w:b/>
                <w:color w:val="000000"/>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38</w:t>
            </w:r>
          </w:p>
        </w:tc>
        <w:tc>
          <w:tcPr>
            <w:tcW w:w="435" w:type="dxa"/>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30</w:t>
            </w:r>
          </w:p>
        </w:tc>
        <w:tc>
          <w:tcPr>
            <w:tcW w:w="465" w:type="dxa"/>
            <w:gridSpan w:val="3"/>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23</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23</w:t>
            </w:r>
          </w:p>
        </w:tc>
        <w:tc>
          <w:tcPr>
            <w:tcW w:w="450" w:type="dxa"/>
            <w:gridSpan w:val="2"/>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15</w:t>
            </w:r>
          </w:p>
        </w:tc>
        <w:tc>
          <w:tcPr>
            <w:tcW w:w="365"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spacing w:before="12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 C</w:t>
            </w:r>
          </w:p>
        </w:tc>
      </w:tr>
      <w:tr w:rsidR="00600C32" w:rsidRPr="004B208C" w:rsidTr="00916AA6">
        <w:trPr>
          <w:trHeight w:val="145"/>
        </w:trPr>
        <w:tc>
          <w:tcPr>
            <w:tcW w:w="2551" w:type="dxa"/>
            <w:gridSpan w:val="2"/>
            <w:tcBorders>
              <w:bottom w:val="single" w:sz="4" w:space="0" w:color="auto"/>
            </w:tcBorders>
            <w:shd w:val="clear" w:color="auto" w:fill="FABF8F"/>
          </w:tcPr>
          <w:p w:rsidR="00913A0A" w:rsidRPr="004B208C" w:rsidRDefault="00913A0A" w:rsidP="002378E5">
            <w:pPr>
              <w:pStyle w:val="Heading2"/>
              <w:spacing w:beforeLines="20" w:before="48" w:afterLines="20" w:after="48"/>
              <w:ind w:left="0"/>
              <w:rPr>
                <w:rFonts w:ascii="Tahoma" w:hAnsi="Tahoma" w:cs="Tahoma"/>
                <w:b w:val="0"/>
                <w:sz w:val="14"/>
                <w:szCs w:val="14"/>
              </w:rPr>
            </w:pPr>
            <w:bookmarkStart w:id="453" w:name="_Toc336338102"/>
            <w:bookmarkStart w:id="454" w:name="_Toc370981224"/>
            <w:r w:rsidRPr="004B208C">
              <w:rPr>
                <w:rFonts w:ascii="Tahoma" w:hAnsi="Tahoma" w:cs="Tahoma"/>
                <w:b w:val="0"/>
                <w:sz w:val="14"/>
                <w:szCs w:val="14"/>
              </w:rPr>
              <w:t>VDI Suite</w:t>
            </w:r>
            <w:bookmarkEnd w:id="453"/>
            <w:bookmarkEnd w:id="454"/>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Fonts w:cs="Tahoma"/>
                <w:b/>
                <w:sz w:val="13"/>
                <w:szCs w:val="13"/>
                <w:u w:val="single"/>
              </w:rPr>
            </w:pPr>
          </w:p>
        </w:tc>
        <w:tc>
          <w:tcPr>
            <w:tcW w:w="449"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2941" w:type="dxa"/>
            <w:gridSpan w:val="13"/>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1 ponto</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P</w:t>
            </w:r>
          </w:p>
        </w:tc>
        <w:tc>
          <w:tcPr>
            <w:tcW w:w="621" w:type="dxa"/>
            <w:tcBorders>
              <w:bottom w:val="single" w:sz="4" w:space="0" w:color="auto"/>
            </w:tcBorders>
            <w:shd w:val="clear" w:color="auto" w:fill="FABF8F"/>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A,ST</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916AA6">
        <w:trPr>
          <w:trHeight w:val="215"/>
        </w:trPr>
        <w:tc>
          <w:tcPr>
            <w:tcW w:w="2551" w:type="dxa"/>
            <w:gridSpan w:val="2"/>
            <w:tcBorders>
              <w:bottom w:val="single" w:sz="4" w:space="0" w:color="auto"/>
            </w:tcBorders>
            <w:shd w:val="clear" w:color="auto" w:fill="auto"/>
          </w:tcPr>
          <w:p w:rsidR="00913A0A" w:rsidRPr="004B208C" w:rsidRDefault="00913A0A" w:rsidP="002378E5">
            <w:pPr>
              <w:pStyle w:val="Heading2"/>
              <w:spacing w:beforeLines="20" w:before="48" w:afterLines="20" w:after="48"/>
              <w:ind w:left="0"/>
              <w:rPr>
                <w:rFonts w:ascii="Tahoma" w:hAnsi="Tahoma" w:cs="Tahoma"/>
                <w:b w:val="0"/>
                <w:sz w:val="14"/>
                <w:szCs w:val="14"/>
              </w:rPr>
            </w:pPr>
            <w:bookmarkStart w:id="455" w:name="_Toc336338103"/>
            <w:bookmarkStart w:id="456" w:name="_Toc370981225"/>
            <w:r w:rsidRPr="004B208C">
              <w:rPr>
                <w:rFonts w:ascii="Tahoma" w:hAnsi="Tahoma" w:cs="Tahoma"/>
                <w:b w:val="0"/>
                <w:sz w:val="14"/>
                <w:szCs w:val="14"/>
              </w:rPr>
              <w:t>VDI Suite com MDOP</w:t>
            </w:r>
            <w:bookmarkEnd w:id="455"/>
            <w:bookmarkEnd w:id="456"/>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Fonts w:cs="Tahoma"/>
                <w:b/>
                <w:sz w:val="13"/>
                <w:szCs w:val="13"/>
                <w:u w:val="single"/>
              </w:rPr>
            </w:pPr>
          </w:p>
        </w:tc>
        <w:tc>
          <w:tcPr>
            <w:tcW w:w="449"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2941" w:type="dxa"/>
            <w:gridSpan w:val="13"/>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1 ponto</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E, P</w:t>
            </w:r>
          </w:p>
        </w:tc>
        <w:tc>
          <w:tcPr>
            <w:tcW w:w="621" w:type="dxa"/>
            <w:tcBorders>
              <w:bottom w:val="single" w:sz="4" w:space="0" w:color="auto"/>
            </w:tcBorders>
            <w:shd w:val="clear" w:color="auto" w:fill="auto"/>
          </w:tcPr>
          <w:p w:rsidR="00913A0A" w:rsidRPr="004B208C" w:rsidRDefault="00913A0A" w:rsidP="001A63C6">
            <w:pPr>
              <w:pStyle w:val="TableText"/>
              <w:rPr>
                <w:rFonts w:ascii="Tahoma" w:hAnsi="Tahoma" w:cs="Tahoma"/>
                <w:sz w:val="13"/>
                <w:szCs w:val="13"/>
              </w:rPr>
            </w:pPr>
            <w:r w:rsidRPr="004B208C">
              <w:rPr>
                <w:rFonts w:ascii="Tahoma" w:hAnsi="Tahoma" w:cs="Tahoma"/>
                <w:sz w:val="13"/>
                <w:szCs w:val="13"/>
              </w:rPr>
              <w:t>A,ST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tcPr>
          <w:p w:rsidR="00913A0A" w:rsidRPr="004B208C" w:rsidRDefault="00913A0A" w:rsidP="002378E5">
            <w:pPr>
              <w:pStyle w:val="Heading2"/>
              <w:spacing w:beforeLines="20" w:before="48" w:afterLines="20" w:after="48"/>
              <w:ind w:left="0"/>
              <w:rPr>
                <w:rFonts w:ascii="Tahoma" w:hAnsi="Tahoma" w:cs="Tahoma"/>
                <w:b w:val="0"/>
                <w:sz w:val="14"/>
                <w:szCs w:val="14"/>
              </w:rPr>
            </w:pPr>
            <w:bookmarkStart w:id="457" w:name="_Toc336338108"/>
            <w:bookmarkStart w:id="458" w:name="_Toc370981226"/>
            <w:r w:rsidRPr="004B208C">
              <w:rPr>
                <w:rFonts w:ascii="Tahoma" w:hAnsi="Tahoma" w:cs="Tahoma"/>
                <w:b w:val="0"/>
                <w:sz w:val="14"/>
                <w:szCs w:val="14"/>
              </w:rPr>
              <w:t>Virtual Server 2005 R2 Enterprise Edition</w:t>
            </w:r>
            <w:bookmarkEnd w:id="457"/>
            <w:bookmarkEnd w:id="458"/>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szCs w:val="14"/>
              </w:rPr>
            </w:pPr>
            <w:bookmarkStart w:id="459" w:name="_Toc336338109"/>
            <w:bookmarkStart w:id="460" w:name="_Toc370981227"/>
            <w:r w:rsidRPr="004B208C">
              <w:rPr>
                <w:rFonts w:ascii="Tahoma" w:hAnsi="Tahoma" w:cs="Tahoma"/>
                <w:b w:val="0"/>
                <w:sz w:val="14"/>
                <w:szCs w:val="14"/>
              </w:rPr>
              <w:t>Visual Studio</w:t>
            </w:r>
            <w:r w:rsidR="00172F11" w:rsidRPr="00172F11">
              <w:rPr>
                <w:rFonts w:ascii="Tahoma" w:eastAsia="Times New Roman" w:hAnsi="Tahoma" w:cs="Tahoma"/>
                <w:b w:val="0"/>
                <w:color w:val="000000"/>
                <w:sz w:val="14"/>
                <w:szCs w:val="14"/>
                <w:vertAlign w:val="superscript"/>
              </w:rPr>
              <w:t>®</w:t>
            </w:r>
            <w:r w:rsidRPr="004B208C">
              <w:rPr>
                <w:rFonts w:ascii="Tahoma" w:hAnsi="Tahoma" w:cs="Tahoma"/>
                <w:b w:val="0"/>
                <w:sz w:val="14"/>
                <w:szCs w:val="14"/>
              </w:rPr>
              <w:t xml:space="preserve"> Team Foundation Server 2013 com Tecnologia SQL Server 2012</w:t>
            </w:r>
            <w:bookmarkEnd w:id="459"/>
            <w:bookmarkEnd w:id="460"/>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2378E5">
            <w:pPr>
              <w:pStyle w:val="Heading2"/>
              <w:spacing w:beforeLines="20" w:before="48" w:afterLines="20" w:after="48"/>
              <w:ind w:left="0"/>
              <w:rPr>
                <w:rFonts w:ascii="Tahoma" w:hAnsi="Tahoma" w:cs="Tahoma"/>
                <w:b w:val="0"/>
                <w:sz w:val="14"/>
                <w:szCs w:val="14"/>
              </w:rPr>
            </w:pPr>
            <w:bookmarkStart w:id="461" w:name="_Toc254805933"/>
            <w:bookmarkStart w:id="462" w:name="_Toc336338110"/>
            <w:bookmarkStart w:id="463" w:name="_Toc370981228"/>
            <w:r w:rsidRPr="004B208C">
              <w:rPr>
                <w:rFonts w:ascii="Tahoma" w:hAnsi="Tahoma" w:cs="Tahoma"/>
                <w:b w:val="0"/>
                <w:sz w:val="14"/>
                <w:szCs w:val="14"/>
              </w:rPr>
              <w:t>CAL do Dispositivo do Visual Studio</w:t>
            </w:r>
            <w:r w:rsidR="00172F11" w:rsidRPr="00172F11">
              <w:rPr>
                <w:rFonts w:ascii="Tahoma" w:hAnsi="Tahoma" w:cs="Tahoma"/>
                <w:b w:val="0"/>
                <w:sz w:val="14"/>
                <w:szCs w:val="14"/>
                <w:vertAlign w:val="superscript"/>
              </w:rPr>
              <w:t>®</w:t>
            </w:r>
            <w:r w:rsidRPr="004B208C">
              <w:rPr>
                <w:rFonts w:ascii="Tahoma" w:hAnsi="Tahoma" w:cs="Tahoma"/>
                <w:b w:val="0"/>
                <w:sz w:val="14"/>
                <w:szCs w:val="14"/>
              </w:rPr>
              <w:t xml:space="preserve"> Team Foundation Server 2013</w:t>
            </w:r>
            <w:bookmarkEnd w:id="461"/>
            <w:bookmarkEnd w:id="462"/>
            <w:bookmarkEnd w:id="463"/>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sz w:val="13"/>
                <w:szCs w:val="13"/>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0981229"/>
            <w:r w:rsidRPr="004B208C">
              <w:rPr>
                <w:rFonts w:ascii="Tahoma" w:hAnsi="Tahoma" w:cs="Tahoma"/>
                <w:b w:val="0"/>
                <w:sz w:val="14"/>
                <w:szCs w:val="14"/>
              </w:rPr>
              <w:t>CAL do Usuário do Visual Studio</w:t>
            </w:r>
            <w:r w:rsidR="00172F11" w:rsidRPr="00172F11">
              <w:rPr>
                <w:rFonts w:ascii="Tahoma" w:hAnsi="Tahoma" w:cs="Tahoma"/>
                <w:b w:val="0"/>
                <w:sz w:val="14"/>
                <w:szCs w:val="14"/>
                <w:vertAlign w:val="superscript"/>
              </w:rPr>
              <w:t>®</w:t>
            </w:r>
            <w:r w:rsidRPr="004B208C">
              <w:rPr>
                <w:rFonts w:ascii="Tahoma" w:hAnsi="Tahoma" w:cs="Tahoma"/>
                <w:b w:val="0"/>
                <w:sz w:val="14"/>
                <w:szCs w:val="14"/>
              </w:rPr>
              <w:t xml:space="preserve"> Team Foundation Server 2013</w:t>
            </w:r>
            <w:bookmarkEnd w:id="464"/>
            <w:bookmarkEnd w:id="465"/>
            <w:bookmarkEnd w:id="466"/>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spacing w:after="120"/>
              <w:rPr>
                <w:rFonts w:ascii="Tahoma" w:hAnsi="Tahoma" w:cs="Tahoma"/>
                <w:sz w:val="13"/>
                <w:szCs w:val="13"/>
              </w:rPr>
            </w:pPr>
            <w:r w:rsidRPr="004B208C">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S</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STP</w:t>
            </w:r>
          </w:p>
        </w:tc>
      </w:tr>
      <w:tr w:rsidR="00600C32" w:rsidRPr="004B208C" w:rsidTr="00515DFA">
        <w:trPr>
          <w:trHeight w:val="287"/>
        </w:trPr>
        <w:tc>
          <w:tcPr>
            <w:tcW w:w="2551" w:type="dxa"/>
            <w:gridSpan w:val="2"/>
            <w:tcBorders>
              <w:bottom w:val="single" w:sz="4" w:space="0" w:color="auto"/>
            </w:tcBorders>
            <w:shd w:val="clear" w:color="auto" w:fill="FABF8F"/>
            <w:vAlign w:val="center"/>
          </w:tcPr>
          <w:p w:rsidR="00913A0A" w:rsidRPr="004B208C" w:rsidRDefault="00913A0A" w:rsidP="00731EEF">
            <w:pPr>
              <w:pStyle w:val="Heading2"/>
              <w:spacing w:beforeLines="20" w:before="48" w:afterLines="20" w:after="48"/>
              <w:ind w:left="0"/>
              <w:rPr>
                <w:rFonts w:ascii="Tahoma" w:hAnsi="Tahoma" w:cs="Tahoma"/>
                <w:b w:val="0"/>
                <w:sz w:val="14"/>
              </w:rPr>
            </w:pPr>
            <w:bookmarkStart w:id="467" w:name="_Toc370981230"/>
            <w:r w:rsidRPr="004B208C">
              <w:rPr>
                <w:rFonts w:ascii="Tahoma" w:hAnsi="Tahoma" w:cs="Tahoma"/>
                <w:b w:val="0"/>
                <w:sz w:val="14"/>
              </w:rPr>
              <w:t>Gerenciamento de Direitos do Active Directory do Windows Azure (SL</w:t>
            </w:r>
            <w:r w:rsidR="00731EEF">
              <w:rPr>
                <w:rFonts w:ascii="Tahoma" w:hAnsi="Tahoma" w:cs="Tahoma"/>
                <w:b w:val="0"/>
                <w:sz w:val="14"/>
              </w:rPr>
              <w:t> </w:t>
            </w:r>
            <w:r w:rsidRPr="004B208C">
              <w:rPr>
                <w:rFonts w:ascii="Tahoma" w:hAnsi="Tahoma" w:cs="Tahoma"/>
                <w:b w:val="0"/>
                <w:sz w:val="14"/>
              </w:rPr>
              <w:t>de</w:t>
            </w:r>
            <w:r w:rsidR="00731EEF">
              <w:rPr>
                <w:rFonts w:ascii="Tahoma" w:hAnsi="Tahoma" w:cs="Tahoma"/>
                <w:b w:val="0"/>
                <w:sz w:val="14"/>
              </w:rPr>
              <w:t> </w:t>
            </w:r>
            <w:r w:rsidRPr="004B208C">
              <w:rPr>
                <w:rFonts w:ascii="Tahoma" w:hAnsi="Tahoma" w:cs="Tahoma"/>
                <w:b w:val="0"/>
                <w:sz w:val="14"/>
              </w:rPr>
              <w:t>Usuário)</w:t>
            </w:r>
            <w:bookmarkEnd w:id="467"/>
          </w:p>
        </w:tc>
        <w:tc>
          <w:tcPr>
            <w:tcW w:w="449" w:type="dxa"/>
            <w:tcBorders>
              <w:bottom w:val="single" w:sz="4" w:space="0" w:color="auto"/>
            </w:tcBorders>
            <w:shd w:val="clear" w:color="auto" w:fill="FABF8F"/>
            <w:vAlign w:val="center"/>
          </w:tcPr>
          <w:p w:rsidR="00913A0A" w:rsidRPr="003412D9" w:rsidRDefault="00913A0A" w:rsidP="00FC4741">
            <w:pPr>
              <w:pStyle w:val="TableText"/>
              <w:widowControl w:val="0"/>
              <w:spacing w:before="100" w:beforeAutospacing="1"/>
              <w:rPr>
                <w:rFonts w:cs="Tahoma"/>
                <w:sz w:val="13"/>
                <w:szCs w:val="13"/>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trHeight w:val="287"/>
        </w:trPr>
        <w:tc>
          <w:tcPr>
            <w:tcW w:w="2551" w:type="dxa"/>
            <w:gridSpan w:val="2"/>
            <w:tcBorders>
              <w:bottom w:val="single" w:sz="4" w:space="0" w:color="auto"/>
            </w:tcBorders>
            <w:shd w:val="clear" w:color="auto" w:fill="auto"/>
            <w:vAlign w:val="center"/>
          </w:tcPr>
          <w:p w:rsidR="00ED3095" w:rsidRPr="004B208C" w:rsidRDefault="00ED3095" w:rsidP="002378E5">
            <w:pPr>
              <w:pStyle w:val="Heading2"/>
              <w:spacing w:beforeLines="20" w:before="48" w:afterLines="20" w:after="48"/>
              <w:ind w:left="0"/>
              <w:rPr>
                <w:rFonts w:ascii="Tahoma" w:hAnsi="Tahoma" w:cs="Tahoma"/>
                <w:b w:val="0"/>
                <w:sz w:val="14"/>
              </w:rPr>
            </w:pPr>
            <w:bookmarkStart w:id="468" w:name="_Toc370981231"/>
            <w:r w:rsidRPr="004B208C">
              <w:rPr>
                <w:rFonts w:ascii="Tahoma" w:hAnsi="Tahoma" w:cs="Tahoma"/>
                <w:b w:val="0"/>
                <w:sz w:val="14"/>
              </w:rPr>
              <w:t>Gerenciamento de Direitos do Active Directory do Windows Azure Academic (SL de Usuário)</w:t>
            </w:r>
            <w:bookmarkEnd w:id="468"/>
          </w:p>
        </w:tc>
        <w:tc>
          <w:tcPr>
            <w:tcW w:w="449" w:type="dxa"/>
            <w:tcBorders>
              <w:bottom w:val="single" w:sz="4" w:space="0" w:color="auto"/>
            </w:tcBorders>
            <w:shd w:val="clear" w:color="auto" w:fill="auto"/>
            <w:vAlign w:val="center"/>
          </w:tcPr>
          <w:p w:rsidR="00ED3095" w:rsidRPr="003412D9" w:rsidRDefault="00ED3095" w:rsidP="00FC4741">
            <w:pPr>
              <w:pStyle w:val="TableText"/>
              <w:widowControl w:val="0"/>
              <w:spacing w:before="100" w:beforeAutospacing="1"/>
              <w:rPr>
                <w:rFonts w:cs="Tahoma"/>
                <w:sz w:val="13"/>
                <w:szCs w:val="13"/>
              </w:rPr>
            </w:pPr>
          </w:p>
        </w:tc>
        <w:tc>
          <w:tcPr>
            <w:tcW w:w="449" w:type="dxa"/>
            <w:tcBorders>
              <w:bottom w:val="single" w:sz="4" w:space="0" w:color="auto"/>
            </w:tcBorders>
            <w:shd w:val="clear" w:color="auto" w:fill="auto"/>
            <w:vAlign w:val="center"/>
          </w:tcPr>
          <w:p w:rsidR="00ED3095" w:rsidRPr="004B208C" w:rsidRDefault="00ED3095" w:rsidP="001A63C6">
            <w:pPr>
              <w:pStyle w:val="TableText"/>
              <w:widowControl w:val="0"/>
              <w:spacing w:before="80"/>
              <w:rPr>
                <w:rFonts w:ascii="Tahoma" w:hAnsi="Tahoma" w:cs="Tahoma"/>
                <w:sz w:val="13"/>
              </w:rPr>
            </w:pPr>
            <w:r w:rsidRPr="004B208C">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ED3095" w:rsidRPr="004B208C" w:rsidRDefault="00ED3095" w:rsidP="001A63C6">
            <w:pPr>
              <w:pStyle w:val="TableText"/>
              <w:widowControl w:val="0"/>
              <w:rPr>
                <w:rFonts w:ascii="Tahoma" w:hAnsi="Tahoma" w:cs="Tahoma"/>
                <w:sz w:val="13"/>
              </w:rPr>
            </w:pPr>
            <w:r w:rsidRPr="004B208C">
              <w:rPr>
                <w:rFonts w:ascii="Tahoma" w:hAnsi="Tahoma" w:cs="Tahoma"/>
                <w:sz w:val="13"/>
              </w:rPr>
              <w:t>A, ST (Somente EES)</w:t>
            </w:r>
          </w:p>
        </w:tc>
        <w:tc>
          <w:tcPr>
            <w:tcW w:w="504" w:type="dxa"/>
            <w:tcBorders>
              <w:bottom w:val="single" w:sz="4" w:space="0" w:color="auto"/>
            </w:tcBorders>
            <w:shd w:val="clear" w:color="auto" w:fill="auto"/>
            <w:vAlign w:val="center"/>
          </w:tcPr>
          <w:p w:rsidR="00ED3095" w:rsidRPr="004B208C" w:rsidRDefault="00ED3095"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rsidR="00ED3095" w:rsidRPr="004B208C" w:rsidRDefault="00ED3095"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FABF8F"/>
            <w:vAlign w:val="center"/>
          </w:tcPr>
          <w:p w:rsidR="00913A0A" w:rsidRPr="004B208C" w:rsidRDefault="00913A0A" w:rsidP="00731EEF">
            <w:pPr>
              <w:pStyle w:val="Heading2"/>
              <w:spacing w:beforeLines="20" w:before="48" w:afterLines="20" w:after="48"/>
              <w:ind w:left="0"/>
              <w:rPr>
                <w:rFonts w:ascii="Tahoma" w:hAnsi="Tahoma" w:cs="Tahoma"/>
                <w:b w:val="0"/>
                <w:sz w:val="14"/>
              </w:rPr>
            </w:pPr>
            <w:bookmarkStart w:id="469" w:name="_Toc370981232"/>
            <w:r w:rsidRPr="004B208C">
              <w:rPr>
                <w:rFonts w:ascii="Tahoma" w:hAnsi="Tahoma" w:cs="Tahoma"/>
                <w:b w:val="0"/>
                <w:sz w:val="14"/>
              </w:rPr>
              <w:t>Complemento de Gerenciamento de</w:t>
            </w:r>
            <w:r w:rsidR="00731EEF">
              <w:rPr>
                <w:rFonts w:ascii="Tahoma" w:hAnsi="Tahoma" w:cs="Tahoma"/>
                <w:b w:val="0"/>
                <w:sz w:val="14"/>
              </w:rPr>
              <w:t> </w:t>
            </w:r>
            <w:r w:rsidRPr="004B208C">
              <w:rPr>
                <w:rFonts w:ascii="Tahoma" w:hAnsi="Tahoma" w:cs="Tahoma"/>
                <w:b w:val="0"/>
                <w:sz w:val="14"/>
              </w:rPr>
              <w:t>Direitos do Active Directory do Windows Azure (SL de Usuário)</w:t>
            </w:r>
            <w:bookmarkEnd w:id="469"/>
          </w:p>
        </w:tc>
        <w:tc>
          <w:tcPr>
            <w:tcW w:w="449" w:type="dxa"/>
            <w:tcBorders>
              <w:bottom w:val="single" w:sz="4" w:space="0" w:color="auto"/>
            </w:tcBorders>
            <w:shd w:val="clear" w:color="auto" w:fill="FABF8F"/>
            <w:vAlign w:val="center"/>
          </w:tcPr>
          <w:p w:rsidR="00913A0A" w:rsidRPr="003412D9" w:rsidRDefault="00C70EF2" w:rsidP="00FC4741">
            <w:pPr>
              <w:pStyle w:val="TableText"/>
              <w:widowControl w:val="0"/>
              <w:spacing w:before="100" w:beforeAutospacing="1"/>
              <w:rPr>
                <w:rFonts w:cs="Tahoma"/>
                <w:b/>
                <w:sz w:val="13"/>
                <w:szCs w:val="13"/>
              </w:rPr>
            </w:pPr>
            <w:hyperlink w:anchor="_7_Add-on_User" w:history="1">
              <w:r w:rsidR="00CF5A3E" w:rsidRPr="003412D9">
                <w:rPr>
                  <w:rStyle w:val="Hyperlink"/>
                  <w:rFonts w:cs="Tahoma"/>
                  <w:b/>
                  <w:sz w:val="13"/>
                  <w:szCs w:val="13"/>
                </w:rPr>
                <w:t>7</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auto"/>
            <w:vAlign w:val="center"/>
          </w:tcPr>
          <w:p w:rsidR="00913A0A" w:rsidRPr="004B208C" w:rsidRDefault="00913A0A" w:rsidP="002378E5">
            <w:pPr>
              <w:pStyle w:val="Heading2"/>
              <w:spacing w:beforeLines="20" w:before="48" w:afterLines="20" w:after="48"/>
              <w:ind w:left="0"/>
              <w:rPr>
                <w:rFonts w:ascii="Tahoma" w:hAnsi="Tahoma" w:cs="Tahoma"/>
                <w:b w:val="0"/>
                <w:sz w:val="14"/>
              </w:rPr>
            </w:pPr>
            <w:bookmarkStart w:id="470" w:name="_Toc336338114"/>
            <w:bookmarkStart w:id="471" w:name="_Toc370981233"/>
            <w:r w:rsidRPr="004B208C">
              <w:rPr>
                <w:rFonts w:ascii="Tahoma" w:hAnsi="Tahoma" w:cs="Tahoma"/>
                <w:b w:val="0"/>
                <w:sz w:val="14"/>
              </w:rPr>
              <w:t>Serviços do Windows Azure</w:t>
            </w:r>
            <w:bookmarkEnd w:id="470"/>
            <w:bookmarkEnd w:id="471"/>
          </w:p>
        </w:tc>
        <w:tc>
          <w:tcPr>
            <w:tcW w:w="449" w:type="dxa"/>
            <w:tcBorders>
              <w:bottom w:val="single" w:sz="4" w:space="0" w:color="auto"/>
            </w:tcBorders>
            <w:shd w:val="clear" w:color="auto" w:fill="auto"/>
            <w:vAlign w:val="center"/>
          </w:tcPr>
          <w:p w:rsidR="00913A0A" w:rsidRPr="003412D9" w:rsidRDefault="00C70EF2" w:rsidP="005720DF">
            <w:pPr>
              <w:pStyle w:val="TableText"/>
              <w:widowControl w:val="0"/>
              <w:spacing w:before="100" w:beforeAutospacing="1"/>
              <w:rPr>
                <w:rFonts w:cs="Tahoma"/>
                <w:b/>
                <w:color w:val="0000FF"/>
                <w:sz w:val="13"/>
                <w:szCs w:val="13"/>
                <w:u w:val="single"/>
              </w:rPr>
            </w:pPr>
            <w:hyperlink w:anchor="_105_Windows_Azure" w:history="1">
              <w:r w:rsidR="00CF5A3E" w:rsidRPr="003412D9">
                <w:rPr>
                  <w:rStyle w:val="Hyperlink"/>
                  <w:rFonts w:cs="Tahoma"/>
                  <w:b/>
                  <w:sz w:val="13"/>
                  <w:szCs w:val="13"/>
                </w:rPr>
                <w:t>99</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rsidR="00913A0A" w:rsidRPr="004B208C" w:rsidRDefault="002C4BA9" w:rsidP="001A63C6">
            <w:pPr>
              <w:pStyle w:val="TableText"/>
              <w:widowControl w:val="0"/>
              <w:rPr>
                <w:rFonts w:ascii="Tahoma" w:hAnsi="Tahoma" w:cs="Tahoma"/>
                <w:sz w:val="13"/>
              </w:rPr>
            </w:pPr>
            <w:r w:rsidRPr="004B208C">
              <w:rPr>
                <w:rFonts w:ascii="Tahoma" w:hAnsi="Tahoma" w:cs="Tahoma"/>
                <w:sz w:val="13"/>
              </w:rPr>
              <w:t>A</w:t>
            </w:r>
          </w:p>
        </w:tc>
      </w:tr>
      <w:tr w:rsidR="00600C32" w:rsidRPr="004B208C" w:rsidTr="00515DFA">
        <w:trPr>
          <w:cantSplit/>
          <w:trHeight w:val="152"/>
        </w:trPr>
        <w:tc>
          <w:tcPr>
            <w:tcW w:w="2551" w:type="dxa"/>
            <w:gridSpan w:val="2"/>
            <w:tcBorders>
              <w:bottom w:val="single" w:sz="4" w:space="0" w:color="auto"/>
            </w:tcBorders>
            <w:shd w:val="clear" w:color="auto" w:fill="FABF8F"/>
            <w:vAlign w:val="center"/>
          </w:tcPr>
          <w:p w:rsidR="00913A0A" w:rsidRPr="004B208C" w:rsidRDefault="00913A0A" w:rsidP="00731EEF">
            <w:pPr>
              <w:pStyle w:val="Heading2"/>
              <w:spacing w:before="20" w:after="20"/>
              <w:ind w:left="0"/>
              <w:rPr>
                <w:rFonts w:ascii="Tahoma" w:hAnsi="Tahoma" w:cs="Tahoma"/>
                <w:b w:val="0"/>
                <w:sz w:val="14"/>
                <w:szCs w:val="14"/>
              </w:rPr>
            </w:pPr>
            <w:bookmarkStart w:id="472" w:name="_Toc336338115"/>
            <w:bookmarkStart w:id="473" w:name="_Toc370981234"/>
            <w:r w:rsidRPr="004B208C">
              <w:rPr>
                <w:rFonts w:ascii="Tahoma" w:hAnsi="Tahoma" w:cs="Tahoma"/>
                <w:b w:val="0"/>
                <w:sz w:val="14"/>
              </w:rPr>
              <w:t>Windows</w:t>
            </w:r>
            <w:r w:rsidR="00172F11" w:rsidRPr="00172F11">
              <w:rPr>
                <w:rFonts w:ascii="Tahoma" w:hAnsi="Tahoma" w:cs="Tahoma"/>
                <w:b w:val="0"/>
                <w:sz w:val="14"/>
                <w:vertAlign w:val="superscript"/>
              </w:rPr>
              <w:t>®</w:t>
            </w:r>
            <w:r w:rsidRPr="004B208C">
              <w:rPr>
                <w:rFonts w:ascii="Tahoma" w:hAnsi="Tahoma" w:cs="Tahoma"/>
                <w:b w:val="0"/>
                <w:sz w:val="14"/>
              </w:rPr>
              <w:t xml:space="preserve"> Embedded Device Manager</w:t>
            </w:r>
            <w:r w:rsidR="00731EEF">
              <w:rPr>
                <w:rFonts w:ascii="Tahoma" w:hAnsi="Tahoma" w:cs="Tahoma"/>
                <w:b w:val="0"/>
                <w:sz w:val="14"/>
              </w:rPr>
              <w:t> </w:t>
            </w:r>
            <w:r w:rsidRPr="004B208C">
              <w:rPr>
                <w:rFonts w:ascii="Tahoma" w:hAnsi="Tahoma" w:cs="Tahoma"/>
                <w:b w:val="0"/>
                <w:sz w:val="14"/>
              </w:rPr>
              <w:t>2011</w:t>
            </w:r>
            <w:bookmarkEnd w:id="472"/>
            <w:bookmarkEnd w:id="473"/>
          </w:p>
        </w:tc>
        <w:tc>
          <w:tcPr>
            <w:tcW w:w="449" w:type="dxa"/>
            <w:tcBorders>
              <w:bottom w:val="single" w:sz="4" w:space="0" w:color="auto"/>
            </w:tcBorders>
            <w:shd w:val="clear" w:color="auto" w:fill="FABF8F"/>
            <w:vAlign w:val="center"/>
          </w:tcPr>
          <w:p w:rsidR="00913A0A" w:rsidRPr="003412D9" w:rsidRDefault="00C70EF2" w:rsidP="005720DF">
            <w:pPr>
              <w:pStyle w:val="TableText"/>
              <w:widowControl w:val="0"/>
              <w:spacing w:before="100" w:beforeAutospacing="1"/>
              <w:rPr>
                <w:rFonts w:cs="Tahoma"/>
                <w:b/>
                <w:color w:val="0000FF"/>
                <w:sz w:val="13"/>
                <w:szCs w:val="13"/>
                <w:u w:val="single"/>
              </w:rPr>
            </w:pPr>
            <w:hyperlink w:anchor="_98_Windows_Embedded" w:history="1">
              <w:r w:rsidR="00CF5A3E" w:rsidRPr="003412D9">
                <w:rPr>
                  <w:rStyle w:val="Hyperlink"/>
                  <w:rFonts w:cs="Tahoma"/>
                  <w:b/>
                  <w:sz w:val="13"/>
                  <w:szCs w:val="13"/>
                </w:rPr>
                <w:t>100</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auto"/>
            <w:vAlign w:val="center"/>
          </w:tcPr>
          <w:p w:rsidR="00913A0A" w:rsidRPr="004B208C" w:rsidRDefault="00913A0A" w:rsidP="00C84F74">
            <w:pPr>
              <w:pStyle w:val="Heading2"/>
              <w:spacing w:before="20" w:after="20"/>
              <w:ind w:left="0"/>
              <w:rPr>
                <w:rFonts w:ascii="Tahoma" w:hAnsi="Tahoma" w:cs="Tahoma"/>
                <w:b w:val="0"/>
                <w:sz w:val="14"/>
                <w:szCs w:val="14"/>
              </w:rPr>
            </w:pPr>
            <w:bookmarkStart w:id="474" w:name="_Toc336338116"/>
            <w:bookmarkStart w:id="475" w:name="_Toc370981235"/>
            <w:r w:rsidRPr="004B208C">
              <w:rPr>
                <w:rFonts w:ascii="Tahoma" w:hAnsi="Tahoma" w:cs="Tahoma"/>
                <w:b w:val="0"/>
                <w:sz w:val="14"/>
              </w:rPr>
              <w:t>Licença de Gerenciamento de Cliente do</w:t>
            </w:r>
            <w:r w:rsidR="00C84F74">
              <w:rPr>
                <w:rFonts w:ascii="Tahoma" w:hAnsi="Tahoma" w:cs="Tahoma"/>
                <w:b w:val="0"/>
                <w:sz w:val="14"/>
              </w:rPr>
              <w:t> </w:t>
            </w:r>
            <w:r w:rsidRPr="004B208C">
              <w:rPr>
                <w:rFonts w:ascii="Tahoma" w:hAnsi="Tahoma" w:cs="Tahoma"/>
                <w:b w:val="0"/>
                <w:sz w:val="14"/>
              </w:rPr>
              <w:t>Windows</w:t>
            </w:r>
            <w:r w:rsidR="00172F11" w:rsidRPr="00172F11">
              <w:rPr>
                <w:rFonts w:ascii="Tahoma" w:hAnsi="Tahoma" w:cs="Tahoma"/>
                <w:b w:val="0"/>
                <w:sz w:val="14"/>
                <w:vertAlign w:val="superscript"/>
              </w:rPr>
              <w:t>®</w:t>
            </w:r>
            <w:r w:rsidRPr="004B208C">
              <w:rPr>
                <w:rFonts w:ascii="Tahoma" w:hAnsi="Tahoma" w:cs="Tahoma"/>
                <w:b w:val="0"/>
                <w:sz w:val="14"/>
              </w:rPr>
              <w:t xml:space="preserve"> Embedded Device Manager 2011 por OSE</w:t>
            </w:r>
            <w:bookmarkEnd w:id="474"/>
            <w:bookmarkEnd w:id="475"/>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spacing w:before="100" w:beforeAutospacing="1"/>
              <w:rPr>
                <w:rFonts w:cs="Tahoma"/>
                <w:b/>
                <w:color w:val="0000FF"/>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FABF8F"/>
            <w:vAlign w:val="center"/>
          </w:tcPr>
          <w:p w:rsidR="00913A0A" w:rsidRPr="004B208C" w:rsidRDefault="00913A0A" w:rsidP="00C84F74">
            <w:pPr>
              <w:pStyle w:val="Heading2"/>
              <w:spacing w:before="20" w:after="20"/>
              <w:ind w:left="0"/>
              <w:rPr>
                <w:rFonts w:ascii="Tahoma" w:hAnsi="Tahoma" w:cs="Tahoma"/>
                <w:b w:val="0"/>
                <w:sz w:val="14"/>
                <w:szCs w:val="14"/>
              </w:rPr>
            </w:pPr>
            <w:bookmarkStart w:id="476" w:name="_Toc336338117"/>
            <w:bookmarkStart w:id="477" w:name="_Toc370981236"/>
            <w:r w:rsidRPr="004B208C">
              <w:rPr>
                <w:rFonts w:ascii="Tahoma" w:hAnsi="Tahoma" w:cs="Tahoma"/>
                <w:b w:val="0"/>
                <w:sz w:val="14"/>
              </w:rPr>
              <w:t>Licença de Gerenciamento de Cliente do</w:t>
            </w:r>
            <w:r w:rsidR="00C84F74">
              <w:rPr>
                <w:rFonts w:ascii="Tahoma" w:hAnsi="Tahoma" w:cs="Tahoma"/>
                <w:b w:val="0"/>
                <w:sz w:val="14"/>
              </w:rPr>
              <w:t> </w:t>
            </w:r>
            <w:r w:rsidRPr="004B208C">
              <w:rPr>
                <w:rFonts w:ascii="Tahoma" w:hAnsi="Tahoma" w:cs="Tahoma"/>
                <w:b w:val="0"/>
                <w:sz w:val="14"/>
              </w:rPr>
              <w:t>Windows</w:t>
            </w:r>
            <w:r w:rsidR="00172F11" w:rsidRPr="00172F11">
              <w:rPr>
                <w:rFonts w:ascii="Tahoma" w:hAnsi="Tahoma" w:cs="Tahoma"/>
                <w:b w:val="0"/>
                <w:sz w:val="14"/>
                <w:vertAlign w:val="superscript"/>
              </w:rPr>
              <w:t>®</w:t>
            </w:r>
            <w:r w:rsidRPr="004B208C">
              <w:rPr>
                <w:rFonts w:ascii="Tahoma" w:hAnsi="Tahoma" w:cs="Tahoma"/>
                <w:b w:val="0"/>
                <w:sz w:val="14"/>
              </w:rPr>
              <w:t xml:space="preserve"> Embedded Device Manager 2011 por Usuário</w:t>
            </w:r>
            <w:bookmarkEnd w:id="476"/>
            <w:bookmarkEnd w:id="477"/>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spacing w:before="100" w:beforeAutospacing="1"/>
              <w:rPr>
                <w:rFonts w:cs="Tahoma"/>
                <w:b/>
                <w:color w:val="0000FF"/>
                <w:sz w:val="13"/>
                <w:szCs w:val="13"/>
              </w:rPr>
            </w:pPr>
            <w:hyperlink w:anchor="_96_Windows_Embedded" w:history="1">
              <w:r w:rsidR="00CF5A3E" w:rsidRPr="003412D9">
                <w:rPr>
                  <w:rStyle w:val="Hyperlink"/>
                  <w:rFonts w:cs="Tahoma"/>
                  <w:b/>
                  <w:sz w:val="13"/>
                  <w:szCs w:val="13"/>
                </w:rPr>
                <w:t>101</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478" w:name="_Toc336338118"/>
            <w:bookmarkStart w:id="479" w:name="_Toc370981237"/>
            <w:r w:rsidRPr="004B208C">
              <w:rPr>
                <w:rFonts w:ascii="Tahoma" w:hAnsi="Tahoma" w:cs="Tahoma"/>
                <w:b w:val="0"/>
                <w:sz w:val="14"/>
              </w:rPr>
              <w:lastRenderedPageBreak/>
              <w:t>Windows</w:t>
            </w:r>
            <w:r w:rsidR="00172F11" w:rsidRPr="00172F11">
              <w:rPr>
                <w:rFonts w:ascii="Tahoma" w:hAnsi="Tahoma" w:cs="Tahoma"/>
                <w:b w:val="0"/>
                <w:sz w:val="14"/>
                <w:vertAlign w:val="superscript"/>
              </w:rPr>
              <w:t>®</w:t>
            </w:r>
            <w:r w:rsidRPr="004B208C">
              <w:rPr>
                <w:rFonts w:ascii="Tahoma" w:hAnsi="Tahoma" w:cs="Tahoma"/>
                <w:b w:val="0"/>
                <w:sz w:val="14"/>
              </w:rPr>
              <w:t xml:space="preserve"> Embedded Device Manager 2011 com Tecnologia SQL Server</w:t>
            </w:r>
            <w:r w:rsidR="00172F11" w:rsidRPr="00172F11">
              <w:rPr>
                <w:rFonts w:ascii="Tahoma" w:hAnsi="Tahoma" w:cs="Tahoma"/>
                <w:b w:val="0"/>
                <w:sz w:val="14"/>
                <w:vertAlign w:val="superscript"/>
              </w:rPr>
              <w:t>®</w:t>
            </w:r>
            <w:r w:rsidRPr="004B208C">
              <w:rPr>
                <w:rFonts w:ascii="Tahoma" w:hAnsi="Tahoma" w:cs="Tahoma"/>
                <w:b w:val="0"/>
                <w:sz w:val="14"/>
              </w:rPr>
              <w:t xml:space="preserve"> 2008</w:t>
            </w:r>
            <w:bookmarkEnd w:id="478"/>
            <w:bookmarkEnd w:id="479"/>
          </w:p>
        </w:tc>
        <w:tc>
          <w:tcPr>
            <w:tcW w:w="449" w:type="dxa"/>
            <w:tcBorders>
              <w:bottom w:val="single" w:sz="4" w:space="0" w:color="auto"/>
            </w:tcBorders>
            <w:shd w:val="clear" w:color="auto" w:fill="auto"/>
            <w:vAlign w:val="center"/>
          </w:tcPr>
          <w:p w:rsidR="00913A0A" w:rsidRPr="003412D9" w:rsidRDefault="00C70EF2" w:rsidP="00ED1DE2">
            <w:pPr>
              <w:pStyle w:val="TableText"/>
              <w:widowControl w:val="0"/>
              <w:spacing w:before="100" w:beforeAutospacing="1"/>
              <w:rPr>
                <w:rFonts w:cs="Tahoma"/>
                <w:b/>
                <w:color w:val="0000FF"/>
                <w:sz w:val="13"/>
                <w:szCs w:val="13"/>
                <w:u w:val="single"/>
              </w:rPr>
            </w:pPr>
            <w:hyperlink w:anchor="_96_Windows_Embedded" w:history="1">
              <w:r w:rsidR="00CF5A3E" w:rsidRPr="003412D9">
                <w:rPr>
                  <w:rStyle w:val="Hyperlink"/>
                  <w:rFonts w:cs="Tahoma"/>
                  <w:b/>
                  <w:sz w:val="13"/>
                  <w:szCs w:val="13"/>
                </w:rPr>
                <w:t>101</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480" w:name="_Toc336338119"/>
            <w:bookmarkStart w:id="481" w:name="_Toc370981238"/>
            <w:r w:rsidRPr="004B208C">
              <w:rPr>
                <w:rFonts w:ascii="Tahoma" w:hAnsi="Tahoma" w:cs="Tahoma"/>
                <w:b w:val="0"/>
                <w:sz w:val="14"/>
                <w:szCs w:val="14"/>
              </w:rPr>
              <w:t>Windows Essential Business Server 2008 Standard</w:t>
            </w:r>
            <w:bookmarkEnd w:id="480"/>
            <w:bookmarkEnd w:id="481"/>
          </w:p>
        </w:tc>
        <w:tc>
          <w:tcPr>
            <w:tcW w:w="449" w:type="dxa"/>
            <w:tcBorders>
              <w:bottom w:val="single" w:sz="4" w:space="0" w:color="auto"/>
            </w:tcBorders>
            <w:shd w:val="clear" w:color="auto" w:fill="FABF8F"/>
            <w:vAlign w:val="center"/>
          </w:tcPr>
          <w:p w:rsidR="00913A0A" w:rsidRPr="003412D9" w:rsidRDefault="00C70EF2" w:rsidP="00ED1DE2">
            <w:pPr>
              <w:pStyle w:val="TableText"/>
              <w:widowControl w:val="0"/>
              <w:spacing w:before="100" w:beforeAutospacing="1"/>
              <w:rPr>
                <w:rStyle w:val="EndnoteReference"/>
                <w:rFonts w:cs="Tahoma"/>
                <w:b w:val="0"/>
                <w:color w:val="0000FF"/>
                <w:sz w:val="13"/>
                <w:szCs w:val="13"/>
                <w:u w:val="single"/>
              </w:rPr>
            </w:pPr>
            <w:hyperlink w:anchor="_103_Windows_EBS" w:history="1">
              <w:r w:rsidR="00CF5A3E" w:rsidRPr="003412D9">
                <w:rPr>
                  <w:rStyle w:val="Hyperlink"/>
                  <w:rFonts w:cs="Tahoma"/>
                  <w:b/>
                  <w:sz w:val="13"/>
                  <w:szCs w:val="13"/>
                </w:rPr>
                <w:t>102</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482" w:name="_Toc336338120"/>
            <w:bookmarkStart w:id="483" w:name="_Toc370981239"/>
            <w:r w:rsidRPr="004B208C">
              <w:rPr>
                <w:rFonts w:ascii="Tahoma" w:hAnsi="Tahoma" w:cs="Tahoma"/>
                <w:b w:val="0"/>
                <w:sz w:val="14"/>
                <w:szCs w:val="14"/>
              </w:rPr>
              <w:t>Windows Essential Business Server 2008 CAL Suite</w:t>
            </w:r>
            <w:bookmarkEnd w:id="482"/>
            <w:bookmarkEnd w:id="483"/>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484" w:name="_Toc336338121"/>
            <w:bookmarkStart w:id="485" w:name="_Toc370981240"/>
            <w:r w:rsidRPr="004B208C">
              <w:rPr>
                <w:rFonts w:ascii="Tahoma" w:hAnsi="Tahoma" w:cs="Tahoma"/>
                <w:b w:val="0"/>
                <w:sz w:val="14"/>
                <w:szCs w:val="14"/>
              </w:rPr>
              <w:t>Windows Essential Business Server 2008 CAL Suite (5 clientes)</w:t>
            </w:r>
            <w:bookmarkEnd w:id="484"/>
            <w:bookmarkEnd w:id="485"/>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486" w:name="_Toc336338122"/>
            <w:bookmarkStart w:id="487" w:name="_Toc370981241"/>
            <w:r w:rsidRPr="004B208C">
              <w:rPr>
                <w:rFonts w:ascii="Tahoma" w:hAnsi="Tahoma" w:cs="Tahoma"/>
                <w:b w:val="0"/>
                <w:color w:val="000000"/>
                <w:sz w:val="14"/>
                <w:szCs w:val="14"/>
              </w:rPr>
              <w:t>Windows Essential Business Server 2008 CAL Suite (20 clientes)</w:t>
            </w:r>
            <w:bookmarkEnd w:id="486"/>
            <w:bookmarkEnd w:id="487"/>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488" w:name="_Toc336338123"/>
            <w:bookmarkStart w:id="489" w:name="_Toc370981242"/>
            <w:r w:rsidRPr="004B208C">
              <w:rPr>
                <w:rFonts w:ascii="Tahoma" w:hAnsi="Tahoma" w:cs="Tahoma"/>
                <w:b w:val="0"/>
                <w:sz w:val="14"/>
                <w:szCs w:val="14"/>
              </w:rPr>
              <w:t>Windows Essential Business Server 2008 CAL Suite (50 clientes)</w:t>
            </w:r>
            <w:bookmarkEnd w:id="488"/>
            <w:bookmarkEnd w:id="489"/>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490" w:name="_Toc336338124"/>
            <w:bookmarkStart w:id="491" w:name="_Toc370981243"/>
            <w:r w:rsidRPr="004B208C">
              <w:rPr>
                <w:rFonts w:ascii="Tahoma" w:hAnsi="Tahoma" w:cs="Tahoma"/>
                <w:b w:val="0"/>
                <w:sz w:val="14"/>
                <w:szCs w:val="14"/>
              </w:rPr>
              <w:t>Windows Essential Business Server 2008 Premium</w:t>
            </w:r>
            <w:bookmarkEnd w:id="490"/>
            <w:bookmarkEnd w:id="491"/>
            <w:r w:rsidRPr="004B208C">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spacing w:before="100" w:beforeAutospacing="1"/>
              <w:rPr>
                <w:rStyle w:val="EndnoteReference"/>
                <w:rFonts w:cs="Tahoma"/>
                <w:b w:val="0"/>
                <w:color w:val="0000FF"/>
                <w:sz w:val="13"/>
                <w:szCs w:val="13"/>
                <w:u w:val="single"/>
              </w:rPr>
            </w:pPr>
            <w:hyperlink w:anchor="_100_Windows_EBS" w:history="1">
              <w:r w:rsidR="00CF5A3E" w:rsidRPr="003412D9">
                <w:rPr>
                  <w:rStyle w:val="Hyperlink"/>
                  <w:rFonts w:cs="Tahoma"/>
                  <w:b/>
                  <w:sz w:val="13"/>
                  <w:szCs w:val="13"/>
                </w:rPr>
                <w:t>102</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492" w:name="_Toc336338125"/>
            <w:bookmarkStart w:id="493" w:name="_Toc370981244"/>
            <w:r w:rsidRPr="004B208C">
              <w:rPr>
                <w:rFonts w:ascii="Tahoma" w:hAnsi="Tahoma" w:cs="Tahoma"/>
                <w:b w:val="0"/>
                <w:sz w:val="14"/>
                <w:szCs w:val="14"/>
              </w:rPr>
              <w:t>Pacote de CALs do Windows Essential Business Server 2008 CAL para Usuários ou Dispositivos Premium</w:t>
            </w:r>
            <w:bookmarkEnd w:id="492"/>
            <w:bookmarkEnd w:id="493"/>
            <w:r w:rsidRPr="004B208C">
              <w:rPr>
                <w:rFonts w:ascii="Tahoma" w:hAnsi="Tahoma" w:cs="Tahoma"/>
                <w:b w:val="0"/>
                <w:sz w:val="14"/>
                <w:szCs w:val="14"/>
              </w:rPr>
              <w:t xml:space="preserve"> </w:t>
            </w:r>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spacing w:before="100" w:beforeAutospacing="1"/>
              <w:rPr>
                <w:rStyle w:val="EndnoteReference"/>
                <w:rFonts w:cs="Tahoma"/>
                <w:sz w:val="13"/>
                <w:szCs w:val="13"/>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sz w:val="13"/>
              </w:rPr>
            </w:pPr>
            <w:r w:rsidRPr="004B208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494" w:name="_Toc336338126"/>
            <w:bookmarkStart w:id="495" w:name="_Toc370981245"/>
            <w:r w:rsidRPr="004B208C">
              <w:rPr>
                <w:rFonts w:ascii="Tahoma" w:hAnsi="Tahoma" w:cs="Tahoma"/>
                <w:b w:val="0"/>
                <w:sz w:val="14"/>
                <w:szCs w:val="14"/>
              </w:rPr>
              <w:t>Windows Essential Business Server 2008 CAL Suite para Usuários ou Dispositivos Premium (5 clientes)</w:t>
            </w:r>
            <w:bookmarkEnd w:id="494"/>
            <w:bookmarkEnd w:id="495"/>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spacing w:before="100" w:beforeAutospacing="1"/>
              <w:rPr>
                <w:rStyle w:val="EndnoteReference"/>
                <w:rFonts w:cs="Tahoma"/>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200"/>
              <w:rPr>
                <w:rFonts w:ascii="Tahoma" w:hAnsi="Tahoma" w:cs="Tahoma"/>
                <w:sz w:val="13"/>
              </w:rPr>
            </w:pPr>
            <w:r w:rsidRPr="004B208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496" w:name="_Toc336338127"/>
            <w:bookmarkStart w:id="497" w:name="_Toc370981246"/>
            <w:r w:rsidRPr="004B208C">
              <w:rPr>
                <w:rFonts w:ascii="Tahoma" w:hAnsi="Tahoma" w:cs="Tahoma"/>
                <w:b w:val="0"/>
                <w:sz w:val="14"/>
                <w:szCs w:val="14"/>
              </w:rPr>
              <w:t>Windows Essential Business Server 2008 CAL Suite para Usuários ou Dispositivos Premium (20 clientes)</w:t>
            </w:r>
            <w:bookmarkEnd w:id="496"/>
            <w:bookmarkEnd w:id="497"/>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spacing w:before="100" w:beforeAutospacing="1"/>
              <w:rPr>
                <w:rStyle w:val="EndnoteReference"/>
                <w:rFonts w:cs="Tahoma"/>
                <w:sz w:val="13"/>
                <w:szCs w:val="13"/>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160"/>
              <w:rPr>
                <w:rFonts w:ascii="Tahoma" w:hAnsi="Tahoma" w:cs="Tahoma"/>
                <w:sz w:val="13"/>
              </w:rPr>
            </w:pPr>
            <w:r w:rsidRPr="004B208C">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r>
      <w:tr w:rsidR="00600C32" w:rsidRPr="004B208C" w:rsidTr="00515DFA">
        <w:trPr>
          <w:trHeight w:val="287"/>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498" w:name="_Toc336338128"/>
            <w:bookmarkStart w:id="499" w:name="_Toc370981247"/>
            <w:r w:rsidRPr="004B208C">
              <w:rPr>
                <w:rFonts w:ascii="Tahoma" w:hAnsi="Tahoma" w:cs="Tahoma"/>
                <w:b w:val="0"/>
                <w:sz w:val="14"/>
                <w:szCs w:val="14"/>
              </w:rPr>
              <w:t>Windows Essential Business Server 2008 CAL Suite para Usuários ou Dispositivos Premium (50 clientes)</w:t>
            </w:r>
            <w:bookmarkEnd w:id="498"/>
            <w:bookmarkEnd w:id="499"/>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180"/>
              <w:rPr>
                <w:rFonts w:ascii="Tahoma" w:hAnsi="Tahoma" w:cs="Tahoma"/>
                <w:sz w:val="13"/>
              </w:rPr>
            </w:pPr>
            <w:r w:rsidRPr="004B208C">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LO</w:t>
            </w:r>
          </w:p>
        </w:tc>
        <w:tc>
          <w:tcPr>
            <w:tcW w:w="371" w:type="dxa"/>
            <w:tcBorders>
              <w:bottom w:val="single" w:sz="4" w:space="0" w:color="auto"/>
            </w:tcBorders>
          </w:tcPr>
          <w:p w:rsidR="00913A0A" w:rsidRPr="004B208C" w:rsidRDefault="00913A0A" w:rsidP="001A63C6">
            <w:pPr>
              <w:pStyle w:val="TableText"/>
              <w:widowControl w:val="0"/>
              <w:rPr>
                <w:rFonts w:ascii="Tahoma" w:hAnsi="Tahoma" w:cs="Tahoma"/>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44693F">
            <w:pPr>
              <w:pStyle w:val="Heading2"/>
              <w:keepNext/>
              <w:spacing w:before="20" w:after="20"/>
              <w:ind w:left="0"/>
              <w:rPr>
                <w:rFonts w:ascii="Tahoma" w:hAnsi="Tahoma" w:cs="Tahoma"/>
                <w:b w:val="0"/>
                <w:sz w:val="14"/>
                <w:szCs w:val="14"/>
              </w:rPr>
            </w:pPr>
            <w:bookmarkStart w:id="500" w:name="_Toc336338129"/>
            <w:bookmarkStart w:id="501" w:name="_Toc370981248"/>
            <w:r w:rsidRPr="004B208C">
              <w:rPr>
                <w:rFonts w:ascii="Tahoma" w:hAnsi="Tahoma" w:cs="Tahoma"/>
                <w:b w:val="0"/>
                <w:sz w:val="14"/>
                <w:szCs w:val="14"/>
              </w:rPr>
              <w:t>Windows HPC Server 2008 R2 Suite</w:t>
            </w:r>
            <w:bookmarkEnd w:id="500"/>
            <w:bookmarkEnd w:id="501"/>
            <w:r w:rsidRPr="004B208C">
              <w:rPr>
                <w:rFonts w:ascii="Tahoma" w:hAnsi="Tahoma" w:cs="Tahoma"/>
                <w:b w:val="0"/>
                <w:sz w:val="14"/>
                <w:szCs w:val="14"/>
              </w:rPr>
              <w:t xml:space="preserve"> </w:t>
            </w:r>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Fonts w:cs="Tahoma"/>
                <w:b/>
                <w:sz w:val="13"/>
                <w:szCs w:val="13"/>
                <w:u w:val="single"/>
              </w:rPr>
            </w:pPr>
            <w:hyperlink w:anchor="_104_Windows_HPC" w:history="1">
              <w:r w:rsidR="00CF5A3E" w:rsidRPr="003412D9">
                <w:rPr>
                  <w:rStyle w:val="Hyperlink"/>
                  <w:rFonts w:cs="Tahoma"/>
                  <w:b/>
                  <w:sz w:val="13"/>
                  <w:szCs w:val="13"/>
                </w:rPr>
                <w:t>103</w:t>
              </w:r>
            </w:hyperlink>
          </w:p>
        </w:tc>
        <w:tc>
          <w:tcPr>
            <w:tcW w:w="449" w:type="dxa"/>
            <w:tcBorders>
              <w:bottom w:val="single" w:sz="4" w:space="0" w:color="auto"/>
            </w:tcBorders>
            <w:shd w:val="clear" w:color="auto" w:fill="FABF8F"/>
            <w:vAlign w:val="center"/>
          </w:tcPr>
          <w:p w:rsidR="00913A0A" w:rsidRPr="004B208C" w:rsidRDefault="00913A0A" w:rsidP="007E466C">
            <w:pPr>
              <w:pStyle w:val="TableText"/>
              <w:widowControl w:val="0"/>
              <w:rPr>
                <w:rFonts w:ascii="Tahoma" w:hAnsi="Tahoma" w:cs="Tahoma"/>
                <w:color w:val="000000"/>
                <w:sz w:val="13"/>
              </w:rPr>
            </w:pPr>
            <w:r w:rsidRPr="004B208C">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731EEF">
            <w:pPr>
              <w:pStyle w:val="Heading2"/>
              <w:spacing w:before="20" w:after="20"/>
              <w:ind w:left="0"/>
              <w:rPr>
                <w:rFonts w:ascii="Tahoma" w:hAnsi="Tahoma" w:cs="Tahoma"/>
                <w:b w:val="0"/>
                <w:sz w:val="14"/>
                <w:szCs w:val="14"/>
              </w:rPr>
            </w:pPr>
            <w:bookmarkStart w:id="502" w:name="_Toc370981249"/>
            <w:r w:rsidRPr="004B208C">
              <w:rPr>
                <w:rFonts w:ascii="Tahoma" w:hAnsi="Tahoma" w:cs="Tahoma"/>
                <w:b w:val="0"/>
                <w:sz w:val="14"/>
              </w:rPr>
              <w:t>Complemento do Windows Intune para System Center Configuration Manager e</w:t>
            </w:r>
            <w:r w:rsidR="00731EEF">
              <w:rPr>
                <w:rFonts w:ascii="Tahoma" w:hAnsi="Tahoma" w:cs="Tahoma"/>
                <w:b w:val="0"/>
                <w:sz w:val="14"/>
              </w:rPr>
              <w:t> </w:t>
            </w:r>
            <w:r w:rsidRPr="004B208C">
              <w:rPr>
                <w:rFonts w:ascii="Tahoma" w:hAnsi="Tahoma" w:cs="Tahoma"/>
                <w:b w:val="0"/>
                <w:sz w:val="14"/>
              </w:rPr>
              <w:t>System Center Endppoint Protection (por usuário)</w:t>
            </w:r>
            <w:bookmarkEnd w:id="502"/>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OSB</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color w:val="000000"/>
                <w:sz w:val="13"/>
              </w:rPr>
            </w:pPr>
            <w:r w:rsidRPr="004B208C">
              <w:rPr>
                <w:rFonts w:ascii="Tahoma" w:hAnsi="Tahoma" w:cs="Tahoma"/>
                <w:color w:val="000000"/>
                <w:sz w:val="13"/>
              </w:rPr>
              <w:t>A</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03" w:name="_Toc370981250"/>
            <w:r w:rsidRPr="004B208C">
              <w:rPr>
                <w:rFonts w:ascii="Tahoma" w:hAnsi="Tahoma" w:cs="Tahoma"/>
                <w:b w:val="0"/>
                <w:sz w:val="14"/>
                <w:szCs w:val="14"/>
              </w:rPr>
              <w:t>Windows Intune (por usuário)</w:t>
            </w:r>
            <w:bookmarkEnd w:id="503"/>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Fonts w:cs="Tahoma"/>
                <w:b/>
                <w:sz w:val="13"/>
                <w:szCs w:val="13"/>
              </w:rPr>
            </w:pPr>
          </w:p>
        </w:tc>
        <w:tc>
          <w:tcPr>
            <w:tcW w:w="449" w:type="dxa"/>
            <w:tcBorders>
              <w:bottom w:val="single" w:sz="4" w:space="0" w:color="auto"/>
            </w:tcBorders>
            <w:shd w:val="clear" w:color="auto" w:fill="FABF8F"/>
            <w:vAlign w:val="center"/>
          </w:tcPr>
          <w:p w:rsidR="00913A0A" w:rsidRPr="004B208C" w:rsidRDefault="00913A0A" w:rsidP="007E466C">
            <w:pPr>
              <w:pStyle w:val="TableText"/>
              <w:widowControl w:val="0"/>
              <w:rPr>
                <w:rFonts w:ascii="Tahoma" w:hAnsi="Tahoma" w:cs="Tahoma"/>
                <w:color w:val="000000"/>
                <w:sz w:val="13"/>
              </w:rPr>
            </w:pPr>
            <w:r w:rsidRPr="004B208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OSB</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EOLS</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04" w:name="_Toc336338132"/>
            <w:bookmarkStart w:id="505" w:name="_Toc341193035"/>
            <w:bookmarkStart w:id="506" w:name="_Toc370981251"/>
            <w:r w:rsidRPr="004B208C">
              <w:rPr>
                <w:rFonts w:ascii="Tahoma" w:hAnsi="Tahoma" w:cs="Tahoma"/>
                <w:b w:val="0"/>
                <w:sz w:val="14"/>
                <w:szCs w:val="14"/>
              </w:rPr>
              <w:t>Armazenamento Extra Complementar de 1 GB de SL de Usuário do Windows Intune</w:t>
            </w:r>
            <w:bookmarkEnd w:id="504"/>
            <w:bookmarkEnd w:id="505"/>
            <w:bookmarkEnd w:id="506"/>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07" w:name="_Toc336338133"/>
            <w:bookmarkStart w:id="508" w:name="_Toc370981252"/>
            <w:r w:rsidRPr="004B208C">
              <w:rPr>
                <w:rFonts w:ascii="Tahoma" w:hAnsi="Tahoma" w:cs="Tahoma"/>
                <w:b w:val="0"/>
                <w:sz w:val="14"/>
                <w:szCs w:val="14"/>
              </w:rPr>
              <w:t>Windows MultiPoint Server 2012 Standard</w:t>
            </w:r>
            <w:bookmarkEnd w:id="507"/>
            <w:bookmarkEnd w:id="508"/>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Fonts w:cs="Tahoma"/>
                <w:b/>
                <w:sz w:val="13"/>
                <w:szCs w:val="13"/>
                <w:u w:val="single"/>
              </w:rPr>
            </w:pPr>
            <w:hyperlink w:anchor="_104_Windows_Multipoint" w:history="1">
              <w:r w:rsidR="00CF5A3E" w:rsidRPr="003412D9">
                <w:rPr>
                  <w:rStyle w:val="Hyperlink"/>
                  <w:rFonts w:cs="Tahoma"/>
                  <w:b/>
                  <w:sz w:val="13"/>
                  <w:szCs w:val="13"/>
                </w:rPr>
                <w:t>104</w:t>
              </w:r>
            </w:hyperlink>
            <w:hyperlink w:anchor="_98_Windows_Multipoint" w:history="1"/>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09" w:name="_Toc336338134"/>
            <w:bookmarkStart w:id="510" w:name="_Toc370981253"/>
            <w:r w:rsidRPr="004B208C">
              <w:rPr>
                <w:rFonts w:ascii="Tahoma" w:hAnsi="Tahoma" w:cs="Tahoma"/>
                <w:b w:val="0"/>
                <w:sz w:val="14"/>
                <w:szCs w:val="14"/>
              </w:rPr>
              <w:t>Windows MultiPoint Server 2012 Premium</w:t>
            </w:r>
            <w:bookmarkEnd w:id="509"/>
            <w:bookmarkEnd w:id="510"/>
          </w:p>
        </w:tc>
        <w:tc>
          <w:tcPr>
            <w:tcW w:w="449" w:type="dxa"/>
            <w:tcBorders>
              <w:bottom w:val="single" w:sz="4" w:space="0" w:color="auto"/>
            </w:tcBorders>
            <w:shd w:val="clear" w:color="auto" w:fill="auto"/>
            <w:vAlign w:val="center"/>
          </w:tcPr>
          <w:p w:rsidR="00913A0A" w:rsidRPr="003412D9" w:rsidRDefault="00C70EF2" w:rsidP="000339B1">
            <w:pPr>
              <w:pStyle w:val="TableText"/>
              <w:widowControl w:val="0"/>
              <w:rPr>
                <w:rFonts w:cs="Tahoma"/>
                <w:b/>
                <w:sz w:val="13"/>
                <w:szCs w:val="13"/>
                <w:u w:val="single"/>
              </w:rPr>
            </w:pPr>
            <w:hyperlink w:anchor="_106_Windows_Multipoint" w:history="1">
              <w:r w:rsidR="00CF5A3E" w:rsidRPr="003412D9">
                <w:rPr>
                  <w:rStyle w:val="Hyperlink"/>
                  <w:rFonts w:cs="Tahoma"/>
                  <w:b/>
                  <w:sz w:val="13"/>
                  <w:szCs w:val="13"/>
                </w:rPr>
                <w:t>10</w:t>
              </w:r>
              <w:r w:rsidR="000339B1" w:rsidRPr="003412D9">
                <w:rPr>
                  <w:rStyle w:val="Hyperlink"/>
                  <w:rFonts w:cs="Tahoma"/>
                  <w:b/>
                  <w:sz w:val="13"/>
                  <w:szCs w:val="13"/>
                </w:rPr>
                <w:t>5</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11" w:name="_Toc336338135"/>
            <w:bookmarkStart w:id="512" w:name="_Toc370981254"/>
            <w:r w:rsidRPr="004B208C">
              <w:rPr>
                <w:rFonts w:ascii="Tahoma" w:hAnsi="Tahoma" w:cs="Tahoma"/>
                <w:b w:val="0"/>
                <w:sz w:val="14"/>
                <w:szCs w:val="14"/>
              </w:rPr>
              <w:t>CAL do Windows MultiPoint Server 2012</w:t>
            </w:r>
            <w:bookmarkEnd w:id="511"/>
            <w:bookmarkEnd w:id="512"/>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Fonts w:cs="Tahoma"/>
                <w:b/>
                <w:sz w:val="13"/>
                <w:szCs w:val="13"/>
                <w:u w:val="single"/>
              </w:rPr>
            </w:pPr>
            <w:hyperlink w:anchor="Srv_108WinMultipointSvr2011CAL" w:history="1">
              <w:r w:rsidR="00CF5A3E" w:rsidRPr="003412D9">
                <w:rPr>
                  <w:rStyle w:val="Hyperlink"/>
                  <w:rFonts w:cs="Tahoma"/>
                  <w:b/>
                  <w:sz w:val="13"/>
                  <w:szCs w:val="13"/>
                </w:rPr>
                <w:t>106</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13" w:name="_Toc336338136"/>
            <w:bookmarkStart w:id="514" w:name="_Toc370981255"/>
            <w:r w:rsidRPr="004B208C">
              <w:rPr>
                <w:rFonts w:ascii="Tahoma" w:hAnsi="Tahoma" w:cs="Tahoma"/>
                <w:b w:val="0"/>
                <w:sz w:val="14"/>
                <w:szCs w:val="14"/>
              </w:rPr>
              <w:t>CAL do Windows MultiPoint Server 2012 com CAL do Windows Server 2012</w:t>
            </w:r>
            <w:bookmarkEnd w:id="513"/>
            <w:bookmarkEnd w:id="514"/>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15" w:name="_Toc336338137"/>
            <w:bookmarkStart w:id="516" w:name="_Toc370981256"/>
            <w:r w:rsidRPr="004B208C">
              <w:rPr>
                <w:rFonts w:ascii="Tahoma" w:hAnsi="Tahoma" w:cs="Tahoma"/>
                <w:b w:val="0"/>
                <w:sz w:val="14"/>
                <w:szCs w:val="14"/>
              </w:rPr>
              <w:t>Windows MultiPoint Server 2012 Premium com Windows MultiPoint Server 2012 (CAL) (5 Clientes)</w:t>
            </w:r>
            <w:bookmarkEnd w:id="515"/>
            <w:bookmarkEnd w:id="516"/>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Fonts w:cs="Tahoma"/>
                <w:b/>
                <w:sz w:val="13"/>
                <w:szCs w:val="13"/>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63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LO/OV</w:t>
            </w: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17" w:name="_Toc336338138"/>
            <w:bookmarkStart w:id="518" w:name="_Toc370981257"/>
            <w:r w:rsidRPr="004B208C">
              <w:rPr>
                <w:rFonts w:ascii="Tahoma" w:hAnsi="Tahoma" w:cs="Tahoma"/>
                <w:b w:val="0"/>
                <w:sz w:val="14"/>
                <w:szCs w:val="14"/>
              </w:rPr>
              <w:t>Windows MultiPoint Server 2012 Premium com Windows MultiPoint Server 2012 (CAL) (5 Clientes) com CAL do Windows Server 2012 (5 Clientes)</w:t>
            </w:r>
            <w:bookmarkEnd w:id="517"/>
            <w:bookmarkEnd w:id="518"/>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63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LO/OV</w:t>
            </w: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19" w:name="_Toc370981258"/>
            <w:r w:rsidRPr="004B208C">
              <w:rPr>
                <w:rFonts w:ascii="Tahoma" w:hAnsi="Tahoma" w:cs="Tahoma"/>
                <w:b w:val="0"/>
                <w:sz w:val="14"/>
                <w:szCs w:val="14"/>
              </w:rPr>
              <w:t>Windows Server™ 2008 R2 HPC Edition</w:t>
            </w:r>
            <w:bookmarkEnd w:id="519"/>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Fonts w:cs="Tahoma"/>
                <w:sz w:val="13"/>
                <w:szCs w:val="13"/>
              </w:rPr>
            </w:pPr>
            <w:hyperlink w:anchor="_107_Windows_Server" w:history="1">
              <w:hyperlink w:anchor="Srv_110WinSvr08R2HPC" w:history="1">
                <w:r w:rsidR="00CF5A3E" w:rsidRPr="003412D9">
                  <w:rPr>
                    <w:rStyle w:val="Hyperlink"/>
                    <w:rFonts w:cs="Tahoma"/>
                    <w:b/>
                    <w:sz w:val="13"/>
                    <w:szCs w:val="13"/>
                  </w:rPr>
                  <w:t>10</w:t>
                </w:r>
              </w:hyperlink>
              <w:r w:rsidR="00CF5A3E" w:rsidRPr="003412D9">
                <w:rPr>
                  <w:rStyle w:val="Hyperlink"/>
                  <w:rFonts w:cs="Tahoma"/>
                  <w:b/>
                  <w:sz w:val="13"/>
                  <w:szCs w:val="13"/>
                </w:rPr>
                <w:t>7</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20" w:name="_Toc336338140"/>
            <w:bookmarkStart w:id="521" w:name="_Toc370981259"/>
            <w:r w:rsidRPr="004B208C">
              <w:rPr>
                <w:rFonts w:ascii="Tahoma" w:hAnsi="Tahoma" w:cs="Tahoma"/>
                <w:b w:val="0"/>
                <w:sz w:val="14"/>
                <w:szCs w:val="14"/>
              </w:rPr>
              <w:t>Windows Server™ 2008 R2 Enterprise</w:t>
            </w:r>
            <w:bookmarkEnd w:id="520"/>
            <w:bookmarkEnd w:id="521"/>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rPr>
                <w:rStyle w:val="EndnoteReference"/>
                <w:rFonts w:cs="Tahoma"/>
                <w:b w:val="0"/>
                <w:color w:val="0000FF"/>
                <w:sz w:val="13"/>
                <w:szCs w:val="13"/>
                <w:u w:val="single"/>
              </w:rPr>
            </w:pPr>
            <w:hyperlink w:anchor="_109_Windows_Server" w:history="1">
              <w:r w:rsidR="00CF5A3E" w:rsidRPr="003412D9">
                <w:rPr>
                  <w:rStyle w:val="Hyperlink"/>
                  <w:rFonts w:cs="Tahoma"/>
                  <w:b/>
                  <w:sz w:val="13"/>
                  <w:szCs w:val="13"/>
                </w:rPr>
                <w:t>108</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80"/>
              <w:rPr>
                <w:rFonts w:ascii="Tahoma" w:hAnsi="Tahoma" w:cs="Tahoma"/>
                <w:color w:val="000000"/>
                <w:sz w:val="13"/>
              </w:rPr>
            </w:pPr>
            <w:r w:rsidRPr="004B208C">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22" w:name="_Toc336338141"/>
            <w:bookmarkStart w:id="523" w:name="_Toc370981260"/>
            <w:r w:rsidRPr="004B208C">
              <w:rPr>
                <w:rFonts w:ascii="Tahoma" w:hAnsi="Tahoma" w:cs="Tahoma"/>
                <w:b w:val="0"/>
                <w:sz w:val="14"/>
                <w:szCs w:val="14"/>
              </w:rPr>
              <w:t>Windows Server™ 2008 R2 Itanium Based Systems</w:t>
            </w:r>
            <w:bookmarkEnd w:id="522"/>
            <w:bookmarkEnd w:id="523"/>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Style w:val="EndnoteReference"/>
                <w:rFonts w:cs="Tahoma"/>
                <w:b w:val="0"/>
                <w:sz w:val="13"/>
                <w:szCs w:val="13"/>
                <w:u w:val="single"/>
              </w:rPr>
            </w:pPr>
            <w:hyperlink w:anchor="_110_Windows_Server_1" w:history="1">
              <w:r w:rsidR="00CF5A3E" w:rsidRPr="003412D9">
                <w:rPr>
                  <w:rStyle w:val="Hyperlink"/>
                  <w:rFonts w:cs="Tahoma"/>
                  <w:b/>
                  <w:sz w:val="13"/>
                  <w:szCs w:val="13"/>
                </w:rPr>
                <w:t>109</w:t>
              </w:r>
            </w:hyperlink>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24" w:name="_Toc336338142"/>
            <w:bookmarkStart w:id="525" w:name="_Toc370981261"/>
            <w:r w:rsidRPr="004B208C">
              <w:rPr>
                <w:rFonts w:ascii="Tahoma" w:hAnsi="Tahoma" w:cs="Tahoma"/>
                <w:b w:val="0"/>
                <w:sz w:val="14"/>
                <w:szCs w:val="14"/>
              </w:rPr>
              <w:t>CAL do Windows Server™ 2012 (Dispositivo e Usuário)</w:t>
            </w:r>
            <w:bookmarkEnd w:id="524"/>
            <w:bookmarkEnd w:id="525"/>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rPr>
                <w:rFonts w:cs="Tahoma"/>
                <w:b/>
                <w:sz w:val="13"/>
                <w:szCs w:val="13"/>
                <w:u w:val="single"/>
              </w:rPr>
            </w:pPr>
            <w:hyperlink w:anchor="_116_Windows_Server" w:history="1">
              <w:r w:rsidR="00CF5A3E" w:rsidRPr="003412D9">
                <w:rPr>
                  <w:rStyle w:val="Hyperlink"/>
                  <w:rFonts w:cs="Tahoma"/>
                  <w:b/>
                  <w:sz w:val="13"/>
                  <w:szCs w:val="13"/>
                </w:rPr>
                <w:t>110</w:t>
              </w:r>
            </w:hyperlink>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120"/>
              <w:rPr>
                <w:rFonts w:ascii="Tahoma" w:hAnsi="Tahoma" w:cs="Tahoma"/>
                <w:color w:val="000000"/>
                <w:sz w:val="13"/>
              </w:rPr>
            </w:pPr>
            <w:r w:rsidRPr="004B208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D</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1A63C6">
            <w:pPr>
              <w:pStyle w:val="TableText"/>
              <w:widowControl w:val="0"/>
              <w:rPr>
                <w:rFonts w:ascii="Tahoma" w:hAnsi="Tahoma" w:cs="Tahoma"/>
                <w:color w:val="000000"/>
                <w:sz w:val="13"/>
              </w:rPr>
            </w:pP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26" w:name="_Toc336338143"/>
            <w:bookmarkStart w:id="527" w:name="_Toc370981262"/>
            <w:r w:rsidRPr="004B208C">
              <w:rPr>
                <w:rFonts w:ascii="Tahoma" w:hAnsi="Tahoma" w:cs="Tahoma"/>
                <w:b w:val="0"/>
                <w:sz w:val="14"/>
                <w:szCs w:val="14"/>
              </w:rPr>
              <w:t>Windows Server™ 2012 R2 Datacenter</w:t>
            </w:r>
            <w:bookmarkEnd w:id="526"/>
            <w:bookmarkEnd w:id="527"/>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Style w:val="EndnoteReference"/>
                <w:rFonts w:cs="Tahoma"/>
                <w:b w:val="0"/>
                <w:color w:val="0070C0"/>
                <w:sz w:val="13"/>
                <w:szCs w:val="13"/>
                <w:u w:val="single"/>
              </w:rPr>
            </w:pPr>
            <w:hyperlink w:anchor="_114_Windows_Server" w:history="1">
              <w:r w:rsidR="00CF5A3E" w:rsidRPr="003412D9">
                <w:rPr>
                  <w:rStyle w:val="Hyperlink"/>
                  <w:rFonts w:cs="Tahoma"/>
                  <w:b/>
                  <w:sz w:val="13"/>
                  <w:szCs w:val="13"/>
                </w:rPr>
                <w:t>111</w:t>
              </w:r>
            </w:hyperlink>
          </w:p>
        </w:tc>
        <w:tc>
          <w:tcPr>
            <w:tcW w:w="449" w:type="dxa"/>
            <w:tcBorders>
              <w:bottom w:val="single" w:sz="4" w:space="0" w:color="auto"/>
            </w:tcBorders>
            <w:shd w:val="clear" w:color="auto" w:fill="FABF8F"/>
            <w:vAlign w:val="center"/>
          </w:tcPr>
          <w:p w:rsidR="00913A0A" w:rsidRPr="004B208C" w:rsidRDefault="00913A0A" w:rsidP="00200E1A">
            <w:pPr>
              <w:pStyle w:val="TableText"/>
              <w:widowControl w:val="0"/>
              <w:spacing w:before="120"/>
              <w:rPr>
                <w:rFonts w:ascii="Tahoma" w:hAnsi="Tahoma" w:cs="Tahoma"/>
                <w:color w:val="000000"/>
                <w:sz w:val="13"/>
              </w:rPr>
            </w:pPr>
            <w:r w:rsidRPr="004B208C">
              <w:rPr>
                <w:rFonts w:ascii="Tahoma" w:hAnsi="Tahoma" w:cs="Tahoma"/>
                <w:color w:val="000000"/>
                <w:sz w:val="13"/>
              </w:rPr>
              <w:t>11/13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125</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LO/OV</w:t>
            </w: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color w:val="000000"/>
                <w:sz w:val="13"/>
              </w:rPr>
            </w:pPr>
            <w:r w:rsidRPr="004B208C">
              <w:rPr>
                <w:rFonts w:ascii="Tahoma" w:hAnsi="Tahoma" w:cs="Tahoma"/>
                <w:color w:val="000000"/>
                <w:sz w:val="13"/>
              </w:rPr>
              <w:t>C</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28" w:name="_Toc336338144"/>
            <w:bookmarkStart w:id="529" w:name="_Toc370981263"/>
            <w:r w:rsidRPr="004B208C">
              <w:rPr>
                <w:rFonts w:ascii="Tahoma" w:hAnsi="Tahoma" w:cs="Tahoma"/>
                <w:b w:val="0"/>
                <w:sz w:val="14"/>
                <w:szCs w:val="14"/>
              </w:rPr>
              <w:t>Windows Server™ 2012 R2 Standard</w:t>
            </w:r>
            <w:bookmarkEnd w:id="528"/>
            <w:bookmarkEnd w:id="529"/>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rPr>
                <w:rStyle w:val="EndnoteReference"/>
                <w:rFonts w:cs="Tahoma"/>
                <w:b w:val="0"/>
                <w:color w:val="0070C0"/>
                <w:sz w:val="13"/>
                <w:szCs w:val="13"/>
                <w:u w:val="single"/>
                <w:vertAlign w:val="baseline"/>
              </w:rPr>
            </w:pPr>
            <w:hyperlink w:anchor="_113_Windows_Server" w:history="1">
              <w:r w:rsidR="00CF5A3E" w:rsidRPr="003412D9">
                <w:rPr>
                  <w:rStyle w:val="Hyperlink"/>
                  <w:rFonts w:cs="Tahoma"/>
                  <w:b/>
                  <w:sz w:val="13"/>
                  <w:szCs w:val="13"/>
                </w:rPr>
                <w:t>112</w:t>
              </w:r>
            </w:hyperlink>
          </w:p>
        </w:tc>
        <w:tc>
          <w:tcPr>
            <w:tcW w:w="449" w:type="dxa"/>
            <w:tcBorders>
              <w:bottom w:val="single" w:sz="4" w:space="0" w:color="auto"/>
            </w:tcBorders>
            <w:shd w:val="clear" w:color="auto" w:fill="auto"/>
            <w:vAlign w:val="center"/>
          </w:tcPr>
          <w:p w:rsidR="00913A0A" w:rsidRPr="004B208C" w:rsidRDefault="00913A0A" w:rsidP="00200E1A">
            <w:pPr>
              <w:pStyle w:val="TableText"/>
              <w:widowControl w:val="0"/>
              <w:spacing w:before="120"/>
              <w:rPr>
                <w:rFonts w:ascii="Tahoma" w:hAnsi="Tahoma" w:cs="Tahoma"/>
                <w:color w:val="000000"/>
                <w:sz w:val="13"/>
              </w:rPr>
            </w:pPr>
            <w:r w:rsidRPr="004B208C">
              <w:rPr>
                <w:rFonts w:ascii="Tahoma" w:hAnsi="Tahoma" w:cs="Tahoma"/>
                <w:color w:val="000000"/>
                <w:sz w:val="13"/>
              </w:rPr>
              <w:t>11/13</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30</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color w:val="000000"/>
                <w:sz w:val="13"/>
              </w:rPr>
            </w:pPr>
            <w:r w:rsidRPr="004B208C">
              <w:rPr>
                <w:rFonts w:ascii="Tahoma" w:hAnsi="Tahoma" w:cs="Tahoma"/>
                <w:color w:val="000000"/>
                <w:sz w:val="13"/>
              </w:rPr>
              <w:t>C</w:t>
            </w:r>
          </w:p>
        </w:tc>
      </w:tr>
      <w:tr w:rsidR="00600C32" w:rsidRPr="004B208C" w:rsidTr="00515DFA">
        <w:trPr>
          <w:trHeight w:val="145"/>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30" w:name="_Toc336338145"/>
            <w:bookmarkStart w:id="531" w:name="_Toc370981264"/>
            <w:r w:rsidRPr="004B208C">
              <w:rPr>
                <w:rFonts w:ascii="Tahoma" w:hAnsi="Tahoma" w:cs="Tahoma"/>
                <w:b w:val="0"/>
                <w:sz w:val="14"/>
                <w:szCs w:val="14"/>
              </w:rPr>
              <w:t>External Connector do Windows Server™</w:t>
            </w:r>
            <w:bookmarkEnd w:id="530"/>
            <w:bookmarkEnd w:id="531"/>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160"/>
              <w:rPr>
                <w:rFonts w:ascii="Tahoma" w:hAnsi="Tahoma" w:cs="Tahoma"/>
                <w:color w:val="000000"/>
                <w:sz w:val="13"/>
              </w:rPr>
            </w:pPr>
            <w:r w:rsidRPr="004B208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63</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LO/OV</w:t>
            </w: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color w:val="000000"/>
                <w:sz w:val="13"/>
              </w:rPr>
            </w:pPr>
            <w:r w:rsidRPr="004B208C">
              <w:rPr>
                <w:rFonts w:ascii="Tahoma" w:hAnsi="Tahoma" w:cs="Tahoma"/>
                <w:color w:val="000000"/>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32" w:name="_Toc336338146"/>
            <w:bookmarkStart w:id="533" w:name="_Toc370981265"/>
            <w:r w:rsidRPr="004B208C">
              <w:rPr>
                <w:rFonts w:ascii="Tahoma" w:hAnsi="Tahoma" w:cs="Tahoma"/>
                <w:b w:val="0"/>
                <w:sz w:val="14"/>
                <w:szCs w:val="14"/>
              </w:rPr>
              <w:t xml:space="preserve">CAL de Serviços de Área de Trabalho </w:t>
            </w:r>
            <w:r w:rsidRPr="004B208C">
              <w:rPr>
                <w:rFonts w:ascii="Tahoma" w:hAnsi="Tahoma" w:cs="Tahoma"/>
                <w:b w:val="0"/>
                <w:sz w:val="14"/>
                <w:szCs w:val="14"/>
              </w:rPr>
              <w:lastRenderedPageBreak/>
              <w:t>Remota do Windows Server™ 2012</w:t>
            </w:r>
            <w:bookmarkEnd w:id="532"/>
            <w:bookmarkEnd w:id="533"/>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160"/>
              <w:rPr>
                <w:rFonts w:ascii="Tahoma" w:hAnsi="Tahoma" w:cs="Tahoma"/>
                <w:color w:val="000000"/>
                <w:sz w:val="13"/>
              </w:rPr>
            </w:pPr>
            <w:r w:rsidRPr="004B208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 D</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color w:val="000000"/>
                <w:sz w:val="13"/>
              </w:rPr>
            </w:pPr>
            <w:r w:rsidRPr="004B208C">
              <w:rPr>
                <w:rFonts w:ascii="Tahoma" w:hAnsi="Tahoma" w:cs="Tahoma"/>
                <w:color w:val="000000"/>
                <w:sz w:val="13"/>
              </w:rPr>
              <w:t>A</w:t>
            </w:r>
          </w:p>
        </w:tc>
      </w:tr>
      <w:tr w:rsidR="00600C32" w:rsidRPr="004B208C" w:rsidTr="00515DFA">
        <w:trPr>
          <w:trHeight w:val="431"/>
        </w:trPr>
        <w:tc>
          <w:tcPr>
            <w:tcW w:w="2551" w:type="dxa"/>
            <w:gridSpan w:val="2"/>
            <w:tcBorders>
              <w:bottom w:val="single" w:sz="4" w:space="0" w:color="auto"/>
            </w:tcBorders>
            <w:shd w:val="clear" w:color="auto" w:fill="FABF8F"/>
            <w:vAlign w:val="center"/>
          </w:tcPr>
          <w:p w:rsidR="00913A0A" w:rsidRPr="004B208C" w:rsidRDefault="00913A0A" w:rsidP="001A63C6">
            <w:pPr>
              <w:pStyle w:val="Heading2"/>
              <w:spacing w:before="20" w:after="20"/>
              <w:ind w:left="0"/>
              <w:rPr>
                <w:rFonts w:ascii="Tahoma" w:hAnsi="Tahoma" w:cs="Tahoma"/>
                <w:b w:val="0"/>
                <w:sz w:val="14"/>
                <w:szCs w:val="14"/>
              </w:rPr>
            </w:pPr>
            <w:bookmarkStart w:id="534" w:name="_Toc336338147"/>
            <w:bookmarkStart w:id="535" w:name="_Toc370981266"/>
            <w:r w:rsidRPr="004B208C">
              <w:rPr>
                <w:rFonts w:ascii="Tahoma" w:hAnsi="Tahoma" w:cs="Tahoma"/>
                <w:b w:val="0"/>
                <w:sz w:val="14"/>
                <w:szCs w:val="14"/>
              </w:rPr>
              <w:lastRenderedPageBreak/>
              <w:t>External Connector dos Serviços de Área de Trabalho Remota do Windows Server™ 2012</w:t>
            </w:r>
            <w:bookmarkEnd w:id="534"/>
            <w:bookmarkEnd w:id="535"/>
          </w:p>
        </w:tc>
        <w:tc>
          <w:tcPr>
            <w:tcW w:w="449" w:type="dxa"/>
            <w:tcBorders>
              <w:bottom w:val="single" w:sz="4" w:space="0" w:color="auto"/>
            </w:tcBorders>
            <w:shd w:val="clear" w:color="auto" w:fill="FABF8F"/>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913A0A" w:rsidRPr="004B208C" w:rsidRDefault="00913A0A" w:rsidP="001A63C6">
            <w:pPr>
              <w:pStyle w:val="TableText"/>
              <w:widowControl w:val="0"/>
              <w:spacing w:before="160"/>
              <w:rPr>
                <w:rFonts w:ascii="Tahoma" w:hAnsi="Tahoma" w:cs="Tahoma"/>
                <w:color w:val="000000"/>
                <w:sz w:val="13"/>
              </w:rPr>
            </w:pPr>
            <w:r w:rsidRPr="004B208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188</w:t>
            </w:r>
          </w:p>
        </w:tc>
        <w:tc>
          <w:tcPr>
            <w:tcW w:w="435"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150</w:t>
            </w:r>
          </w:p>
        </w:tc>
        <w:tc>
          <w:tcPr>
            <w:tcW w:w="465" w:type="dxa"/>
            <w:gridSpan w:val="3"/>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LO/OV</w:t>
            </w:r>
          </w:p>
        </w:tc>
        <w:tc>
          <w:tcPr>
            <w:tcW w:w="371" w:type="dxa"/>
            <w:tcBorders>
              <w:bottom w:val="single" w:sz="4" w:space="0" w:color="auto"/>
            </w:tcBorders>
            <w:shd w:val="clear" w:color="auto" w:fill="FABF8F"/>
          </w:tcPr>
          <w:p w:rsidR="00913A0A" w:rsidRPr="004B208C" w:rsidRDefault="002C4BA9" w:rsidP="001A63C6">
            <w:pPr>
              <w:pStyle w:val="TableText"/>
              <w:widowControl w:val="0"/>
              <w:rPr>
                <w:rFonts w:ascii="Tahoma" w:hAnsi="Tahoma" w:cs="Tahoma"/>
                <w:color w:val="000000"/>
                <w:sz w:val="13"/>
              </w:rPr>
            </w:pPr>
            <w:r w:rsidRPr="004B208C">
              <w:rPr>
                <w:rFonts w:ascii="Tahoma" w:hAnsi="Tahoma" w:cs="Tahoma"/>
                <w:color w:val="000000"/>
                <w:sz w:val="13"/>
              </w:rPr>
              <w:t>A</w:t>
            </w:r>
          </w:p>
        </w:tc>
      </w:tr>
      <w:tr w:rsidR="00600C32" w:rsidRPr="004B208C" w:rsidTr="00515DFA">
        <w:trPr>
          <w:trHeight w:val="145"/>
        </w:trPr>
        <w:tc>
          <w:tcPr>
            <w:tcW w:w="2551" w:type="dxa"/>
            <w:gridSpan w:val="2"/>
            <w:tcBorders>
              <w:bottom w:val="single" w:sz="4" w:space="0" w:color="auto"/>
            </w:tcBorders>
            <w:shd w:val="clear" w:color="auto" w:fill="auto"/>
            <w:vAlign w:val="center"/>
          </w:tcPr>
          <w:p w:rsidR="00913A0A" w:rsidRPr="004B208C" w:rsidRDefault="00913A0A" w:rsidP="001A63C6">
            <w:pPr>
              <w:pStyle w:val="Heading2"/>
              <w:spacing w:before="20" w:after="20"/>
              <w:ind w:left="0"/>
              <w:rPr>
                <w:rFonts w:ascii="Tahoma" w:hAnsi="Tahoma" w:cs="Tahoma"/>
                <w:b w:val="0"/>
                <w:sz w:val="14"/>
                <w:szCs w:val="14"/>
              </w:rPr>
            </w:pPr>
            <w:bookmarkStart w:id="536" w:name="_Toc336338148"/>
            <w:bookmarkStart w:id="537" w:name="_Toc370981267"/>
            <w:r w:rsidRPr="004B208C">
              <w:rPr>
                <w:rFonts w:ascii="Tahoma" w:hAnsi="Tahoma" w:cs="Tahoma"/>
                <w:b w:val="0"/>
                <w:sz w:val="14"/>
                <w:szCs w:val="14"/>
              </w:rPr>
              <w:t>CAL dos Serviços de Gerenciamento de Direitos do Active Directory do Windows Server™ 2012</w:t>
            </w:r>
            <w:bookmarkEnd w:id="536"/>
            <w:bookmarkEnd w:id="537"/>
          </w:p>
        </w:tc>
        <w:tc>
          <w:tcPr>
            <w:tcW w:w="449" w:type="dxa"/>
            <w:tcBorders>
              <w:bottom w:val="single" w:sz="4" w:space="0" w:color="auto"/>
            </w:tcBorders>
            <w:shd w:val="clear" w:color="auto" w:fill="auto"/>
            <w:vAlign w:val="center"/>
          </w:tcPr>
          <w:p w:rsidR="00913A0A" w:rsidRPr="003412D9" w:rsidRDefault="00913A0A"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vAlign w:val="center"/>
          </w:tcPr>
          <w:p w:rsidR="00913A0A" w:rsidRPr="004B208C" w:rsidRDefault="00913A0A" w:rsidP="001A63C6">
            <w:pPr>
              <w:pStyle w:val="TableText"/>
              <w:widowControl w:val="0"/>
              <w:spacing w:before="160"/>
              <w:rPr>
                <w:rFonts w:ascii="Tahoma" w:hAnsi="Tahoma" w:cs="Tahoma"/>
                <w:color w:val="000000"/>
                <w:sz w:val="13"/>
              </w:rPr>
            </w:pPr>
            <w:r w:rsidRPr="004B208C">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3</w:t>
            </w:r>
          </w:p>
        </w:tc>
        <w:tc>
          <w:tcPr>
            <w:tcW w:w="435"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65" w:type="dxa"/>
            <w:gridSpan w:val="3"/>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365"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1A63C6">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913A0A" w:rsidRPr="004B208C" w:rsidRDefault="00913A0A" w:rsidP="001A63C6">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2C4BA9" w:rsidP="001A63C6">
            <w:pPr>
              <w:pStyle w:val="TableText"/>
              <w:widowControl w:val="0"/>
              <w:rPr>
                <w:rFonts w:ascii="Tahoma" w:hAnsi="Tahoma" w:cs="Tahoma"/>
                <w:color w:val="000000"/>
                <w:sz w:val="13"/>
              </w:rPr>
            </w:pPr>
            <w:r w:rsidRPr="004B208C">
              <w:rPr>
                <w:rFonts w:ascii="Tahoma" w:hAnsi="Tahoma" w:cs="Tahoma"/>
                <w:color w:val="000000"/>
                <w:sz w:val="13"/>
              </w:rPr>
              <w:t>A</w:t>
            </w:r>
          </w:p>
        </w:tc>
      </w:tr>
      <w:tr w:rsidR="00600C32" w:rsidRPr="004B208C" w:rsidTr="00515DFA">
        <w:trPr>
          <w:trHeight w:val="467"/>
        </w:trPr>
        <w:tc>
          <w:tcPr>
            <w:tcW w:w="2551" w:type="dxa"/>
            <w:gridSpan w:val="2"/>
            <w:tcBorders>
              <w:bottom w:val="single" w:sz="4" w:space="0" w:color="auto"/>
            </w:tcBorders>
            <w:shd w:val="clear" w:color="auto" w:fill="FABF8F"/>
            <w:vAlign w:val="center"/>
          </w:tcPr>
          <w:p w:rsidR="00913A0A" w:rsidRPr="004B208C" w:rsidRDefault="00913A0A" w:rsidP="007E466C">
            <w:pPr>
              <w:pStyle w:val="Heading2"/>
              <w:keepNext/>
              <w:keepLines/>
              <w:spacing w:before="20" w:after="20"/>
              <w:ind w:left="0"/>
              <w:rPr>
                <w:rFonts w:ascii="Tahoma" w:hAnsi="Tahoma" w:cs="Tahoma"/>
                <w:b w:val="0"/>
                <w:sz w:val="14"/>
                <w:szCs w:val="14"/>
              </w:rPr>
            </w:pPr>
            <w:bookmarkStart w:id="538" w:name="_Toc336338149"/>
            <w:bookmarkStart w:id="539" w:name="_Toc370981268"/>
            <w:r w:rsidRPr="004B208C">
              <w:rPr>
                <w:rFonts w:ascii="Tahoma" w:hAnsi="Tahoma" w:cs="Tahoma"/>
                <w:b w:val="0"/>
                <w:sz w:val="14"/>
                <w:szCs w:val="14"/>
              </w:rPr>
              <w:t>External Connector dos Serviços de Gerenciamento de Direitos do Active Directory do Windows Server™</w:t>
            </w:r>
            <w:bookmarkEnd w:id="538"/>
            <w:bookmarkEnd w:id="539"/>
          </w:p>
        </w:tc>
        <w:tc>
          <w:tcPr>
            <w:tcW w:w="449" w:type="dxa"/>
            <w:tcBorders>
              <w:bottom w:val="single" w:sz="4" w:space="0" w:color="auto"/>
            </w:tcBorders>
            <w:shd w:val="clear" w:color="auto" w:fill="FABF8F"/>
            <w:vAlign w:val="center"/>
          </w:tcPr>
          <w:p w:rsidR="00913A0A" w:rsidRPr="003412D9" w:rsidRDefault="00913A0A" w:rsidP="007E466C">
            <w:pPr>
              <w:pStyle w:val="TableText"/>
              <w:keepNext/>
              <w:keepLines/>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913A0A" w:rsidRPr="004B208C" w:rsidRDefault="00913A0A" w:rsidP="007E466C">
            <w:pPr>
              <w:pStyle w:val="TableText"/>
              <w:keepNext/>
              <w:keepLines/>
              <w:widowControl w:val="0"/>
              <w:spacing w:before="160"/>
              <w:rPr>
                <w:rFonts w:ascii="Tahoma" w:hAnsi="Tahoma" w:cs="Tahoma"/>
                <w:color w:val="000000"/>
                <w:sz w:val="13"/>
              </w:rPr>
            </w:pPr>
            <w:r w:rsidRPr="004B208C">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313</w:t>
            </w:r>
          </w:p>
        </w:tc>
        <w:tc>
          <w:tcPr>
            <w:tcW w:w="435" w:type="dxa"/>
            <w:tcBorders>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250</w:t>
            </w:r>
          </w:p>
        </w:tc>
        <w:tc>
          <w:tcPr>
            <w:tcW w:w="465" w:type="dxa"/>
            <w:gridSpan w:val="3"/>
            <w:tcBorders>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125</w:t>
            </w:r>
          </w:p>
        </w:tc>
        <w:tc>
          <w:tcPr>
            <w:tcW w:w="365" w:type="dxa"/>
            <w:tcBorders>
              <w:bottom w:val="single" w:sz="4" w:space="0" w:color="auto"/>
              <w:right w:val="single" w:sz="18"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125</w:t>
            </w:r>
          </w:p>
        </w:tc>
        <w:tc>
          <w:tcPr>
            <w:tcW w:w="450" w:type="dxa"/>
            <w:tcBorders>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A</w:t>
            </w: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FABF8F"/>
            <w:vAlign w:val="center"/>
          </w:tcPr>
          <w:p w:rsidR="00913A0A" w:rsidRPr="004B208C" w:rsidRDefault="00913A0A" w:rsidP="007E466C">
            <w:pPr>
              <w:pStyle w:val="TableText"/>
              <w:keepNext/>
              <w:keepLines/>
              <w:widowControl w:val="0"/>
              <w:rPr>
                <w:rFonts w:ascii="Tahoma" w:hAnsi="Tahoma" w:cs="Tahoma"/>
                <w:color w:val="000000"/>
                <w:sz w:val="13"/>
              </w:rPr>
            </w:pPr>
            <w:r w:rsidRPr="004B208C">
              <w:rPr>
                <w:rFonts w:ascii="Tahoma" w:hAnsi="Tahoma" w:cs="Tahoma"/>
                <w:color w:val="000000"/>
                <w:sz w:val="13"/>
              </w:rPr>
              <w:t>LO/OV</w:t>
            </w:r>
          </w:p>
        </w:tc>
        <w:tc>
          <w:tcPr>
            <w:tcW w:w="371" w:type="dxa"/>
            <w:tcBorders>
              <w:bottom w:val="single" w:sz="4" w:space="0" w:color="auto"/>
            </w:tcBorders>
            <w:shd w:val="clear" w:color="auto" w:fill="FABF8F"/>
          </w:tcPr>
          <w:p w:rsidR="00913A0A" w:rsidRPr="004B208C" w:rsidRDefault="002C4BA9" w:rsidP="007E466C">
            <w:pPr>
              <w:pStyle w:val="TableText"/>
              <w:keepNext/>
              <w:keepLines/>
              <w:widowControl w:val="0"/>
              <w:rPr>
                <w:rFonts w:ascii="Tahoma" w:hAnsi="Tahoma" w:cs="Tahoma"/>
                <w:color w:val="000000"/>
                <w:sz w:val="13"/>
              </w:rPr>
            </w:pPr>
            <w:r w:rsidRPr="004B208C">
              <w:rPr>
                <w:rFonts w:ascii="Tahoma" w:hAnsi="Tahoma" w:cs="Tahoma"/>
                <w:color w:val="000000"/>
                <w:sz w:val="13"/>
              </w:rPr>
              <w:t>A</w:t>
            </w:r>
          </w:p>
        </w:tc>
      </w:tr>
      <w:tr w:rsidR="00600C32" w:rsidRPr="004B208C" w:rsidTr="00515DFA">
        <w:trPr>
          <w:gridBefore w:val="1"/>
          <w:wBefore w:w="19" w:type="dxa"/>
          <w:trHeight w:val="145"/>
        </w:trPr>
        <w:tc>
          <w:tcPr>
            <w:tcW w:w="2532" w:type="dxa"/>
            <w:tcBorders>
              <w:bottom w:val="single" w:sz="4" w:space="0" w:color="auto"/>
            </w:tcBorders>
            <w:shd w:val="clear" w:color="auto" w:fill="auto"/>
            <w:vAlign w:val="center"/>
          </w:tcPr>
          <w:p w:rsidR="00913A0A" w:rsidRPr="004B208C" w:rsidRDefault="00913A0A" w:rsidP="007E466C">
            <w:pPr>
              <w:pStyle w:val="Heading2"/>
              <w:keepNext/>
              <w:keepLines/>
              <w:spacing w:before="20" w:after="20"/>
              <w:ind w:left="0"/>
              <w:rPr>
                <w:rFonts w:ascii="Tahoma" w:hAnsi="Tahoma" w:cs="Tahoma"/>
                <w:b w:val="0"/>
                <w:sz w:val="14"/>
                <w:szCs w:val="14"/>
              </w:rPr>
            </w:pPr>
            <w:bookmarkStart w:id="540" w:name="_Toc370981269"/>
            <w:r w:rsidRPr="004B208C">
              <w:rPr>
                <w:rFonts w:ascii="Tahoma" w:hAnsi="Tahoma" w:cs="Tahoma"/>
                <w:b w:val="0"/>
                <w:sz w:val="14"/>
                <w:szCs w:val="14"/>
              </w:rPr>
              <w:t>Windows Small Business Server 2008 Premium</w:t>
            </w:r>
            <w:bookmarkEnd w:id="540"/>
            <w:r w:rsidRPr="004B208C">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913A0A" w:rsidRPr="003412D9" w:rsidRDefault="00C70EF2" w:rsidP="00FC0808">
            <w:pPr>
              <w:pStyle w:val="TableText"/>
              <w:keepNext/>
              <w:keepLines/>
              <w:widowControl w:val="0"/>
              <w:rPr>
                <w:rFonts w:cs="Tahoma"/>
                <w:b/>
                <w:sz w:val="13"/>
                <w:szCs w:val="13"/>
                <w:u w:val="single"/>
              </w:rPr>
            </w:pPr>
            <w:hyperlink w:anchor="_115_Windows_Small" w:history="1">
              <w:r w:rsidR="00CF5A3E" w:rsidRPr="003412D9">
                <w:rPr>
                  <w:rStyle w:val="Hyperlink"/>
                  <w:rFonts w:cs="Tahoma"/>
                  <w:b/>
                  <w:sz w:val="13"/>
                  <w:szCs w:val="13"/>
                </w:rPr>
                <w:t>113</w:t>
              </w:r>
            </w:hyperlink>
            <w:hyperlink w:anchor="_111_Windows_Web" w:history="1"/>
            <w:hyperlink w:anchor="Srv_116WinSmallBizSVR2011Addon" w:history="1"/>
          </w:p>
        </w:tc>
        <w:tc>
          <w:tcPr>
            <w:tcW w:w="449" w:type="dxa"/>
            <w:tcBorders>
              <w:bottom w:val="single" w:sz="4" w:space="0" w:color="auto"/>
            </w:tcBorders>
            <w:shd w:val="clear" w:color="auto" w:fill="auto"/>
            <w:vAlign w:val="center"/>
          </w:tcPr>
          <w:p w:rsidR="00913A0A" w:rsidRPr="004B208C" w:rsidRDefault="00913A0A" w:rsidP="007E466C">
            <w:pPr>
              <w:pStyle w:val="TableText"/>
              <w:keepNext/>
              <w:keepLines/>
              <w:widowControl w:val="0"/>
              <w:spacing w:before="120"/>
              <w:rPr>
                <w:rFonts w:ascii="Tahoma" w:hAnsi="Tahoma" w:cs="Tahoma"/>
                <w:sz w:val="13"/>
              </w:rPr>
            </w:pPr>
            <w:r w:rsidRPr="004B208C">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913A0A" w:rsidRPr="004B208C" w:rsidDel="001265B4"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621" w:type="dxa"/>
            <w:tcBorders>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504" w:type="dxa"/>
            <w:tcBorders>
              <w:bottom w:val="single" w:sz="4" w:space="0" w:color="auto"/>
            </w:tcBorders>
            <w:shd w:val="clear" w:color="auto" w:fill="auto"/>
            <w:vAlign w:val="center"/>
          </w:tcPr>
          <w:p w:rsidR="00913A0A" w:rsidRPr="004B208C" w:rsidRDefault="00913A0A" w:rsidP="007E466C">
            <w:pPr>
              <w:pStyle w:val="TableText"/>
              <w:keepNext/>
              <w:keepLines/>
              <w:widowControl w:val="0"/>
              <w:rPr>
                <w:rFonts w:ascii="Tahoma" w:hAnsi="Tahoma" w:cs="Tahoma"/>
                <w:sz w:val="13"/>
              </w:rPr>
            </w:pPr>
          </w:p>
        </w:tc>
        <w:tc>
          <w:tcPr>
            <w:tcW w:w="371" w:type="dxa"/>
            <w:tcBorders>
              <w:bottom w:val="single" w:sz="4" w:space="0" w:color="auto"/>
            </w:tcBorders>
          </w:tcPr>
          <w:p w:rsidR="00913A0A" w:rsidRPr="004B208C" w:rsidRDefault="00913A0A" w:rsidP="007E466C">
            <w:pPr>
              <w:pStyle w:val="TableText"/>
              <w:keepNext/>
              <w:keepLines/>
              <w:widowControl w:val="0"/>
              <w:rPr>
                <w:rFonts w:ascii="Tahoma" w:hAnsi="Tahoma" w:cs="Tahoma"/>
                <w:sz w:val="13"/>
              </w:rPr>
            </w:pPr>
          </w:p>
        </w:tc>
      </w:tr>
      <w:tr w:rsidR="00600C32" w:rsidRPr="004B208C" w:rsidTr="00515DFA">
        <w:trPr>
          <w:gridBefore w:val="1"/>
          <w:wBefore w:w="19" w:type="dxa"/>
          <w:trHeight w:val="145"/>
        </w:trPr>
        <w:tc>
          <w:tcPr>
            <w:tcW w:w="2532" w:type="dxa"/>
            <w:tcBorders>
              <w:bottom w:val="single" w:sz="4" w:space="0" w:color="auto"/>
            </w:tcBorders>
            <w:shd w:val="clear" w:color="auto" w:fill="FABF8F"/>
            <w:vAlign w:val="center"/>
          </w:tcPr>
          <w:p w:rsidR="00913A0A" w:rsidRPr="004B208C" w:rsidRDefault="00913A0A" w:rsidP="002E5D03">
            <w:pPr>
              <w:pStyle w:val="Heading2"/>
              <w:spacing w:before="20" w:after="20"/>
              <w:ind w:left="0"/>
              <w:rPr>
                <w:rFonts w:ascii="Tahoma" w:hAnsi="Tahoma" w:cs="Tahoma"/>
                <w:b w:val="0"/>
                <w:sz w:val="14"/>
                <w:szCs w:val="14"/>
              </w:rPr>
            </w:pPr>
            <w:bookmarkStart w:id="541" w:name="_Toc370981270"/>
            <w:r w:rsidRPr="004B208C">
              <w:rPr>
                <w:rFonts w:ascii="Tahoma" w:hAnsi="Tahoma" w:cs="Tahoma"/>
                <w:b w:val="0"/>
                <w:sz w:val="14"/>
                <w:szCs w:val="14"/>
              </w:rPr>
              <w:t>Windows Small Business Server 2011 Standard</w:t>
            </w:r>
            <w:bookmarkEnd w:id="541"/>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Fonts w:cs="Tahoma"/>
                <w:sz w:val="13"/>
                <w:szCs w:val="13"/>
              </w:rPr>
            </w:pPr>
            <w:hyperlink w:anchor="_114_Windows_Small_1" w:history="1">
              <w:r w:rsidR="00913A0A" w:rsidRPr="003412D9">
                <w:rPr>
                  <w:rStyle w:val="Hyperlink"/>
                  <w:rFonts w:cs="Tahoma"/>
                  <w:b/>
                  <w:sz w:val="13"/>
                  <w:szCs w:val="13"/>
                </w:rPr>
                <w:t>11</w:t>
              </w:r>
              <w:r w:rsidR="00913A0A" w:rsidRPr="003412D9">
                <w:rPr>
                  <w:rStyle w:val="Hyperlink"/>
                  <w:rFonts w:cs="Tahoma"/>
                  <w:sz w:val="13"/>
                  <w:szCs w:val="13"/>
                </w:rPr>
                <w:t>4</w:t>
              </w:r>
            </w:hyperlink>
          </w:p>
        </w:tc>
        <w:tc>
          <w:tcPr>
            <w:tcW w:w="449" w:type="dxa"/>
            <w:tcBorders>
              <w:bottom w:val="single" w:sz="4" w:space="0" w:color="auto"/>
            </w:tcBorders>
            <w:shd w:val="clear" w:color="auto" w:fill="FABF8F"/>
            <w:vAlign w:val="center"/>
          </w:tcPr>
          <w:p w:rsidR="00913A0A" w:rsidRPr="004B208C" w:rsidRDefault="00913A0A" w:rsidP="00886719">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rsidP="00886719">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rsidP="00886719">
            <w:pPr>
              <w:pStyle w:val="TableText"/>
              <w:widowControl w:val="0"/>
              <w:rPr>
                <w:rFonts w:ascii="Tahoma" w:hAnsi="Tahoma" w:cs="Tahoma"/>
                <w:sz w:val="13"/>
              </w:rPr>
            </w:pPr>
          </w:p>
        </w:tc>
      </w:tr>
      <w:tr w:rsidR="00600C32" w:rsidRPr="004B208C" w:rsidTr="00515DFA">
        <w:trPr>
          <w:gridBefore w:val="1"/>
          <w:wBefore w:w="19" w:type="dxa"/>
          <w:trHeight w:val="145"/>
        </w:trPr>
        <w:tc>
          <w:tcPr>
            <w:tcW w:w="2532" w:type="dxa"/>
            <w:tcBorders>
              <w:bottom w:val="single" w:sz="4" w:space="0" w:color="auto"/>
            </w:tcBorders>
            <w:shd w:val="clear" w:color="auto" w:fill="auto"/>
            <w:vAlign w:val="center"/>
          </w:tcPr>
          <w:p w:rsidR="00913A0A" w:rsidRPr="004B208C" w:rsidRDefault="00913A0A" w:rsidP="002E5D03">
            <w:pPr>
              <w:pStyle w:val="Heading2"/>
              <w:spacing w:before="20" w:after="20"/>
              <w:ind w:left="0"/>
              <w:rPr>
                <w:rFonts w:ascii="Tahoma" w:hAnsi="Tahoma" w:cs="Tahoma"/>
                <w:b w:val="0"/>
                <w:sz w:val="14"/>
                <w:szCs w:val="14"/>
              </w:rPr>
            </w:pPr>
            <w:bookmarkStart w:id="542" w:name="_Toc336338158"/>
            <w:bookmarkStart w:id="543" w:name="_Toc370981271"/>
            <w:r w:rsidRPr="004B208C">
              <w:rPr>
                <w:rFonts w:ascii="Tahoma" w:hAnsi="Tahoma" w:cs="Tahoma"/>
                <w:b w:val="0"/>
                <w:sz w:val="14"/>
                <w:szCs w:val="14"/>
              </w:rPr>
              <w:t>Windows Small Business Server 2011 CAL Suite (1 cliente)</w:t>
            </w:r>
            <w:bookmarkEnd w:id="542"/>
            <w:bookmarkEnd w:id="543"/>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rPr>
                <w:rStyle w:val="EndnoteReference"/>
                <w:rFonts w:cs="Tahoma"/>
                <w:b w:val="0"/>
                <w:color w:val="0000FF"/>
                <w:sz w:val="13"/>
                <w:szCs w:val="13"/>
                <w:u w:val="single"/>
              </w:rPr>
            </w:pPr>
            <w:hyperlink w:anchor="_116_Windows_Small" w:history="1">
              <w:r w:rsidR="00CF5A3E" w:rsidRPr="003412D9">
                <w:rPr>
                  <w:rStyle w:val="Hyperlink"/>
                  <w:rFonts w:cs="Tahoma"/>
                  <w:b/>
                  <w:sz w:val="13"/>
                  <w:szCs w:val="13"/>
                </w:rPr>
                <w:t>115</w:t>
              </w:r>
            </w:hyperlink>
          </w:p>
        </w:tc>
        <w:tc>
          <w:tcPr>
            <w:tcW w:w="449" w:type="dxa"/>
            <w:tcBorders>
              <w:bottom w:val="single" w:sz="4" w:space="0" w:color="auto"/>
            </w:tcBorders>
            <w:shd w:val="clear" w:color="auto" w:fill="auto"/>
            <w:vAlign w:val="center"/>
          </w:tcPr>
          <w:p w:rsidR="00913A0A" w:rsidRPr="004B208C" w:rsidRDefault="00913A0A" w:rsidP="00886719">
            <w:pPr>
              <w:pStyle w:val="TableText"/>
              <w:widowControl w:val="0"/>
              <w:spacing w:before="120"/>
              <w:rPr>
                <w:rFonts w:ascii="Tahoma" w:hAnsi="Tahoma" w:cs="Tahoma"/>
                <w:sz w:val="13"/>
              </w:rPr>
            </w:pPr>
            <w:r w:rsidRPr="004B20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35" w:type="dxa"/>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65" w:type="dxa"/>
            <w:gridSpan w:val="3"/>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E, P</w:t>
            </w:r>
          </w:p>
        </w:tc>
        <w:tc>
          <w:tcPr>
            <w:tcW w:w="621" w:type="dxa"/>
            <w:tcBorders>
              <w:bottom w:val="single" w:sz="4" w:space="0" w:color="auto"/>
            </w:tcBorders>
            <w:shd w:val="clear" w:color="auto" w:fill="auto"/>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rsidP="00886719">
            <w:pPr>
              <w:pStyle w:val="TableText"/>
              <w:widowControl w:val="0"/>
              <w:rPr>
                <w:rFonts w:ascii="Tahoma" w:hAnsi="Tahoma" w:cs="Tahoma"/>
                <w:sz w:val="13"/>
              </w:rPr>
            </w:pPr>
          </w:p>
        </w:tc>
      </w:tr>
      <w:tr w:rsidR="00600C32" w:rsidRPr="004B208C" w:rsidTr="00515DFA">
        <w:trPr>
          <w:gridBefore w:val="1"/>
          <w:wBefore w:w="19" w:type="dxa"/>
          <w:trHeight w:val="145"/>
        </w:trPr>
        <w:tc>
          <w:tcPr>
            <w:tcW w:w="2532" w:type="dxa"/>
            <w:tcBorders>
              <w:bottom w:val="single" w:sz="4" w:space="0" w:color="auto"/>
            </w:tcBorders>
            <w:shd w:val="clear" w:color="auto" w:fill="FABF8F"/>
            <w:vAlign w:val="center"/>
          </w:tcPr>
          <w:p w:rsidR="00913A0A" w:rsidRPr="004B208C" w:rsidRDefault="00913A0A" w:rsidP="002E5D03">
            <w:pPr>
              <w:pStyle w:val="Heading2"/>
              <w:spacing w:before="20" w:after="20"/>
              <w:ind w:left="0"/>
              <w:rPr>
                <w:rFonts w:ascii="Tahoma" w:hAnsi="Tahoma" w:cs="Tahoma"/>
                <w:b w:val="0"/>
                <w:color w:val="000000"/>
                <w:sz w:val="14"/>
                <w:szCs w:val="14"/>
              </w:rPr>
            </w:pPr>
            <w:bookmarkStart w:id="544" w:name="_Toc336338159"/>
            <w:bookmarkStart w:id="545" w:name="_Toc370981272"/>
            <w:r w:rsidRPr="004B208C">
              <w:rPr>
                <w:rFonts w:ascii="Tahoma" w:hAnsi="Tahoma" w:cs="Tahoma"/>
                <w:b w:val="0"/>
                <w:sz w:val="14"/>
                <w:szCs w:val="14"/>
              </w:rPr>
              <w:t>Windows Small Business Server 2011 CAL Suite (5 clientes)</w:t>
            </w:r>
            <w:bookmarkEnd w:id="544"/>
            <w:bookmarkEnd w:id="545"/>
          </w:p>
        </w:tc>
        <w:tc>
          <w:tcPr>
            <w:tcW w:w="449" w:type="dxa"/>
            <w:tcBorders>
              <w:bottom w:val="single" w:sz="4" w:space="0" w:color="auto"/>
            </w:tcBorders>
            <w:shd w:val="clear" w:color="auto" w:fill="FABF8F"/>
            <w:vAlign w:val="center"/>
          </w:tcPr>
          <w:p w:rsidR="00913A0A" w:rsidRPr="003412D9" w:rsidRDefault="00C70EF2" w:rsidP="00FC0808">
            <w:pPr>
              <w:pStyle w:val="TableText"/>
              <w:widowControl w:val="0"/>
              <w:rPr>
                <w:rStyle w:val="EndnoteReference"/>
                <w:rFonts w:cs="Tahoma"/>
                <w:b w:val="0"/>
                <w:sz w:val="13"/>
                <w:szCs w:val="13"/>
                <w:u w:val="single"/>
              </w:rPr>
            </w:pPr>
            <w:hyperlink w:anchor="_116_Windows_Small" w:history="1">
              <w:r w:rsidR="00CF5A3E" w:rsidRPr="003412D9">
                <w:rPr>
                  <w:rStyle w:val="Hyperlink"/>
                  <w:rFonts w:cs="Tahoma"/>
                  <w:b/>
                  <w:sz w:val="13"/>
                  <w:szCs w:val="13"/>
                </w:rPr>
                <w:t>115</w:t>
              </w:r>
            </w:hyperlink>
          </w:p>
        </w:tc>
        <w:tc>
          <w:tcPr>
            <w:tcW w:w="449" w:type="dxa"/>
            <w:tcBorders>
              <w:bottom w:val="single" w:sz="4" w:space="0" w:color="auto"/>
            </w:tcBorders>
            <w:shd w:val="clear" w:color="auto" w:fill="FABF8F"/>
            <w:vAlign w:val="center"/>
          </w:tcPr>
          <w:p w:rsidR="00913A0A" w:rsidRPr="004B208C" w:rsidRDefault="00913A0A" w:rsidP="00886719">
            <w:pPr>
              <w:pStyle w:val="TableText"/>
              <w:widowControl w:val="0"/>
              <w:spacing w:before="120"/>
              <w:rPr>
                <w:rFonts w:ascii="Tahoma" w:hAnsi="Tahoma" w:cs="Tahoma"/>
                <w:sz w:val="13"/>
              </w:rPr>
            </w:pPr>
            <w:r w:rsidRPr="004B208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b/>
                <w:color w:val="008000"/>
                <w:sz w:val="13"/>
              </w:rPr>
            </w:pPr>
          </w:p>
        </w:tc>
        <w:tc>
          <w:tcPr>
            <w:tcW w:w="435" w:type="dxa"/>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b/>
                <w:color w:val="008000"/>
                <w:sz w:val="13"/>
              </w:rPr>
            </w:pPr>
          </w:p>
        </w:tc>
        <w:tc>
          <w:tcPr>
            <w:tcW w:w="465" w:type="dxa"/>
            <w:gridSpan w:val="3"/>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b/>
                <w:color w:val="0000FF"/>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color w:val="000000"/>
                <w:sz w:val="13"/>
              </w:rPr>
              <w:t>LO/OV</w:t>
            </w:r>
          </w:p>
        </w:tc>
        <w:tc>
          <w:tcPr>
            <w:tcW w:w="371" w:type="dxa"/>
            <w:tcBorders>
              <w:bottom w:val="single" w:sz="4" w:space="0" w:color="auto"/>
            </w:tcBorders>
            <w:shd w:val="clear" w:color="auto" w:fill="FABF8F"/>
          </w:tcPr>
          <w:p w:rsidR="00913A0A" w:rsidRPr="004B208C" w:rsidRDefault="00913A0A" w:rsidP="00886719">
            <w:pPr>
              <w:pStyle w:val="TableText"/>
              <w:widowControl w:val="0"/>
              <w:rPr>
                <w:rFonts w:ascii="Tahoma" w:hAnsi="Tahoma" w:cs="Tahoma"/>
                <w:color w:val="000000"/>
                <w:sz w:val="13"/>
              </w:rPr>
            </w:pPr>
          </w:p>
        </w:tc>
      </w:tr>
      <w:tr w:rsidR="00600C32" w:rsidRPr="004B208C" w:rsidTr="00515DFA">
        <w:trPr>
          <w:gridBefore w:val="1"/>
          <w:wBefore w:w="19" w:type="dxa"/>
          <w:trHeight w:val="145"/>
        </w:trPr>
        <w:tc>
          <w:tcPr>
            <w:tcW w:w="2532" w:type="dxa"/>
            <w:tcBorders>
              <w:bottom w:val="single" w:sz="4" w:space="0" w:color="auto"/>
            </w:tcBorders>
            <w:shd w:val="clear" w:color="auto" w:fill="auto"/>
          </w:tcPr>
          <w:p w:rsidR="00913A0A" w:rsidRPr="004B208C" w:rsidRDefault="00913A0A" w:rsidP="002E5D03">
            <w:pPr>
              <w:pStyle w:val="Heading2"/>
              <w:spacing w:before="20" w:after="20"/>
              <w:ind w:left="0"/>
              <w:rPr>
                <w:rFonts w:ascii="Tahoma" w:hAnsi="Tahoma" w:cs="Tahoma"/>
                <w:b w:val="0"/>
                <w:color w:val="000000"/>
                <w:sz w:val="14"/>
                <w:szCs w:val="14"/>
              </w:rPr>
            </w:pPr>
            <w:bookmarkStart w:id="546" w:name="_Toc336338160"/>
            <w:bookmarkStart w:id="547" w:name="_Toc370981273"/>
            <w:r w:rsidRPr="004B208C">
              <w:rPr>
                <w:rFonts w:ascii="Tahoma" w:hAnsi="Tahoma" w:cs="Tahoma"/>
                <w:b w:val="0"/>
                <w:sz w:val="14"/>
                <w:szCs w:val="14"/>
              </w:rPr>
              <w:t>Windows Small Business Server 2011 CAL Suite (20 clientes)</w:t>
            </w:r>
            <w:bookmarkEnd w:id="546"/>
            <w:bookmarkEnd w:id="547"/>
            <w:r w:rsidRPr="004B208C">
              <w:rPr>
                <w:rFonts w:ascii="Tahoma" w:eastAsia="Times New Roman" w:hAnsi="Tahoma" w:cs="Tahoma"/>
                <w:b w:val="0"/>
                <w:sz w:val="14"/>
                <w:szCs w:val="14"/>
              </w:rPr>
              <w:t xml:space="preserve"> </w:t>
            </w:r>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rPr>
                <w:rStyle w:val="EndnoteReference"/>
                <w:rFonts w:cs="Tahoma"/>
                <w:b w:val="0"/>
                <w:sz w:val="13"/>
                <w:szCs w:val="13"/>
                <w:u w:val="single"/>
              </w:rPr>
            </w:pPr>
            <w:hyperlink w:anchor="_116_Windows_Small" w:history="1">
              <w:r w:rsidR="00CF5A3E" w:rsidRPr="003412D9">
                <w:rPr>
                  <w:rStyle w:val="Hyperlink"/>
                  <w:rFonts w:cs="Tahoma"/>
                  <w:b/>
                  <w:sz w:val="13"/>
                  <w:szCs w:val="13"/>
                </w:rPr>
                <w:t>115</w:t>
              </w:r>
            </w:hyperlink>
          </w:p>
        </w:tc>
        <w:tc>
          <w:tcPr>
            <w:tcW w:w="449" w:type="dxa"/>
            <w:tcBorders>
              <w:bottom w:val="single" w:sz="4" w:space="0" w:color="auto"/>
            </w:tcBorders>
            <w:shd w:val="clear" w:color="auto" w:fill="auto"/>
            <w:vAlign w:val="center"/>
          </w:tcPr>
          <w:p w:rsidR="00913A0A" w:rsidRPr="004B208C" w:rsidRDefault="00913A0A" w:rsidP="00886719">
            <w:pPr>
              <w:pStyle w:val="TableText"/>
              <w:widowControl w:val="0"/>
              <w:spacing w:before="120"/>
              <w:rPr>
                <w:rFonts w:ascii="Tahoma" w:hAnsi="Tahoma" w:cs="Tahoma"/>
                <w:sz w:val="13"/>
              </w:rPr>
            </w:pPr>
            <w:r w:rsidRPr="004B20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b/>
                <w:color w:val="008000"/>
                <w:sz w:val="13"/>
              </w:rPr>
            </w:pPr>
          </w:p>
        </w:tc>
        <w:tc>
          <w:tcPr>
            <w:tcW w:w="435" w:type="dxa"/>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b/>
                <w:color w:val="008000"/>
                <w:sz w:val="13"/>
              </w:rPr>
            </w:pPr>
          </w:p>
        </w:tc>
        <w:tc>
          <w:tcPr>
            <w:tcW w:w="465" w:type="dxa"/>
            <w:gridSpan w:val="3"/>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b/>
                <w:color w:val="0000FF"/>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886719">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886719">
            <w:pPr>
              <w:pStyle w:val="TableText"/>
              <w:widowControl w:val="0"/>
              <w:rPr>
                <w:rFonts w:ascii="Tahoma" w:hAnsi="Tahoma" w:cs="Tahoma"/>
                <w:sz w:val="13"/>
              </w:rPr>
            </w:pPr>
            <w:r w:rsidRPr="004B208C">
              <w:rPr>
                <w:rFonts w:ascii="Tahoma" w:hAnsi="Tahoma" w:cs="Tahoma"/>
                <w:color w:val="000000"/>
                <w:sz w:val="13"/>
              </w:rPr>
              <w:t>LO/OV</w:t>
            </w:r>
          </w:p>
        </w:tc>
        <w:tc>
          <w:tcPr>
            <w:tcW w:w="371" w:type="dxa"/>
            <w:tcBorders>
              <w:bottom w:val="single" w:sz="4" w:space="0" w:color="auto"/>
            </w:tcBorders>
          </w:tcPr>
          <w:p w:rsidR="00913A0A" w:rsidRPr="004B208C" w:rsidRDefault="00913A0A" w:rsidP="00886719">
            <w:pPr>
              <w:pStyle w:val="TableText"/>
              <w:widowControl w:val="0"/>
              <w:rPr>
                <w:rFonts w:ascii="Tahoma" w:hAnsi="Tahoma" w:cs="Tahoma"/>
                <w:color w:val="000000"/>
                <w:sz w:val="13"/>
              </w:rPr>
            </w:pPr>
          </w:p>
        </w:tc>
      </w:tr>
      <w:tr w:rsidR="00600C32" w:rsidRPr="004B208C" w:rsidTr="00515DFA">
        <w:trPr>
          <w:gridBefore w:val="1"/>
          <w:wBefore w:w="19" w:type="dxa"/>
          <w:trHeight w:val="145"/>
        </w:trPr>
        <w:tc>
          <w:tcPr>
            <w:tcW w:w="2532" w:type="dxa"/>
            <w:tcBorders>
              <w:bottom w:val="single" w:sz="4" w:space="0" w:color="auto"/>
            </w:tcBorders>
            <w:shd w:val="clear" w:color="auto" w:fill="FABF8F"/>
            <w:vAlign w:val="center"/>
          </w:tcPr>
          <w:p w:rsidR="00913A0A" w:rsidRPr="004B208C" w:rsidRDefault="00913A0A" w:rsidP="002E5D03">
            <w:pPr>
              <w:pStyle w:val="Heading2"/>
              <w:spacing w:before="20" w:after="20"/>
              <w:ind w:left="0"/>
              <w:rPr>
                <w:rFonts w:ascii="Tahoma" w:hAnsi="Tahoma" w:cs="Tahoma"/>
                <w:b w:val="0"/>
                <w:sz w:val="14"/>
                <w:szCs w:val="14"/>
              </w:rPr>
            </w:pPr>
            <w:bookmarkStart w:id="548" w:name="_Toc370981274"/>
            <w:r w:rsidRPr="004B208C">
              <w:rPr>
                <w:rFonts w:ascii="Tahoma" w:hAnsi="Tahoma" w:cs="Tahoma"/>
                <w:b w:val="0"/>
                <w:sz w:val="14"/>
                <w:szCs w:val="14"/>
              </w:rPr>
              <w:t>Complemento do Windows Small Business Server 2011 Premium</w:t>
            </w:r>
            <w:bookmarkEnd w:id="548"/>
          </w:p>
        </w:tc>
        <w:tc>
          <w:tcPr>
            <w:tcW w:w="449" w:type="dxa"/>
            <w:tcBorders>
              <w:bottom w:val="single" w:sz="4" w:space="0" w:color="auto"/>
            </w:tcBorders>
            <w:shd w:val="clear" w:color="auto" w:fill="FABF8F"/>
            <w:vAlign w:val="center"/>
          </w:tcPr>
          <w:p w:rsidR="00913A0A" w:rsidRPr="003412D9" w:rsidRDefault="00C70EF2" w:rsidP="0091195E">
            <w:pPr>
              <w:pStyle w:val="TableText"/>
              <w:widowControl w:val="0"/>
              <w:rPr>
                <w:rFonts w:cs="Tahoma"/>
                <w:sz w:val="13"/>
                <w:szCs w:val="13"/>
              </w:rPr>
            </w:pPr>
            <w:hyperlink w:anchor="_116_Complemento_do" w:history="1">
              <w:r w:rsidR="00CF5A3E" w:rsidRPr="003412D9">
                <w:rPr>
                  <w:rStyle w:val="Hyperlink"/>
                  <w:rFonts w:cs="Tahoma"/>
                  <w:b/>
                  <w:sz w:val="13"/>
                  <w:szCs w:val="13"/>
                </w:rPr>
                <w:t>116</w:t>
              </w:r>
            </w:hyperlink>
          </w:p>
        </w:tc>
        <w:tc>
          <w:tcPr>
            <w:tcW w:w="449" w:type="dxa"/>
            <w:tcBorders>
              <w:bottom w:val="single" w:sz="4" w:space="0" w:color="auto"/>
            </w:tcBorders>
            <w:shd w:val="clear" w:color="auto" w:fill="FABF8F"/>
          </w:tcPr>
          <w:p w:rsidR="00913A0A" w:rsidRPr="004B208C" w:rsidRDefault="00913A0A">
            <w:pPr>
              <w:pStyle w:val="TableText"/>
              <w:widowControl w:val="0"/>
              <w:spacing w:before="12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4B208C" w:rsidRDefault="00913A0A">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4B208C" w:rsidRDefault="00913A0A">
            <w:pPr>
              <w:pStyle w:val="TableText"/>
              <w:widowControl w:val="0"/>
              <w:rPr>
                <w:rFonts w:ascii="Tahoma" w:hAnsi="Tahoma" w:cs="Tahoma"/>
                <w:b/>
                <w:color w:val="008000"/>
                <w:sz w:val="13"/>
              </w:rPr>
            </w:pPr>
          </w:p>
        </w:tc>
        <w:tc>
          <w:tcPr>
            <w:tcW w:w="435" w:type="dxa"/>
            <w:tcBorders>
              <w:bottom w:val="single" w:sz="4" w:space="0" w:color="auto"/>
            </w:tcBorders>
            <w:shd w:val="clear" w:color="auto" w:fill="FABF8F"/>
            <w:vAlign w:val="center"/>
          </w:tcPr>
          <w:p w:rsidR="00913A0A" w:rsidRPr="004B208C" w:rsidRDefault="00913A0A">
            <w:pPr>
              <w:pStyle w:val="TableText"/>
              <w:widowControl w:val="0"/>
              <w:rPr>
                <w:rFonts w:ascii="Tahoma" w:hAnsi="Tahoma" w:cs="Tahoma"/>
                <w:b/>
                <w:color w:val="008000"/>
                <w:sz w:val="13"/>
              </w:rPr>
            </w:pPr>
          </w:p>
        </w:tc>
        <w:tc>
          <w:tcPr>
            <w:tcW w:w="465" w:type="dxa"/>
            <w:gridSpan w:val="3"/>
            <w:tcBorders>
              <w:bottom w:val="single" w:sz="4" w:space="0" w:color="auto"/>
            </w:tcBorders>
            <w:shd w:val="clear" w:color="auto" w:fill="FABF8F"/>
            <w:vAlign w:val="center"/>
          </w:tcPr>
          <w:p w:rsidR="00913A0A" w:rsidRPr="004B208C"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4B208C"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4B208C" w:rsidRDefault="00913A0A">
            <w:pPr>
              <w:pStyle w:val="TableText"/>
              <w:widowControl w:val="0"/>
              <w:rPr>
                <w:rFonts w:ascii="Tahoma" w:hAnsi="Tahoma" w:cs="Tahoma"/>
                <w:b/>
                <w:color w:val="0000FF"/>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pPr>
              <w:pStyle w:val="TableText"/>
              <w:widowControl w:val="0"/>
              <w:rPr>
                <w:rFonts w:ascii="Tahoma" w:hAnsi="Tahoma" w:cs="Tahoma"/>
                <w:sz w:val="13"/>
              </w:rPr>
            </w:pPr>
          </w:p>
        </w:tc>
        <w:tc>
          <w:tcPr>
            <w:tcW w:w="621" w:type="dxa"/>
            <w:tcBorders>
              <w:bottom w:val="single" w:sz="4" w:space="0" w:color="auto"/>
            </w:tcBorders>
            <w:shd w:val="clear" w:color="auto" w:fill="FABF8F"/>
          </w:tcPr>
          <w:p w:rsidR="00913A0A" w:rsidRPr="004B208C" w:rsidRDefault="00913A0A">
            <w:pPr>
              <w:pStyle w:val="TableText"/>
              <w:widowControl w:val="0"/>
              <w:rPr>
                <w:rFonts w:ascii="Tahoma" w:hAnsi="Tahoma" w:cs="Tahoma"/>
                <w:sz w:val="13"/>
              </w:rPr>
            </w:pPr>
          </w:p>
        </w:tc>
        <w:tc>
          <w:tcPr>
            <w:tcW w:w="504" w:type="dxa"/>
            <w:tcBorders>
              <w:bottom w:val="single" w:sz="4" w:space="0" w:color="auto"/>
            </w:tcBorders>
            <w:shd w:val="clear" w:color="auto" w:fill="FABF8F"/>
            <w:vAlign w:val="center"/>
          </w:tcPr>
          <w:p w:rsidR="00913A0A" w:rsidRPr="004B208C" w:rsidRDefault="00913A0A">
            <w:pPr>
              <w:pStyle w:val="TableText"/>
              <w:widowControl w:val="0"/>
              <w:rPr>
                <w:rFonts w:ascii="Tahoma" w:hAnsi="Tahoma" w:cs="Tahoma"/>
                <w:sz w:val="13"/>
              </w:rPr>
            </w:pPr>
          </w:p>
        </w:tc>
        <w:tc>
          <w:tcPr>
            <w:tcW w:w="371" w:type="dxa"/>
            <w:tcBorders>
              <w:bottom w:val="single" w:sz="4" w:space="0" w:color="auto"/>
            </w:tcBorders>
            <w:shd w:val="clear" w:color="auto" w:fill="FABF8F"/>
          </w:tcPr>
          <w:p w:rsidR="00913A0A" w:rsidRPr="004B208C" w:rsidRDefault="00913A0A">
            <w:pPr>
              <w:pStyle w:val="TableText"/>
              <w:widowControl w:val="0"/>
              <w:rPr>
                <w:rFonts w:ascii="Tahoma" w:hAnsi="Tahoma" w:cs="Tahoma"/>
                <w:sz w:val="13"/>
              </w:rPr>
            </w:pPr>
          </w:p>
        </w:tc>
      </w:tr>
      <w:tr w:rsidR="00600C32" w:rsidRPr="004B208C" w:rsidTr="00515DFA">
        <w:trPr>
          <w:gridBefore w:val="1"/>
          <w:wBefore w:w="19" w:type="dxa"/>
          <w:trHeight w:val="145"/>
        </w:trPr>
        <w:tc>
          <w:tcPr>
            <w:tcW w:w="2532" w:type="dxa"/>
            <w:tcBorders>
              <w:bottom w:val="single" w:sz="4" w:space="0" w:color="auto"/>
            </w:tcBorders>
            <w:shd w:val="clear" w:color="auto" w:fill="auto"/>
            <w:vAlign w:val="center"/>
          </w:tcPr>
          <w:p w:rsidR="00913A0A" w:rsidRPr="004B208C" w:rsidRDefault="00913A0A" w:rsidP="002E5D03">
            <w:pPr>
              <w:pStyle w:val="Heading2"/>
              <w:spacing w:before="20" w:after="20"/>
              <w:ind w:left="0"/>
              <w:rPr>
                <w:rFonts w:ascii="Tahoma" w:hAnsi="Tahoma" w:cs="Tahoma"/>
                <w:b w:val="0"/>
                <w:sz w:val="14"/>
                <w:szCs w:val="14"/>
              </w:rPr>
            </w:pPr>
            <w:bookmarkStart w:id="549" w:name="_Toc336338162"/>
            <w:bookmarkStart w:id="550" w:name="_Toc370981275"/>
            <w:r w:rsidRPr="004B208C">
              <w:rPr>
                <w:rFonts w:ascii="Tahoma" w:hAnsi="Tahoma" w:cs="Tahoma"/>
                <w:b w:val="0"/>
                <w:sz w:val="14"/>
                <w:szCs w:val="14"/>
              </w:rPr>
              <w:t>Pacote de CALs do Complemento do Windows Small Business Server (SBS) 2011 Premium</w:t>
            </w:r>
            <w:bookmarkEnd w:id="549"/>
            <w:bookmarkEnd w:id="550"/>
            <w:r w:rsidRPr="004B208C">
              <w:rPr>
                <w:rFonts w:ascii="Tahoma" w:hAnsi="Tahoma" w:cs="Tahoma"/>
                <w:b w:val="0"/>
                <w:sz w:val="14"/>
                <w:szCs w:val="14"/>
              </w:rPr>
              <w:t xml:space="preserve"> </w:t>
            </w:r>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rPr>
                <w:rFonts w:cs="Tahoma"/>
                <w:b/>
                <w:sz w:val="13"/>
                <w:szCs w:val="13"/>
                <w:u w:val="single"/>
              </w:rPr>
            </w:pPr>
            <w:hyperlink w:anchor="_117_Pacote_de" w:history="1">
              <w:r w:rsidR="00CF5A3E" w:rsidRPr="003412D9">
                <w:rPr>
                  <w:rStyle w:val="Hyperlink"/>
                  <w:rFonts w:cs="Tahoma"/>
                  <w:b/>
                  <w:sz w:val="13"/>
                  <w:szCs w:val="13"/>
                </w:rPr>
                <w:t>117</w:t>
              </w:r>
            </w:hyperlink>
          </w:p>
        </w:tc>
        <w:tc>
          <w:tcPr>
            <w:tcW w:w="449" w:type="dxa"/>
            <w:tcBorders>
              <w:bottom w:val="single" w:sz="4" w:space="0" w:color="auto"/>
            </w:tcBorders>
            <w:shd w:val="clear" w:color="auto" w:fill="auto"/>
          </w:tcPr>
          <w:p w:rsidR="00913A0A" w:rsidRPr="004B208C" w:rsidRDefault="00913A0A">
            <w:pPr>
              <w:pStyle w:val="TableText"/>
              <w:widowControl w:val="0"/>
              <w:spacing w:before="120"/>
              <w:rPr>
                <w:rFonts w:ascii="Tahoma" w:hAnsi="Tahoma" w:cs="Tahoma"/>
                <w:sz w:val="13"/>
              </w:rPr>
            </w:pPr>
            <w:r w:rsidRPr="004B20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B208C" w:rsidRDefault="00913A0A">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4B208C" w:rsidRDefault="00913A0A">
            <w:pPr>
              <w:pStyle w:val="TableText"/>
              <w:widowControl w:val="0"/>
              <w:rPr>
                <w:rFonts w:ascii="Tahoma" w:hAnsi="Tahoma" w:cs="Tahoma"/>
                <w:b/>
                <w:color w:val="008000"/>
                <w:sz w:val="13"/>
              </w:rPr>
            </w:pPr>
          </w:p>
        </w:tc>
        <w:tc>
          <w:tcPr>
            <w:tcW w:w="435" w:type="dxa"/>
            <w:tcBorders>
              <w:bottom w:val="single" w:sz="4" w:space="0" w:color="auto"/>
            </w:tcBorders>
            <w:shd w:val="clear" w:color="auto" w:fill="auto"/>
            <w:vAlign w:val="center"/>
          </w:tcPr>
          <w:p w:rsidR="00913A0A" w:rsidRPr="004B208C" w:rsidRDefault="00913A0A">
            <w:pPr>
              <w:pStyle w:val="TableText"/>
              <w:widowControl w:val="0"/>
              <w:rPr>
                <w:rFonts w:ascii="Tahoma" w:hAnsi="Tahoma" w:cs="Tahoma"/>
                <w:b/>
                <w:color w:val="008000"/>
                <w:sz w:val="13"/>
              </w:rPr>
            </w:pPr>
          </w:p>
        </w:tc>
        <w:tc>
          <w:tcPr>
            <w:tcW w:w="465" w:type="dxa"/>
            <w:gridSpan w:val="3"/>
            <w:tcBorders>
              <w:bottom w:val="single" w:sz="4" w:space="0" w:color="auto"/>
            </w:tcBorders>
            <w:shd w:val="clear" w:color="auto" w:fill="auto"/>
            <w:vAlign w:val="center"/>
          </w:tcPr>
          <w:p w:rsidR="00913A0A" w:rsidRPr="004B208C" w:rsidRDefault="00913A0A">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4B208C" w:rsidRDefault="00913A0A">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4B208C" w:rsidRDefault="00913A0A">
            <w:pPr>
              <w:pStyle w:val="TableText"/>
              <w:widowControl w:val="0"/>
              <w:rPr>
                <w:rFonts w:ascii="Tahoma" w:hAnsi="Tahoma" w:cs="Tahoma"/>
                <w:b/>
                <w:color w:val="0000FF"/>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tcBorders>
            <w:shd w:val="clear" w:color="auto" w:fill="auto"/>
            <w:vAlign w:val="center"/>
          </w:tcPr>
          <w:p w:rsidR="00913A0A" w:rsidRPr="004B208C" w:rsidRDefault="00913A0A">
            <w:pPr>
              <w:pStyle w:val="TableText"/>
              <w:widowControl w:val="0"/>
              <w:rPr>
                <w:rFonts w:ascii="Tahoma" w:hAnsi="Tahoma" w:cs="Tahoma"/>
                <w:sz w:val="13"/>
              </w:rPr>
            </w:pPr>
            <w:r w:rsidRPr="004B208C">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4B208C" w:rsidRDefault="00913A0A">
            <w:pPr>
              <w:pStyle w:val="TableText"/>
              <w:widowControl w:val="0"/>
              <w:rPr>
                <w:rFonts w:ascii="Tahoma" w:hAnsi="Tahoma" w:cs="Tahoma"/>
                <w:sz w:val="13"/>
              </w:rPr>
            </w:pPr>
            <w:r w:rsidRPr="004B208C">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4B208C" w:rsidRDefault="00913A0A">
            <w:pPr>
              <w:pStyle w:val="TableText"/>
              <w:widowControl w:val="0"/>
              <w:rPr>
                <w:rFonts w:ascii="Tahoma" w:hAnsi="Tahoma" w:cs="Tahoma"/>
                <w:sz w:val="13"/>
              </w:rPr>
            </w:pPr>
            <w:r w:rsidRPr="004B208C">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4B208C" w:rsidRDefault="00913A0A">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pPr>
              <w:pStyle w:val="TableText"/>
              <w:widowControl w:val="0"/>
              <w:rPr>
                <w:rFonts w:ascii="Tahoma" w:hAnsi="Tahoma" w:cs="Tahoma"/>
                <w:sz w:val="13"/>
              </w:rPr>
            </w:pPr>
            <w:r w:rsidRPr="004B208C">
              <w:rPr>
                <w:rFonts w:ascii="Tahoma" w:hAnsi="Tahoma" w:cs="Tahoma"/>
                <w:sz w:val="13"/>
              </w:rPr>
              <w:t>E, P</w:t>
            </w:r>
          </w:p>
        </w:tc>
        <w:tc>
          <w:tcPr>
            <w:tcW w:w="621" w:type="dxa"/>
            <w:tcBorders>
              <w:bottom w:val="single" w:sz="4" w:space="0" w:color="auto"/>
            </w:tcBorders>
            <w:shd w:val="clear" w:color="auto" w:fill="auto"/>
          </w:tcPr>
          <w:p w:rsidR="00913A0A" w:rsidRPr="004B208C" w:rsidRDefault="00913A0A">
            <w:pPr>
              <w:pStyle w:val="TableText"/>
              <w:widowControl w:val="0"/>
              <w:rPr>
                <w:rFonts w:ascii="Tahoma" w:hAnsi="Tahoma" w:cs="Tahoma"/>
                <w:sz w:val="13"/>
              </w:rPr>
            </w:pPr>
            <w:r w:rsidRPr="004B208C">
              <w:rPr>
                <w:rFonts w:ascii="Tahoma" w:hAnsi="Tahoma" w:cs="Tahoma"/>
                <w:sz w:val="13"/>
              </w:rPr>
              <w:t>A,ST</w:t>
            </w:r>
          </w:p>
        </w:tc>
        <w:tc>
          <w:tcPr>
            <w:tcW w:w="504" w:type="dxa"/>
            <w:tcBorders>
              <w:bottom w:val="single" w:sz="4" w:space="0" w:color="auto"/>
            </w:tcBorders>
            <w:shd w:val="clear" w:color="auto" w:fill="auto"/>
            <w:vAlign w:val="center"/>
          </w:tcPr>
          <w:p w:rsidR="00913A0A" w:rsidRPr="004B208C" w:rsidRDefault="00913A0A">
            <w:pPr>
              <w:pStyle w:val="TableText"/>
              <w:widowControl w:val="0"/>
              <w:rPr>
                <w:rFonts w:ascii="Tahoma" w:hAnsi="Tahoma" w:cs="Tahoma"/>
                <w:sz w:val="13"/>
              </w:rPr>
            </w:pPr>
          </w:p>
        </w:tc>
        <w:tc>
          <w:tcPr>
            <w:tcW w:w="371" w:type="dxa"/>
            <w:tcBorders>
              <w:bottom w:val="single" w:sz="4" w:space="0" w:color="auto"/>
            </w:tcBorders>
          </w:tcPr>
          <w:p w:rsidR="00913A0A" w:rsidRPr="004B208C" w:rsidRDefault="00913A0A">
            <w:pPr>
              <w:pStyle w:val="TableText"/>
              <w:widowControl w:val="0"/>
              <w:rPr>
                <w:rFonts w:ascii="Tahoma" w:hAnsi="Tahoma" w:cs="Tahoma"/>
                <w:sz w:val="13"/>
              </w:rPr>
            </w:pPr>
          </w:p>
        </w:tc>
      </w:tr>
      <w:tr w:rsidR="00600C32" w:rsidRPr="004B208C" w:rsidTr="00515DFA">
        <w:trPr>
          <w:gridBefore w:val="1"/>
          <w:wBefore w:w="19" w:type="dxa"/>
          <w:trHeight w:val="145"/>
        </w:trPr>
        <w:tc>
          <w:tcPr>
            <w:tcW w:w="2532" w:type="dxa"/>
            <w:tcBorders>
              <w:bottom w:val="single" w:sz="4" w:space="0" w:color="auto"/>
            </w:tcBorders>
            <w:shd w:val="clear" w:color="auto" w:fill="FABF8F"/>
            <w:vAlign w:val="center"/>
          </w:tcPr>
          <w:p w:rsidR="00913A0A" w:rsidRPr="004B208C" w:rsidRDefault="00913A0A" w:rsidP="00731EEF">
            <w:pPr>
              <w:pStyle w:val="Heading2"/>
              <w:spacing w:before="20" w:after="20"/>
              <w:ind w:left="0"/>
              <w:rPr>
                <w:rFonts w:ascii="Tahoma" w:hAnsi="Tahoma" w:cs="Tahoma"/>
                <w:b w:val="0"/>
                <w:sz w:val="14"/>
                <w:szCs w:val="14"/>
              </w:rPr>
            </w:pPr>
            <w:bookmarkStart w:id="551" w:name="_Toc336338163"/>
            <w:bookmarkStart w:id="552" w:name="_Toc370981276"/>
            <w:r w:rsidRPr="004B208C">
              <w:rPr>
                <w:rFonts w:ascii="Tahoma" w:hAnsi="Tahoma" w:cs="Tahoma"/>
                <w:b w:val="0"/>
                <w:sz w:val="14"/>
                <w:szCs w:val="14"/>
              </w:rPr>
              <w:t>Pacote de CALs do Complemento do Windows Small Business Server 2011 (5</w:t>
            </w:r>
            <w:r w:rsidR="00731EEF">
              <w:rPr>
                <w:rFonts w:ascii="Tahoma" w:hAnsi="Tahoma" w:cs="Tahoma"/>
                <w:b w:val="0"/>
                <w:sz w:val="14"/>
                <w:szCs w:val="14"/>
              </w:rPr>
              <w:t> </w:t>
            </w:r>
            <w:r w:rsidRPr="004B208C">
              <w:rPr>
                <w:rFonts w:ascii="Tahoma" w:hAnsi="Tahoma" w:cs="Tahoma"/>
                <w:b w:val="0"/>
                <w:sz w:val="14"/>
                <w:szCs w:val="14"/>
              </w:rPr>
              <w:t>clientes)</w:t>
            </w:r>
            <w:bookmarkEnd w:id="551"/>
            <w:bookmarkEnd w:id="552"/>
          </w:p>
        </w:tc>
        <w:tc>
          <w:tcPr>
            <w:tcW w:w="449" w:type="dxa"/>
            <w:tcBorders>
              <w:bottom w:val="single" w:sz="4" w:space="0" w:color="auto"/>
            </w:tcBorders>
            <w:shd w:val="clear" w:color="auto" w:fill="FABF8F"/>
            <w:vAlign w:val="center"/>
          </w:tcPr>
          <w:p w:rsidR="00913A0A" w:rsidRPr="003412D9" w:rsidRDefault="00C70EF2" w:rsidP="0091195E">
            <w:pPr>
              <w:pStyle w:val="TableText"/>
              <w:widowControl w:val="0"/>
              <w:rPr>
                <w:rFonts w:cs="Tahoma"/>
                <w:b/>
                <w:sz w:val="13"/>
                <w:szCs w:val="13"/>
                <w:u w:val="single"/>
              </w:rPr>
            </w:pPr>
            <w:hyperlink w:anchor="_124_Windows_Small" w:history="1">
              <w:r w:rsidR="00CF5A3E" w:rsidRPr="003412D9">
                <w:rPr>
                  <w:rStyle w:val="Hyperlink"/>
                  <w:rFonts w:cs="Tahoma"/>
                  <w:b/>
                  <w:sz w:val="13"/>
                  <w:szCs w:val="13"/>
                </w:rPr>
                <w:t>117</w:t>
              </w:r>
            </w:hyperlink>
          </w:p>
        </w:tc>
        <w:tc>
          <w:tcPr>
            <w:tcW w:w="449" w:type="dxa"/>
            <w:tcBorders>
              <w:bottom w:val="single" w:sz="4" w:space="0" w:color="auto"/>
            </w:tcBorders>
            <w:shd w:val="clear" w:color="auto" w:fill="FABF8F"/>
          </w:tcPr>
          <w:p w:rsidR="00913A0A" w:rsidRPr="004B208C" w:rsidRDefault="00913A0A" w:rsidP="00F97D54">
            <w:pPr>
              <w:pStyle w:val="TableText"/>
              <w:widowControl w:val="0"/>
              <w:spacing w:before="120"/>
              <w:rPr>
                <w:rFonts w:ascii="Tahoma" w:hAnsi="Tahoma" w:cs="Tahoma"/>
                <w:sz w:val="13"/>
              </w:rPr>
            </w:pPr>
            <w:r w:rsidRPr="004B208C">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8000"/>
                <w:sz w:val="13"/>
              </w:rPr>
            </w:pPr>
          </w:p>
        </w:tc>
        <w:tc>
          <w:tcPr>
            <w:tcW w:w="435" w:type="dxa"/>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8000"/>
                <w:sz w:val="13"/>
              </w:rPr>
            </w:pPr>
          </w:p>
        </w:tc>
        <w:tc>
          <w:tcPr>
            <w:tcW w:w="465" w:type="dxa"/>
            <w:gridSpan w:val="3"/>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00FF"/>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LO/OV</w:t>
            </w:r>
          </w:p>
        </w:tc>
        <w:tc>
          <w:tcPr>
            <w:tcW w:w="371" w:type="dxa"/>
            <w:tcBorders>
              <w:bottom w:val="single" w:sz="4" w:space="0" w:color="auto"/>
            </w:tcBorders>
            <w:shd w:val="clear" w:color="auto" w:fill="FABF8F"/>
          </w:tcPr>
          <w:p w:rsidR="00913A0A" w:rsidRPr="004B208C" w:rsidRDefault="00913A0A" w:rsidP="00F97D54">
            <w:pPr>
              <w:pStyle w:val="TableText"/>
              <w:widowControl w:val="0"/>
              <w:rPr>
                <w:rFonts w:ascii="Tahoma" w:hAnsi="Tahoma" w:cs="Tahoma"/>
                <w:sz w:val="13"/>
              </w:rPr>
            </w:pPr>
          </w:p>
        </w:tc>
      </w:tr>
      <w:tr w:rsidR="00600C32" w:rsidRPr="004B208C" w:rsidTr="00515DFA">
        <w:trPr>
          <w:gridBefore w:val="1"/>
          <w:wBefore w:w="19" w:type="dxa"/>
          <w:trHeight w:val="440"/>
        </w:trPr>
        <w:tc>
          <w:tcPr>
            <w:tcW w:w="2532" w:type="dxa"/>
            <w:tcBorders>
              <w:bottom w:val="single" w:sz="4" w:space="0" w:color="auto"/>
            </w:tcBorders>
            <w:shd w:val="clear" w:color="auto" w:fill="auto"/>
            <w:vAlign w:val="center"/>
          </w:tcPr>
          <w:p w:rsidR="00913A0A" w:rsidRPr="004B208C" w:rsidRDefault="00913A0A" w:rsidP="002E5D03">
            <w:pPr>
              <w:pStyle w:val="Heading2"/>
              <w:spacing w:before="20" w:after="20"/>
              <w:ind w:left="0"/>
              <w:rPr>
                <w:rFonts w:ascii="Tahoma" w:hAnsi="Tahoma" w:cs="Tahoma"/>
                <w:b w:val="0"/>
                <w:sz w:val="14"/>
                <w:szCs w:val="14"/>
              </w:rPr>
            </w:pPr>
            <w:bookmarkStart w:id="553" w:name="_Toc336338164"/>
            <w:bookmarkStart w:id="554" w:name="_Toc370981277"/>
            <w:r w:rsidRPr="004B208C">
              <w:rPr>
                <w:rFonts w:ascii="Tahoma" w:hAnsi="Tahoma" w:cs="Tahoma"/>
                <w:b w:val="0"/>
                <w:sz w:val="14"/>
                <w:szCs w:val="14"/>
              </w:rPr>
              <w:t>Pacote de CALs do Complemento do Windows Small Business Server 2011 (20 clientes)</w:t>
            </w:r>
            <w:bookmarkEnd w:id="553"/>
            <w:bookmarkEnd w:id="554"/>
          </w:p>
        </w:tc>
        <w:tc>
          <w:tcPr>
            <w:tcW w:w="449" w:type="dxa"/>
            <w:tcBorders>
              <w:bottom w:val="single" w:sz="4" w:space="0" w:color="auto"/>
            </w:tcBorders>
            <w:shd w:val="clear" w:color="auto" w:fill="auto"/>
            <w:vAlign w:val="center"/>
          </w:tcPr>
          <w:p w:rsidR="00913A0A" w:rsidRPr="003412D9" w:rsidRDefault="00C70EF2" w:rsidP="00FC0808">
            <w:pPr>
              <w:pStyle w:val="TableText"/>
              <w:widowControl w:val="0"/>
              <w:rPr>
                <w:rFonts w:cs="Tahoma"/>
                <w:b/>
                <w:sz w:val="13"/>
                <w:szCs w:val="13"/>
                <w:u w:val="single"/>
              </w:rPr>
            </w:pPr>
            <w:hyperlink w:anchor="_124_Windows_Small" w:history="1">
              <w:r w:rsidR="00CF5A3E" w:rsidRPr="003412D9">
                <w:rPr>
                  <w:rStyle w:val="Hyperlink"/>
                  <w:rFonts w:cs="Tahoma"/>
                  <w:b/>
                  <w:sz w:val="13"/>
                  <w:szCs w:val="13"/>
                </w:rPr>
                <w:t>117</w:t>
              </w:r>
            </w:hyperlink>
          </w:p>
        </w:tc>
        <w:tc>
          <w:tcPr>
            <w:tcW w:w="449" w:type="dxa"/>
            <w:tcBorders>
              <w:bottom w:val="single" w:sz="4" w:space="0" w:color="auto"/>
            </w:tcBorders>
            <w:shd w:val="clear" w:color="auto" w:fill="auto"/>
          </w:tcPr>
          <w:p w:rsidR="00913A0A" w:rsidRPr="004B208C" w:rsidRDefault="00913A0A" w:rsidP="00F97D54">
            <w:pPr>
              <w:pStyle w:val="TableText"/>
              <w:widowControl w:val="0"/>
              <w:spacing w:before="120"/>
              <w:rPr>
                <w:rFonts w:ascii="Tahoma" w:hAnsi="Tahoma" w:cs="Tahoma"/>
                <w:sz w:val="13"/>
              </w:rPr>
            </w:pPr>
            <w:r w:rsidRPr="004B208C">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b/>
                <w:color w:val="008000"/>
                <w:sz w:val="13"/>
              </w:rPr>
            </w:pPr>
          </w:p>
        </w:tc>
        <w:tc>
          <w:tcPr>
            <w:tcW w:w="435" w:type="dxa"/>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b/>
                <w:color w:val="008000"/>
                <w:sz w:val="13"/>
              </w:rPr>
            </w:pPr>
          </w:p>
        </w:tc>
        <w:tc>
          <w:tcPr>
            <w:tcW w:w="465" w:type="dxa"/>
            <w:gridSpan w:val="3"/>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b/>
                <w:color w:val="0000FF"/>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auto"/>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color w:val="000000"/>
                <w:sz w:val="13"/>
              </w:rPr>
              <w:t>LO/OV</w:t>
            </w:r>
          </w:p>
        </w:tc>
        <w:tc>
          <w:tcPr>
            <w:tcW w:w="371" w:type="dxa"/>
            <w:tcBorders>
              <w:bottom w:val="single" w:sz="4" w:space="0" w:color="auto"/>
            </w:tcBorders>
          </w:tcPr>
          <w:p w:rsidR="00913A0A" w:rsidRPr="004B208C" w:rsidRDefault="00913A0A" w:rsidP="00F97D54">
            <w:pPr>
              <w:pStyle w:val="TableText"/>
              <w:widowControl w:val="0"/>
              <w:rPr>
                <w:rFonts w:ascii="Tahoma" w:hAnsi="Tahoma" w:cs="Tahoma"/>
                <w:color w:val="000000"/>
                <w:sz w:val="13"/>
              </w:rPr>
            </w:pPr>
          </w:p>
        </w:tc>
      </w:tr>
      <w:tr w:rsidR="00600C32" w:rsidRPr="004B208C" w:rsidTr="00515DFA">
        <w:trPr>
          <w:gridBefore w:val="1"/>
          <w:wBefore w:w="19" w:type="dxa"/>
          <w:trHeight w:val="233"/>
        </w:trPr>
        <w:tc>
          <w:tcPr>
            <w:tcW w:w="2532" w:type="dxa"/>
            <w:tcBorders>
              <w:bottom w:val="single" w:sz="4" w:space="0" w:color="auto"/>
            </w:tcBorders>
            <w:shd w:val="clear" w:color="auto" w:fill="FABF8F"/>
            <w:vAlign w:val="center"/>
          </w:tcPr>
          <w:p w:rsidR="00913A0A" w:rsidRPr="004B208C" w:rsidRDefault="00913A0A" w:rsidP="002E5D03">
            <w:pPr>
              <w:pStyle w:val="Heading2"/>
              <w:spacing w:before="20" w:after="20"/>
              <w:ind w:left="0"/>
              <w:rPr>
                <w:rFonts w:ascii="Tahoma" w:hAnsi="Tahoma" w:cs="Tahoma"/>
                <w:b w:val="0"/>
                <w:sz w:val="14"/>
                <w:szCs w:val="14"/>
              </w:rPr>
            </w:pPr>
            <w:bookmarkStart w:id="555" w:name="_Toc336338165"/>
            <w:bookmarkStart w:id="556" w:name="_Toc370981278"/>
            <w:r w:rsidRPr="004B208C">
              <w:rPr>
                <w:rFonts w:ascii="Tahoma" w:hAnsi="Tahoma" w:cs="Tahoma"/>
                <w:b w:val="0"/>
                <w:sz w:val="14"/>
                <w:szCs w:val="14"/>
              </w:rPr>
              <w:t>Windows Server 2012 R2 Essentials</w:t>
            </w:r>
            <w:bookmarkEnd w:id="555"/>
            <w:bookmarkEnd w:id="556"/>
          </w:p>
        </w:tc>
        <w:tc>
          <w:tcPr>
            <w:tcW w:w="449" w:type="dxa"/>
            <w:tcBorders>
              <w:bottom w:val="single" w:sz="4" w:space="0" w:color="auto"/>
            </w:tcBorders>
            <w:shd w:val="clear" w:color="auto" w:fill="FABF8F"/>
            <w:vAlign w:val="center"/>
          </w:tcPr>
          <w:p w:rsidR="00913A0A" w:rsidRPr="003412D9" w:rsidRDefault="00913A0A" w:rsidP="0059600B">
            <w:pPr>
              <w:pStyle w:val="TableText"/>
              <w:widowControl w:val="0"/>
              <w:rPr>
                <w:rFonts w:cs="Tahoma"/>
                <w:b/>
                <w:sz w:val="13"/>
                <w:szCs w:val="13"/>
                <w:u w:val="single"/>
              </w:rPr>
            </w:pPr>
          </w:p>
        </w:tc>
        <w:tc>
          <w:tcPr>
            <w:tcW w:w="449" w:type="dxa"/>
            <w:tcBorders>
              <w:bottom w:val="single" w:sz="4" w:space="0" w:color="auto"/>
            </w:tcBorders>
            <w:shd w:val="clear" w:color="auto" w:fill="FABF8F"/>
          </w:tcPr>
          <w:p w:rsidR="00913A0A" w:rsidRPr="004B208C" w:rsidRDefault="00913A0A" w:rsidP="00200E1A">
            <w:pPr>
              <w:pStyle w:val="TableText"/>
              <w:widowControl w:val="0"/>
              <w:spacing w:before="120"/>
              <w:rPr>
                <w:rFonts w:ascii="Tahoma" w:hAnsi="Tahoma" w:cs="Tahoma"/>
                <w:sz w:val="13"/>
              </w:rPr>
            </w:pPr>
            <w:r w:rsidRPr="004B208C">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8000"/>
                <w:sz w:val="13"/>
              </w:rPr>
            </w:pPr>
          </w:p>
        </w:tc>
        <w:tc>
          <w:tcPr>
            <w:tcW w:w="435" w:type="dxa"/>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8000"/>
                <w:sz w:val="13"/>
              </w:rPr>
            </w:pPr>
          </w:p>
        </w:tc>
        <w:tc>
          <w:tcPr>
            <w:tcW w:w="465" w:type="dxa"/>
            <w:gridSpan w:val="3"/>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b/>
                <w:color w:val="0000FF"/>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P</w:t>
            </w:r>
          </w:p>
        </w:tc>
        <w:tc>
          <w:tcPr>
            <w:tcW w:w="621" w:type="dxa"/>
            <w:tcBorders>
              <w:bottom w:val="single" w:sz="4" w:space="0" w:color="auto"/>
            </w:tcBorders>
            <w:shd w:val="clear" w:color="auto" w:fill="FABF8F"/>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FABF8F"/>
            <w:vAlign w:val="center"/>
          </w:tcPr>
          <w:p w:rsidR="00913A0A" w:rsidRPr="004B208C" w:rsidRDefault="00913A0A" w:rsidP="00F97D54">
            <w:pPr>
              <w:pStyle w:val="TableT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F97D54">
            <w:pPr>
              <w:pStyle w:val="TableText"/>
              <w:widowControl w:val="0"/>
              <w:rPr>
                <w:rFonts w:ascii="Tahoma" w:hAnsi="Tahoma" w:cs="Tahoma"/>
                <w:color w:val="000000"/>
                <w:sz w:val="13"/>
              </w:rPr>
            </w:pPr>
          </w:p>
        </w:tc>
      </w:tr>
      <w:tr w:rsidR="00600C32" w:rsidRPr="004B208C" w:rsidTr="00515DFA">
        <w:trPr>
          <w:gridBefore w:val="1"/>
          <w:wBefore w:w="19" w:type="dxa"/>
          <w:trHeight w:val="145"/>
        </w:trPr>
        <w:tc>
          <w:tcPr>
            <w:tcW w:w="2532" w:type="dxa"/>
            <w:shd w:val="clear" w:color="auto" w:fill="auto"/>
            <w:vAlign w:val="center"/>
          </w:tcPr>
          <w:p w:rsidR="00913A0A" w:rsidRPr="004B208C" w:rsidRDefault="00913A0A" w:rsidP="002E5D03">
            <w:pPr>
              <w:pStyle w:val="Heading2"/>
              <w:spacing w:before="20" w:after="20"/>
              <w:ind w:left="0"/>
              <w:rPr>
                <w:rFonts w:ascii="Tahoma" w:hAnsi="Tahoma" w:cs="Tahoma"/>
                <w:b w:val="0"/>
                <w:sz w:val="14"/>
                <w:szCs w:val="14"/>
              </w:rPr>
            </w:pPr>
            <w:bookmarkStart w:id="557" w:name="_Toc336338166"/>
            <w:bookmarkStart w:id="558" w:name="_Toc370981279"/>
            <w:r w:rsidRPr="004B208C">
              <w:rPr>
                <w:rFonts w:ascii="Tahoma" w:hAnsi="Tahoma" w:cs="Tahoma"/>
                <w:b w:val="0"/>
                <w:sz w:val="14"/>
                <w:szCs w:val="14"/>
              </w:rPr>
              <w:t>Windows Small Business Server 2011 Essentials</w:t>
            </w:r>
            <w:bookmarkEnd w:id="557"/>
            <w:bookmarkEnd w:id="558"/>
          </w:p>
        </w:tc>
        <w:tc>
          <w:tcPr>
            <w:tcW w:w="449" w:type="dxa"/>
            <w:shd w:val="clear" w:color="auto" w:fill="auto"/>
            <w:vAlign w:val="center"/>
          </w:tcPr>
          <w:p w:rsidR="00913A0A" w:rsidRPr="003412D9" w:rsidRDefault="00C70EF2" w:rsidP="00FC0808">
            <w:pPr>
              <w:pStyle w:val="TableText"/>
              <w:widowControl w:val="0"/>
              <w:rPr>
                <w:rFonts w:cs="Tahoma"/>
                <w:b/>
                <w:sz w:val="13"/>
                <w:szCs w:val="13"/>
                <w:u w:val="single"/>
              </w:rPr>
            </w:pPr>
            <w:hyperlink w:anchor="_124_Windows_Small_1" w:history="1">
              <w:r w:rsidR="00CF5A3E" w:rsidRPr="003412D9">
                <w:rPr>
                  <w:rStyle w:val="Hyperlink"/>
                  <w:rFonts w:cs="Tahoma"/>
                  <w:b/>
                  <w:sz w:val="13"/>
                  <w:szCs w:val="13"/>
                </w:rPr>
                <w:t>118</w:t>
              </w:r>
            </w:hyperlink>
          </w:p>
        </w:tc>
        <w:tc>
          <w:tcPr>
            <w:tcW w:w="449" w:type="dxa"/>
            <w:shd w:val="clear" w:color="auto" w:fill="auto"/>
          </w:tcPr>
          <w:p w:rsidR="00913A0A" w:rsidRPr="004B208C" w:rsidRDefault="00913A0A" w:rsidP="00F97D54">
            <w:pPr>
              <w:pStyle w:val="TableText"/>
              <w:widowControl w:val="0"/>
              <w:spacing w:before="120"/>
              <w:rPr>
                <w:rFonts w:ascii="Tahoma" w:hAnsi="Tahoma" w:cs="Tahoma"/>
                <w:sz w:val="13"/>
              </w:rPr>
            </w:pPr>
            <w:r w:rsidRPr="004B208C">
              <w:rPr>
                <w:rFonts w:ascii="Tahoma" w:hAnsi="Tahoma" w:cs="Tahoma"/>
                <w:sz w:val="13"/>
              </w:rPr>
              <w:t>05/11</w:t>
            </w:r>
          </w:p>
        </w:tc>
        <w:tc>
          <w:tcPr>
            <w:tcW w:w="360" w:type="dxa"/>
            <w:tcBorders>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35" w:type="dxa"/>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65" w:type="dxa"/>
            <w:gridSpan w:val="3"/>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gridSpan w:val="2"/>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365" w:type="dxa"/>
            <w:tcBorders>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tcBorders>
              <w:left w:val="single" w:sz="18"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shd w:val="clear" w:color="auto" w:fill="auto"/>
            <w:vAlign w:val="center"/>
          </w:tcPr>
          <w:p w:rsidR="00913A0A" w:rsidRPr="004B208C"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394" w:type="dxa"/>
            <w:tcBorders>
              <w:left w:val="single" w:sz="18"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621" w:type="dxa"/>
            <w:shd w:val="clear" w:color="auto" w:fill="auto"/>
          </w:tcPr>
          <w:p w:rsidR="00913A0A" w:rsidRPr="004B208C" w:rsidRDefault="00913A0A" w:rsidP="00E27A85">
            <w:pPr>
              <w:pStyle w:val="TableText"/>
              <w:widowControl w:val="0"/>
              <w:spacing w:before="60"/>
              <w:rPr>
                <w:rFonts w:ascii="Tahoma" w:hAnsi="Tahoma" w:cs="Tahoma"/>
                <w:sz w:val="13"/>
              </w:rPr>
            </w:pPr>
          </w:p>
        </w:tc>
        <w:tc>
          <w:tcPr>
            <w:tcW w:w="504" w:type="dxa"/>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371" w:type="dxa"/>
          </w:tcPr>
          <w:p w:rsidR="00913A0A" w:rsidRPr="004B208C" w:rsidRDefault="00913A0A" w:rsidP="00F97D54">
            <w:pPr>
              <w:pStyle w:val="TableText"/>
              <w:widowControl w:val="0"/>
              <w:rPr>
                <w:rFonts w:ascii="Tahoma" w:hAnsi="Tahoma" w:cs="Tahoma"/>
                <w:color w:val="000000"/>
                <w:sz w:val="13"/>
              </w:rPr>
            </w:pPr>
          </w:p>
        </w:tc>
      </w:tr>
      <w:tr w:rsidR="00600C32" w:rsidRPr="004B208C" w:rsidTr="00515DFA">
        <w:trPr>
          <w:gridBefore w:val="1"/>
          <w:wBefore w:w="19" w:type="dxa"/>
          <w:trHeight w:val="278"/>
        </w:trPr>
        <w:tc>
          <w:tcPr>
            <w:tcW w:w="2532" w:type="dxa"/>
            <w:tcBorders>
              <w:bottom w:val="single" w:sz="4" w:space="0" w:color="auto"/>
            </w:tcBorders>
            <w:shd w:val="clear" w:color="auto" w:fill="FABF8F"/>
            <w:vAlign w:val="center"/>
          </w:tcPr>
          <w:p w:rsidR="00913A0A" w:rsidRPr="004B208C" w:rsidRDefault="00913A0A" w:rsidP="00E13599">
            <w:pPr>
              <w:pStyle w:val="Heading2"/>
              <w:keepNext/>
              <w:spacing w:before="20" w:after="20"/>
              <w:ind w:left="0"/>
              <w:rPr>
                <w:rFonts w:ascii="Tahoma" w:hAnsi="Tahoma" w:cs="Tahoma"/>
                <w:b w:val="0"/>
                <w:sz w:val="14"/>
                <w:szCs w:val="14"/>
              </w:rPr>
            </w:pPr>
            <w:bookmarkStart w:id="559" w:name="_Toc370981280"/>
            <w:r w:rsidRPr="004B208C">
              <w:rPr>
                <w:rFonts w:ascii="Tahoma" w:hAnsi="Tahoma" w:cs="Tahoma"/>
                <w:b w:val="0"/>
                <w:sz w:val="14"/>
                <w:szCs w:val="14"/>
              </w:rPr>
              <w:t>Windows Web Server 2008 R2</w:t>
            </w:r>
            <w:bookmarkEnd w:id="559"/>
          </w:p>
        </w:tc>
        <w:tc>
          <w:tcPr>
            <w:tcW w:w="449" w:type="dxa"/>
            <w:tcBorders>
              <w:bottom w:val="single" w:sz="4" w:space="0" w:color="auto"/>
            </w:tcBorders>
            <w:shd w:val="clear" w:color="auto" w:fill="FABF8F"/>
            <w:vAlign w:val="center"/>
          </w:tcPr>
          <w:p w:rsidR="00913A0A" w:rsidRPr="003412D9" w:rsidRDefault="00C70EF2" w:rsidP="00FC0808">
            <w:pPr>
              <w:pStyle w:val="TableText"/>
              <w:keepNext/>
              <w:widowControl w:val="0"/>
              <w:rPr>
                <w:rStyle w:val="EndnoteReference"/>
                <w:rFonts w:cs="Tahoma"/>
                <w:b w:val="0"/>
                <w:sz w:val="13"/>
                <w:szCs w:val="13"/>
                <w:u w:val="single"/>
              </w:rPr>
            </w:pPr>
            <w:hyperlink w:anchor="_119_Windows_Web_1" w:history="1">
              <w:r w:rsidR="00CF5A3E" w:rsidRPr="003412D9">
                <w:rPr>
                  <w:rStyle w:val="Hyperlink"/>
                  <w:rFonts w:cs="Tahoma"/>
                  <w:b/>
                  <w:sz w:val="13"/>
                  <w:szCs w:val="13"/>
                </w:rPr>
                <w:t>119</w:t>
              </w:r>
            </w:hyperlink>
          </w:p>
        </w:tc>
        <w:tc>
          <w:tcPr>
            <w:tcW w:w="449" w:type="dxa"/>
            <w:tcBorders>
              <w:bottom w:val="single" w:sz="4" w:space="0" w:color="auto"/>
            </w:tcBorders>
            <w:shd w:val="clear" w:color="auto" w:fill="FABF8F"/>
            <w:vAlign w:val="center"/>
          </w:tcPr>
          <w:p w:rsidR="00913A0A" w:rsidRPr="004B208C" w:rsidRDefault="00913A0A" w:rsidP="00E13599">
            <w:pPr>
              <w:pStyle w:val="TableText"/>
              <w:keepNext/>
              <w:widowControl w:val="0"/>
              <w:spacing w:before="120"/>
              <w:rPr>
                <w:rFonts w:ascii="Tahoma" w:hAnsi="Tahoma" w:cs="Tahoma"/>
                <w:color w:val="000000"/>
                <w:sz w:val="13"/>
              </w:rPr>
            </w:pPr>
            <w:r w:rsidRPr="004B208C">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4B208C" w:rsidRDefault="00913A0A" w:rsidP="00E13599">
            <w:pPr>
              <w:pStyle w:val="TableText"/>
              <w:keepNext/>
              <w:widowControl w:val="0"/>
              <w:rPr>
                <w:rFonts w:ascii="Tahoma" w:hAnsi="Tahoma" w:cs="Tahoma"/>
                <w:color w:val="000000"/>
                <w:sz w:val="13"/>
              </w:rPr>
            </w:pPr>
            <w:r w:rsidRPr="004B208C">
              <w:rPr>
                <w:rFonts w:ascii="Tahoma" w:hAnsi="Tahoma" w:cs="Tahoma"/>
                <w:color w:val="000000"/>
                <w:sz w:val="13"/>
              </w:rPr>
              <w:t>SRV</w:t>
            </w:r>
          </w:p>
        </w:tc>
        <w:tc>
          <w:tcPr>
            <w:tcW w:w="326" w:type="dxa"/>
            <w:gridSpan w:val="2"/>
            <w:tcBorders>
              <w:left w:val="single" w:sz="18" w:space="0" w:color="auto"/>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35" w:type="dxa"/>
            <w:tcBorders>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65" w:type="dxa"/>
            <w:gridSpan w:val="3"/>
            <w:tcBorders>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365" w:type="dxa"/>
            <w:tcBorders>
              <w:bottom w:val="single" w:sz="4" w:space="0" w:color="auto"/>
              <w:right w:val="single" w:sz="18"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FABF8F"/>
            <w:vAlign w:val="center"/>
          </w:tcPr>
          <w:p w:rsidR="00913A0A" w:rsidRPr="004B208C" w:rsidRDefault="00913A0A" w:rsidP="00E13599">
            <w:pPr>
              <w:pStyle w:val="TableText"/>
              <w:keepNext/>
              <w:widowControl w:val="0"/>
              <w:rPr>
                <w:rFonts w:ascii="Tahoma" w:hAnsi="Tahoma" w:cs="Tahoma"/>
                <w:sz w:val="13"/>
              </w:rPr>
            </w:pPr>
          </w:p>
        </w:tc>
        <w:tc>
          <w:tcPr>
            <w:tcW w:w="621" w:type="dxa"/>
            <w:tcBorders>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color w:val="000000"/>
                <w:sz w:val="13"/>
              </w:rPr>
            </w:pPr>
          </w:p>
        </w:tc>
        <w:tc>
          <w:tcPr>
            <w:tcW w:w="504" w:type="dxa"/>
            <w:tcBorders>
              <w:bottom w:val="single" w:sz="4" w:space="0" w:color="auto"/>
            </w:tcBorders>
            <w:shd w:val="clear" w:color="auto" w:fill="FABF8F"/>
            <w:vAlign w:val="center"/>
          </w:tcPr>
          <w:p w:rsidR="00913A0A" w:rsidRPr="004B208C" w:rsidRDefault="00913A0A" w:rsidP="00E13599">
            <w:pPr>
              <w:pStyle w:val="TableText"/>
              <w:keepNext/>
              <w:widowControl w:val="0"/>
              <w:rPr>
                <w:rFonts w:ascii="Tahoma" w:hAnsi="Tahoma" w:cs="Tahoma"/>
                <w:color w:val="000000"/>
                <w:sz w:val="13"/>
              </w:rPr>
            </w:pPr>
          </w:p>
        </w:tc>
        <w:tc>
          <w:tcPr>
            <w:tcW w:w="371" w:type="dxa"/>
            <w:tcBorders>
              <w:bottom w:val="single" w:sz="4" w:space="0" w:color="auto"/>
            </w:tcBorders>
            <w:shd w:val="clear" w:color="auto" w:fill="FABF8F"/>
          </w:tcPr>
          <w:p w:rsidR="00913A0A" w:rsidRPr="004B208C" w:rsidRDefault="00913A0A" w:rsidP="00E13599">
            <w:pPr>
              <w:pStyle w:val="TableText"/>
              <w:keepNext/>
              <w:widowControl w:val="0"/>
              <w:rPr>
                <w:rFonts w:ascii="Tahoma" w:hAnsi="Tahoma" w:cs="Tahoma"/>
                <w:color w:val="000000"/>
                <w:sz w:val="13"/>
              </w:rPr>
            </w:pPr>
          </w:p>
        </w:tc>
      </w:tr>
      <w:tr w:rsidR="00600C32" w:rsidRPr="004B208C" w:rsidTr="00515DFA">
        <w:trPr>
          <w:gridBefore w:val="1"/>
          <w:wBefore w:w="19" w:type="dxa"/>
          <w:trHeight w:val="145"/>
        </w:trPr>
        <w:tc>
          <w:tcPr>
            <w:tcW w:w="2532" w:type="dxa"/>
            <w:tcBorders>
              <w:bottom w:val="single" w:sz="4" w:space="0" w:color="auto"/>
            </w:tcBorders>
            <w:shd w:val="clear" w:color="auto" w:fill="auto"/>
            <w:vAlign w:val="center"/>
          </w:tcPr>
          <w:p w:rsidR="00913A0A" w:rsidRPr="004B208C" w:rsidRDefault="00913A0A" w:rsidP="002E5D03">
            <w:pPr>
              <w:pStyle w:val="Heading2"/>
              <w:spacing w:before="20" w:after="20"/>
              <w:ind w:left="0"/>
              <w:rPr>
                <w:rFonts w:ascii="Tahoma" w:hAnsi="Tahoma" w:cs="Tahoma"/>
                <w:b w:val="0"/>
                <w:sz w:val="14"/>
                <w:szCs w:val="14"/>
              </w:rPr>
            </w:pPr>
            <w:bookmarkStart w:id="560" w:name="_Toc370981281"/>
            <w:r w:rsidRPr="004B208C">
              <w:rPr>
                <w:rFonts w:ascii="Tahoma" w:hAnsi="Tahoma" w:cs="Tahoma"/>
                <w:b w:val="0"/>
                <w:sz w:val="14"/>
                <w:szCs w:val="14"/>
              </w:rPr>
              <w:t>Yammer Enterprise</w:t>
            </w:r>
            <w:bookmarkEnd w:id="560"/>
          </w:p>
        </w:tc>
        <w:tc>
          <w:tcPr>
            <w:tcW w:w="449" w:type="dxa"/>
            <w:tcBorders>
              <w:bottom w:val="single" w:sz="4" w:space="0" w:color="auto"/>
            </w:tcBorders>
            <w:shd w:val="clear" w:color="auto" w:fill="auto"/>
            <w:vAlign w:val="center"/>
          </w:tcPr>
          <w:p w:rsidR="00913A0A" w:rsidRPr="00731EEF" w:rsidRDefault="00913A0A" w:rsidP="00370049">
            <w:pPr>
              <w:pStyle w:val="TableText"/>
              <w:widowControl w:val="0"/>
              <w:rPr>
                <w:rFonts w:cs="Tahoma"/>
                <w:b/>
                <w:sz w:val="13"/>
                <w:szCs w:val="13"/>
              </w:rPr>
            </w:pPr>
          </w:p>
        </w:tc>
        <w:tc>
          <w:tcPr>
            <w:tcW w:w="449" w:type="dxa"/>
            <w:tcBorders>
              <w:bottom w:val="single" w:sz="4" w:space="0" w:color="auto"/>
            </w:tcBorders>
            <w:shd w:val="clear" w:color="auto" w:fill="auto"/>
          </w:tcPr>
          <w:p w:rsidR="00913A0A" w:rsidRPr="004B208C" w:rsidRDefault="00913A0A" w:rsidP="00F97D54">
            <w:pPr>
              <w:pStyle w:val="TableText"/>
              <w:widowControl w:val="0"/>
              <w:spacing w:before="120"/>
              <w:rPr>
                <w:rFonts w:ascii="Tahoma" w:hAnsi="Tahoma" w:cs="Tahoma"/>
                <w:sz w:val="13"/>
              </w:rPr>
            </w:pPr>
            <w:r w:rsidRPr="004B208C">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r w:rsidRPr="004B208C">
              <w:rPr>
                <w:rFonts w:ascii="Tahoma" w:hAnsi="Tahoma" w:cs="Tahoma"/>
                <w:sz w:val="13"/>
              </w:rPr>
              <w:t>SRV</w:t>
            </w:r>
          </w:p>
        </w:tc>
        <w:tc>
          <w:tcPr>
            <w:tcW w:w="326" w:type="dxa"/>
            <w:gridSpan w:val="2"/>
            <w:tcBorders>
              <w:left w:val="single" w:sz="18" w:space="0" w:color="auto"/>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35" w:type="dxa"/>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65" w:type="dxa"/>
            <w:gridSpan w:val="3"/>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365" w:type="dxa"/>
            <w:tcBorders>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394" w:type="dxa"/>
            <w:tcBorders>
              <w:left w:val="single" w:sz="18" w:space="0" w:color="auto"/>
              <w:bottom w:val="single" w:sz="4" w:space="0" w:color="auto"/>
              <w:right w:val="single" w:sz="18" w:space="0" w:color="auto"/>
            </w:tcBorders>
            <w:shd w:val="clear" w:color="auto" w:fill="auto"/>
            <w:vAlign w:val="center"/>
          </w:tcPr>
          <w:p w:rsidR="00913A0A" w:rsidRPr="004B208C" w:rsidRDefault="00913A0A" w:rsidP="00F97D54">
            <w:pPr>
              <w:pStyle w:val="TableText"/>
              <w:widowControl w:val="0"/>
              <w:rPr>
                <w:rFonts w:ascii="Tahoma" w:hAnsi="Tahoma" w:cs="Tahoma"/>
                <w:sz w:val="13"/>
              </w:rPr>
            </w:pPr>
          </w:p>
        </w:tc>
        <w:tc>
          <w:tcPr>
            <w:tcW w:w="621" w:type="dxa"/>
            <w:tcBorders>
              <w:bottom w:val="single" w:sz="4" w:space="0" w:color="auto"/>
            </w:tcBorders>
            <w:shd w:val="clear" w:color="auto" w:fill="auto"/>
          </w:tcPr>
          <w:p w:rsidR="00913A0A" w:rsidRPr="004B208C" w:rsidRDefault="00913A0A" w:rsidP="00E27A85">
            <w:pPr>
              <w:pStyle w:val="TableText"/>
              <w:widowControl w:val="0"/>
              <w:spacing w:before="60"/>
              <w:rPr>
                <w:rFonts w:ascii="Tahoma" w:hAnsi="Tahoma" w:cs="Tahoma"/>
                <w:sz w:val="13"/>
              </w:rPr>
            </w:pPr>
            <w:r w:rsidRPr="004B208C">
              <w:rPr>
                <w:rFonts w:ascii="Tahoma" w:hAnsi="Tahoma" w:cs="Tahoma"/>
                <w:sz w:val="13"/>
              </w:rPr>
              <w:t>A</w:t>
            </w:r>
          </w:p>
        </w:tc>
        <w:tc>
          <w:tcPr>
            <w:tcW w:w="504" w:type="dxa"/>
            <w:tcBorders>
              <w:bottom w:val="single" w:sz="4" w:space="0" w:color="auto"/>
            </w:tcBorders>
            <w:shd w:val="clear" w:color="auto" w:fill="auto"/>
            <w:vAlign w:val="center"/>
          </w:tcPr>
          <w:p w:rsidR="00913A0A" w:rsidRPr="004B208C" w:rsidRDefault="00913A0A" w:rsidP="00F97D54">
            <w:pPr>
              <w:pStyle w:val="TableText"/>
              <w:widowControl w:val="0"/>
              <w:rPr>
                <w:rFonts w:ascii="Tahoma" w:hAnsi="Tahoma" w:cs="Tahoma"/>
                <w:color w:val="000000"/>
                <w:sz w:val="13"/>
              </w:rPr>
            </w:pPr>
          </w:p>
        </w:tc>
        <w:tc>
          <w:tcPr>
            <w:tcW w:w="371" w:type="dxa"/>
            <w:tcBorders>
              <w:bottom w:val="single" w:sz="4" w:space="0" w:color="auto"/>
            </w:tcBorders>
          </w:tcPr>
          <w:p w:rsidR="00913A0A" w:rsidRPr="004B208C" w:rsidRDefault="00913A0A" w:rsidP="00F97D54">
            <w:pPr>
              <w:pStyle w:val="TableText"/>
              <w:widowControl w:val="0"/>
              <w:rPr>
                <w:rFonts w:ascii="Tahoma" w:hAnsi="Tahoma" w:cs="Tahoma"/>
                <w:color w:val="000000"/>
                <w:sz w:val="13"/>
              </w:rPr>
            </w:pPr>
          </w:p>
        </w:tc>
      </w:tr>
    </w:tbl>
    <w:p w:rsidR="00612FCC" w:rsidRPr="004B208C" w:rsidRDefault="00847333" w:rsidP="00652B91">
      <w:pPr>
        <w:rPr>
          <w:rFonts w:cs="Tahoma"/>
        </w:rPr>
      </w:pPr>
      <w:bookmarkStart w:id="561" w:name="_Toc349586123"/>
      <w:bookmarkStart w:id="562" w:name="_Toc349586654"/>
      <w:bookmarkStart w:id="563" w:name="_Toc354459730"/>
      <w:bookmarkStart w:id="564" w:name="_Toc336338167"/>
      <w:r>
        <w:rPr>
          <w:rFonts w:cs="Tahoma"/>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39FE" w:rsidRDefault="009539FE"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9539FE" w:rsidRDefault="009539FE" w:rsidP="00C8780F">
                            <w:pPr>
                              <w:rPr>
                                <w:rFonts w:cs="Tahoma"/>
                                <w:i/>
                                <w:color w:val="000000"/>
                                <w:sz w:val="14"/>
                                <w:szCs w:val="14"/>
                              </w:rPr>
                            </w:pPr>
                            <w:r>
                              <w:rPr>
                                <w:rFonts w:cs="Tahoma"/>
                                <w:i/>
                                <w:color w:val="000000"/>
                                <w:sz w:val="14"/>
                                <w:szCs w:val="14"/>
                              </w:rPr>
                              <w:t>*Para Select Plus, serão usados apenas os valores de ‘L’ e três anos para ‘L&amp;SA’ / ’SA’.</w:t>
                            </w:r>
                          </w:p>
                          <w:p w:rsidR="009539FE" w:rsidRDefault="009539FE"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FhtGIe7&#10;AgAAwQUAAA4AAAAAAAAAAAAAAAAALgIAAGRycy9lMm9Eb2MueG1sUEsBAi0AFAAGAAgAAAAhAHqF&#10;Mb7dAAAACQEAAA8AAAAAAAAAAAAAAAAAFQUAAGRycy9kb3ducmV2LnhtbFBLBQYAAAAABAAEAPMA&#10;AAAfBgAAAAA=&#10;" filled="f" stroked="f">
                <v:textbox>
                  <w:txbxContent>
                    <w:p w:rsidR="009539FE" w:rsidRDefault="009539FE" w:rsidP="00C8780F">
                      <w:pPr>
                        <w:rPr>
                          <w:rFonts w:cs="Tahoma"/>
                          <w:i/>
                          <w:color w:val="000000"/>
                          <w:sz w:val="14"/>
                          <w:szCs w:val="14"/>
                        </w:rPr>
                      </w:pPr>
                      <w:r>
                        <w:rPr>
                          <w:rFonts w:cs="Tahoma"/>
                          <w:i/>
                          <w:color w:val="000000"/>
                          <w:sz w:val="14"/>
                          <w:szCs w:val="14"/>
                        </w:rPr>
                        <w:t>Observação: se a célula correspondente ao produto estiver vazia, significa que no momento ele não é oferecido no programa.</w:t>
                      </w:r>
                    </w:p>
                    <w:p w:rsidR="009539FE" w:rsidRDefault="009539FE" w:rsidP="00C8780F">
                      <w:pPr>
                        <w:rPr>
                          <w:rFonts w:cs="Tahoma"/>
                          <w:i/>
                          <w:color w:val="000000"/>
                          <w:sz w:val="14"/>
                          <w:szCs w:val="14"/>
                        </w:rPr>
                      </w:pPr>
                      <w:r>
                        <w:rPr>
                          <w:rFonts w:cs="Tahoma"/>
                          <w:i/>
                          <w:color w:val="000000"/>
                          <w:sz w:val="14"/>
                          <w:szCs w:val="14"/>
                        </w:rPr>
                        <w:t>*Para Select Plus, serão usados apenas os valores de ‘L’ e três anos para ‘L&amp;SA’ / ’SA’.</w:t>
                      </w:r>
                    </w:p>
                    <w:p w:rsidR="009539FE" w:rsidRDefault="009539FE" w:rsidP="00C8780F"/>
                  </w:txbxContent>
                </v:textbox>
                <w10:wrap type="topAndBottom"/>
              </v:shape>
            </w:pict>
          </mc:Fallback>
        </mc:AlternateContent>
      </w:r>
      <w:bookmarkEnd w:id="561"/>
      <w:bookmarkEnd w:id="562"/>
      <w:bookmarkEnd w:id="563"/>
      <w:r w:rsidR="00CF5A3E" w:rsidRPr="004B208C">
        <w:rPr>
          <w:rFonts w:cs="Tahoma"/>
        </w:rPr>
        <w:br w:type="page"/>
      </w:r>
    </w:p>
    <w:p w:rsidR="00023FE7" w:rsidRPr="004B208C" w:rsidRDefault="00A33112" w:rsidP="00A578AF">
      <w:pPr>
        <w:pStyle w:val="Heading1"/>
        <w:spacing w:before="0"/>
        <w:rPr>
          <w:rFonts w:cs="Tahoma"/>
        </w:rPr>
      </w:pPr>
      <w:bookmarkStart w:id="565" w:name="_Toc349586124"/>
      <w:bookmarkStart w:id="566" w:name="_Toc370981282"/>
      <w:r w:rsidRPr="004B208C">
        <w:rPr>
          <w:rFonts w:cs="Tahoma"/>
        </w:rPr>
        <w:lastRenderedPageBreak/>
        <w:t>SEÇÃO 1 – Alterações na LISTA DE PRODUTOS</w:t>
      </w:r>
      <w:bookmarkEnd w:id="565"/>
      <w:r w:rsidRPr="004B208C">
        <w:rPr>
          <w:rFonts w:cs="Tahoma"/>
        </w:rPr>
        <w:t xml:space="preserve"> nos últimos 12 meses</w:t>
      </w:r>
      <w:bookmarkEnd w:id="564"/>
      <w:bookmarkEnd w:id="566"/>
    </w:p>
    <w:p w:rsidR="009252D9" w:rsidRPr="004B208C" w:rsidRDefault="009252D9" w:rsidP="009252D9">
      <w:pPr>
        <w:pStyle w:val="Heading2"/>
        <w:ind w:left="0"/>
        <w:jc w:val="both"/>
        <w:rPr>
          <w:rFonts w:ascii="Tahoma" w:hAnsi="Tahoma" w:cs="Tahoma"/>
        </w:rPr>
      </w:pPr>
      <w:bookmarkStart w:id="567" w:name="_Toc336338168"/>
    </w:p>
    <w:p w:rsidR="009252D9" w:rsidRPr="004B208C" w:rsidRDefault="009252D9" w:rsidP="009252D9">
      <w:pPr>
        <w:pStyle w:val="Heading2"/>
        <w:ind w:left="0"/>
        <w:jc w:val="both"/>
        <w:rPr>
          <w:rFonts w:ascii="Tahoma" w:hAnsi="Tahoma" w:cs="Tahoma"/>
        </w:rPr>
      </w:pPr>
      <w:bookmarkStart w:id="568" w:name="_Toc370981283"/>
      <w:r w:rsidRPr="004B208C">
        <w:rPr>
          <w:rFonts w:ascii="Tahoma" w:hAnsi="Tahoma" w:cs="Tahoma"/>
          <w:color w:val="FF6600"/>
        </w:rPr>
        <w:t>ALTERAÇÕES EM NOVEMBRO DE 2013</w:t>
      </w:r>
      <w:bookmarkEnd w:id="568"/>
    </w:p>
    <w:p w:rsidR="009252D9" w:rsidRPr="004B208C" w:rsidRDefault="009252D9" w:rsidP="009252D9">
      <w:pPr>
        <w:spacing w:after="60"/>
        <w:rPr>
          <w:rFonts w:cs="Tahoma"/>
        </w:rPr>
      </w:pPr>
    </w:p>
    <w:p w:rsidR="009252D9" w:rsidRPr="004B208C" w:rsidRDefault="009252D9" w:rsidP="009252D9">
      <w:pPr>
        <w:spacing w:after="60"/>
        <w:rPr>
          <w:rFonts w:cs="Tahoma"/>
        </w:rPr>
      </w:pPr>
      <w:r w:rsidRPr="004B208C">
        <w:rPr>
          <w:rFonts w:cs="Tahoma"/>
          <w:b/>
        </w:rPr>
        <w:t>Adições</w:t>
      </w:r>
    </w:p>
    <w:p w:rsidR="00756566" w:rsidRPr="004B208C" w:rsidRDefault="00756566" w:rsidP="000347DA">
      <w:pPr>
        <w:rPr>
          <w:rFonts w:cs="Tahoma"/>
        </w:rPr>
      </w:pPr>
      <w:r w:rsidRPr="004B208C">
        <w:rPr>
          <w:rFonts w:cs="Tahoma"/>
        </w:rPr>
        <w:t>Windows Server™ 2012 R2 Datacenter</w:t>
      </w:r>
    </w:p>
    <w:p w:rsidR="00756566" w:rsidRPr="004B208C" w:rsidRDefault="00756566" w:rsidP="000347DA">
      <w:pPr>
        <w:rPr>
          <w:rFonts w:cs="Tahoma"/>
        </w:rPr>
      </w:pPr>
      <w:r w:rsidRPr="004B208C">
        <w:rPr>
          <w:rFonts w:cs="Tahoma"/>
        </w:rPr>
        <w:t>Windows Server™ 2012 R2 Standard</w:t>
      </w:r>
    </w:p>
    <w:p w:rsidR="00756566" w:rsidRPr="004B208C" w:rsidRDefault="00756566" w:rsidP="000347DA">
      <w:pPr>
        <w:rPr>
          <w:rFonts w:cs="Tahoma"/>
        </w:rPr>
      </w:pPr>
      <w:r w:rsidRPr="004B208C">
        <w:rPr>
          <w:rFonts w:cs="Tahoma"/>
        </w:rPr>
        <w:t>Windows Server Essentials 2012 R2</w:t>
      </w:r>
    </w:p>
    <w:p w:rsidR="00756566" w:rsidRPr="004B208C" w:rsidRDefault="00756566" w:rsidP="000347DA">
      <w:pPr>
        <w:rPr>
          <w:rFonts w:cs="Tahoma"/>
        </w:rPr>
      </w:pPr>
      <w:r w:rsidRPr="004B208C">
        <w:rPr>
          <w:rFonts w:cs="Tahoma"/>
        </w:rPr>
        <w:t>Windows</w:t>
      </w:r>
      <w:r w:rsidR="00172F11" w:rsidRPr="00172F11">
        <w:rPr>
          <w:rFonts w:cs="Tahoma"/>
          <w:vertAlign w:val="superscript"/>
        </w:rPr>
        <w:t>®</w:t>
      </w:r>
      <w:r w:rsidRPr="004B208C">
        <w:rPr>
          <w:rFonts w:cs="Tahoma"/>
        </w:rPr>
        <w:t xml:space="preserve"> Embedded 8.1 Industry Pro</w:t>
      </w:r>
    </w:p>
    <w:p w:rsidR="00756566" w:rsidRPr="004B208C" w:rsidRDefault="00756566" w:rsidP="000347DA">
      <w:pPr>
        <w:rPr>
          <w:rFonts w:cs="Tahoma"/>
        </w:rPr>
      </w:pPr>
      <w:r w:rsidRPr="004B208C">
        <w:rPr>
          <w:rFonts w:cs="Tahoma"/>
        </w:rPr>
        <w:t>Windows</w:t>
      </w:r>
      <w:r w:rsidR="00172F11" w:rsidRPr="00172F11">
        <w:rPr>
          <w:rFonts w:cs="Tahoma"/>
          <w:vertAlign w:val="superscript"/>
        </w:rPr>
        <w:t>®</w:t>
      </w:r>
      <w:r w:rsidRPr="004B208C">
        <w:rPr>
          <w:rFonts w:cs="Tahoma"/>
        </w:rPr>
        <w:t xml:space="preserve"> Embedded 8.1 Industry Pro Sideloading</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Professional 2013</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Professional 2013 com MSDN </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Premium 2013 com MSDN</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Ultimate 2013 com MSDN</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Test Professional 2013 com MSDN</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Team Foundation Server 2013 com Tecnologia SQL Server 2012</w:t>
      </w:r>
    </w:p>
    <w:p w:rsidR="00756566" w:rsidRPr="004B208C" w:rsidRDefault="00756566" w:rsidP="000347DA">
      <w:pPr>
        <w:rPr>
          <w:rFonts w:cs="Tahoma"/>
        </w:rPr>
      </w:pPr>
      <w:r w:rsidRPr="004B208C">
        <w:rPr>
          <w:rFonts w:cs="Tahoma"/>
        </w:rPr>
        <w:t>CAL do Dispositivo do Visual Studio</w:t>
      </w:r>
      <w:r w:rsidR="00172F11" w:rsidRPr="00172F11">
        <w:rPr>
          <w:rFonts w:cs="Tahoma"/>
          <w:vertAlign w:val="superscript"/>
        </w:rPr>
        <w:t>®</w:t>
      </w:r>
      <w:r w:rsidRPr="004B208C">
        <w:rPr>
          <w:rFonts w:cs="Tahoma"/>
        </w:rPr>
        <w:t xml:space="preserve"> Team Foundation Server 2013</w:t>
      </w:r>
    </w:p>
    <w:p w:rsidR="00756566" w:rsidRPr="004B208C" w:rsidRDefault="00756566" w:rsidP="000347DA">
      <w:pPr>
        <w:rPr>
          <w:rFonts w:cs="Tahoma"/>
        </w:rPr>
      </w:pPr>
      <w:r w:rsidRPr="004B208C">
        <w:rPr>
          <w:rFonts w:cs="Tahoma"/>
        </w:rPr>
        <w:t>CAL do Usuário do Visual Studio</w:t>
      </w:r>
      <w:r w:rsidR="00172F11" w:rsidRPr="00172F11">
        <w:rPr>
          <w:rFonts w:cs="Tahoma"/>
          <w:vertAlign w:val="superscript"/>
        </w:rPr>
        <w:t>®</w:t>
      </w:r>
      <w:r w:rsidRPr="004B208C">
        <w:rPr>
          <w:rFonts w:cs="Tahoma"/>
        </w:rPr>
        <w:t xml:space="preserve"> Team Foundation Server 2013</w:t>
      </w:r>
    </w:p>
    <w:p w:rsidR="00756566" w:rsidRPr="004B208C" w:rsidRDefault="00756566" w:rsidP="000347DA">
      <w:pPr>
        <w:rPr>
          <w:rFonts w:cs="Tahoma"/>
        </w:rPr>
      </w:pPr>
      <w:r w:rsidRPr="004B208C">
        <w:rPr>
          <w:rFonts w:cs="Tahoma"/>
        </w:rPr>
        <w:t>Windows 8.1 Enterprise Sideloading (Pacote com 100)</w:t>
      </w:r>
    </w:p>
    <w:p w:rsidR="00756566" w:rsidRPr="004B208C" w:rsidRDefault="00756566" w:rsidP="000347DA">
      <w:pPr>
        <w:rPr>
          <w:rFonts w:cs="Tahoma"/>
        </w:rPr>
      </w:pPr>
      <w:r w:rsidRPr="004B208C">
        <w:rPr>
          <w:rFonts w:cs="Tahoma"/>
        </w:rPr>
        <w:t>Windows</w:t>
      </w:r>
      <w:r w:rsidR="00172F11" w:rsidRPr="00172F11">
        <w:rPr>
          <w:rFonts w:cs="Tahoma"/>
          <w:vertAlign w:val="superscript"/>
        </w:rPr>
        <w:t>®</w:t>
      </w:r>
      <w:r w:rsidRPr="004B208C">
        <w:rPr>
          <w:rFonts w:cs="Tahoma"/>
        </w:rPr>
        <w:t xml:space="preserve"> 8.1 Pro </w:t>
      </w:r>
    </w:p>
    <w:p w:rsidR="00756566" w:rsidRPr="004B208C" w:rsidRDefault="00756566" w:rsidP="000347DA">
      <w:pPr>
        <w:rPr>
          <w:rFonts w:cs="Tahoma"/>
        </w:rPr>
      </w:pPr>
      <w:r w:rsidRPr="004B208C">
        <w:rPr>
          <w:rFonts w:cs="Tahoma"/>
        </w:rPr>
        <w:t>Windows</w:t>
      </w:r>
      <w:r w:rsidR="00172F11" w:rsidRPr="00172F11">
        <w:rPr>
          <w:rFonts w:cs="Tahoma"/>
          <w:vertAlign w:val="superscript"/>
        </w:rPr>
        <w:t>®</w:t>
      </w:r>
      <w:r w:rsidRPr="004B208C">
        <w:rPr>
          <w:rFonts w:cs="Tahoma"/>
        </w:rPr>
        <w:t xml:space="preserve"> 8.1 Pro com MDOP </w:t>
      </w:r>
    </w:p>
    <w:p w:rsidR="00756566" w:rsidRPr="004B208C" w:rsidRDefault="00756566" w:rsidP="000347DA">
      <w:pPr>
        <w:rPr>
          <w:rFonts w:cs="Tahoma"/>
        </w:rPr>
      </w:pPr>
      <w:r w:rsidRPr="004B208C">
        <w:rPr>
          <w:rFonts w:cs="Tahoma"/>
        </w:rPr>
        <w:t>Gerenciamento de Direitos do Active Directory do Windows Azure Academic (SL de Usuário)</w:t>
      </w:r>
    </w:p>
    <w:p w:rsidR="00756566" w:rsidRPr="004B208C" w:rsidRDefault="00756566" w:rsidP="000347DA">
      <w:pPr>
        <w:rPr>
          <w:rFonts w:cs="Tahoma"/>
        </w:rPr>
      </w:pPr>
      <w:r w:rsidRPr="004B208C">
        <w:rPr>
          <w:rFonts w:cs="Tahoma"/>
        </w:rPr>
        <w:t>BizTalk</w:t>
      </w:r>
      <w:r w:rsidR="00172F11" w:rsidRPr="00172F11">
        <w:rPr>
          <w:rFonts w:cs="Tahoma"/>
          <w:vertAlign w:val="superscript"/>
        </w:rPr>
        <w:t>®</w:t>
      </w:r>
      <w:r w:rsidRPr="004B208C">
        <w:rPr>
          <w:rFonts w:cs="Tahoma"/>
        </w:rPr>
        <w:t xml:space="preserve"> Server 2013 Enterprise Edition</w:t>
      </w:r>
    </w:p>
    <w:p w:rsidR="00756566" w:rsidRPr="004B208C" w:rsidRDefault="00756566" w:rsidP="000347DA">
      <w:pPr>
        <w:rPr>
          <w:rFonts w:cs="Tahoma"/>
        </w:rPr>
      </w:pPr>
      <w:r w:rsidRPr="004B208C">
        <w:rPr>
          <w:rFonts w:cs="Tahoma"/>
        </w:rPr>
        <w:t>System Center 2012 R2 Endpoint Protection</w:t>
      </w:r>
    </w:p>
    <w:p w:rsidR="00756566" w:rsidRPr="004B208C" w:rsidRDefault="00756566" w:rsidP="000347DA">
      <w:pPr>
        <w:rPr>
          <w:rFonts w:cs="Tahoma"/>
        </w:rPr>
      </w:pPr>
      <w:r w:rsidRPr="004B208C">
        <w:rPr>
          <w:rFonts w:cs="Tahoma"/>
        </w:rPr>
        <w:t>Licença de Gerenciamento de Cliente do System Center 2012 R2 Configuration Manager por OSE</w:t>
      </w:r>
    </w:p>
    <w:p w:rsidR="00756566" w:rsidRPr="004B208C" w:rsidRDefault="00756566" w:rsidP="000347DA">
      <w:pPr>
        <w:rPr>
          <w:rFonts w:cs="Tahoma"/>
        </w:rPr>
      </w:pPr>
      <w:r w:rsidRPr="004B208C">
        <w:rPr>
          <w:rFonts w:cs="Tahoma"/>
        </w:rPr>
        <w:t>Licença de Gerenciamento de Cliente do System Center 2012 R2 Configuration Manager por Usuário</w:t>
      </w:r>
    </w:p>
    <w:p w:rsidR="00756566" w:rsidRPr="004B208C" w:rsidRDefault="00756566" w:rsidP="000347DA">
      <w:pPr>
        <w:rPr>
          <w:rFonts w:cs="Tahoma"/>
        </w:rPr>
      </w:pPr>
      <w:r w:rsidRPr="004B208C">
        <w:rPr>
          <w:rFonts w:cs="Tahoma"/>
        </w:rPr>
        <w:t>Licença de Gerenciamento de Cliente (ML de Cliente) do System Center 2012 R2 Configuration Manager (Somente para Aluno)</w:t>
      </w:r>
    </w:p>
    <w:p w:rsidR="00756566" w:rsidRPr="004B208C" w:rsidRDefault="00756566" w:rsidP="000347DA">
      <w:pPr>
        <w:rPr>
          <w:rFonts w:cs="Tahoma"/>
        </w:rPr>
      </w:pPr>
      <w:r w:rsidRPr="004B208C">
        <w:rPr>
          <w:rFonts w:cs="Tahoma"/>
        </w:rPr>
        <w:t>Licença de Gerenciamento do System Center 2012 R2 Datacenter Server (2 processadores)</w:t>
      </w:r>
    </w:p>
    <w:p w:rsidR="00756566" w:rsidRPr="004B208C" w:rsidRDefault="00756566" w:rsidP="000347DA">
      <w:pPr>
        <w:rPr>
          <w:rFonts w:cs="Tahoma"/>
        </w:rPr>
      </w:pPr>
      <w:r w:rsidRPr="004B208C">
        <w:rPr>
          <w:rFonts w:cs="Tahoma"/>
        </w:rPr>
        <w:t>Licença de Gerenciamento do System Center 2012 R2 Standard Server (2 processadores)</w:t>
      </w:r>
    </w:p>
    <w:p w:rsidR="00756566" w:rsidRPr="004B208C" w:rsidRDefault="00756566" w:rsidP="000347DA">
      <w:pPr>
        <w:rPr>
          <w:rFonts w:cs="Tahoma"/>
        </w:rPr>
      </w:pPr>
      <w:r w:rsidRPr="004B208C">
        <w:rPr>
          <w:rFonts w:cs="Tahoma"/>
        </w:rPr>
        <w:t>System Center 2012 R2 Client Management Suite (ML de Cliente) por OSE</w:t>
      </w:r>
    </w:p>
    <w:p w:rsidR="009252D9" w:rsidRPr="004B208C" w:rsidRDefault="00756566" w:rsidP="000347DA">
      <w:pPr>
        <w:rPr>
          <w:rFonts w:cs="Tahoma"/>
        </w:rPr>
      </w:pPr>
      <w:r w:rsidRPr="004B208C">
        <w:rPr>
          <w:rFonts w:cs="Tahoma"/>
        </w:rPr>
        <w:t>System Center 2012 R2 Client Management Suite (ML de Cliente) por Usuário</w:t>
      </w:r>
    </w:p>
    <w:p w:rsidR="009252D9" w:rsidRPr="004B208C" w:rsidRDefault="009252D9" w:rsidP="009252D9">
      <w:pPr>
        <w:spacing w:after="60"/>
        <w:rPr>
          <w:rFonts w:cs="Tahoma"/>
        </w:rPr>
      </w:pPr>
    </w:p>
    <w:p w:rsidR="009252D9" w:rsidRPr="004B208C" w:rsidRDefault="009252D9" w:rsidP="009252D9">
      <w:pPr>
        <w:spacing w:after="60"/>
        <w:rPr>
          <w:rFonts w:cs="Tahoma"/>
        </w:rPr>
      </w:pPr>
      <w:r w:rsidRPr="004B208C">
        <w:rPr>
          <w:rFonts w:cs="Tahoma"/>
          <w:b/>
        </w:rPr>
        <w:t>Exclusões</w:t>
      </w:r>
    </w:p>
    <w:p w:rsidR="00756566" w:rsidRPr="004B208C" w:rsidRDefault="00756566" w:rsidP="000347DA">
      <w:pPr>
        <w:rPr>
          <w:rFonts w:cs="Tahoma"/>
        </w:rPr>
      </w:pPr>
      <w:r w:rsidRPr="004B208C">
        <w:rPr>
          <w:rFonts w:cs="Tahoma"/>
        </w:rPr>
        <w:t>Windows Server™ 2012 Datacenter</w:t>
      </w:r>
    </w:p>
    <w:p w:rsidR="00756566" w:rsidRPr="004B208C" w:rsidRDefault="00756566" w:rsidP="000347DA">
      <w:pPr>
        <w:rPr>
          <w:rFonts w:cs="Tahoma"/>
        </w:rPr>
      </w:pPr>
      <w:r w:rsidRPr="004B208C">
        <w:rPr>
          <w:rFonts w:cs="Tahoma"/>
        </w:rPr>
        <w:t>Windows Server™ 2012 Standard</w:t>
      </w:r>
    </w:p>
    <w:p w:rsidR="00756566" w:rsidRPr="004B208C" w:rsidRDefault="00756566" w:rsidP="000347DA">
      <w:pPr>
        <w:rPr>
          <w:rFonts w:cs="Tahoma"/>
        </w:rPr>
      </w:pPr>
      <w:r w:rsidRPr="004B208C">
        <w:rPr>
          <w:rFonts w:cs="Tahoma"/>
        </w:rPr>
        <w:t>Windows Server Essentials 2012</w:t>
      </w:r>
    </w:p>
    <w:p w:rsidR="00756566" w:rsidRPr="004B208C" w:rsidRDefault="00756566" w:rsidP="000347DA">
      <w:pPr>
        <w:rPr>
          <w:rFonts w:cs="Tahoma"/>
        </w:rPr>
      </w:pPr>
      <w:r w:rsidRPr="004B208C">
        <w:rPr>
          <w:rFonts w:cs="Tahoma"/>
        </w:rPr>
        <w:t>Windows</w:t>
      </w:r>
      <w:r w:rsidR="00172F11" w:rsidRPr="00172F11">
        <w:rPr>
          <w:rFonts w:cs="Tahoma"/>
          <w:vertAlign w:val="superscript"/>
        </w:rPr>
        <w:t>®</w:t>
      </w:r>
      <w:r w:rsidRPr="004B208C">
        <w:rPr>
          <w:rFonts w:cs="Tahoma"/>
        </w:rPr>
        <w:t xml:space="preserve"> Embedded 8 Industry Pro</w:t>
      </w:r>
    </w:p>
    <w:p w:rsidR="00756566" w:rsidRPr="004B208C" w:rsidRDefault="00756566" w:rsidP="000347DA">
      <w:pPr>
        <w:rPr>
          <w:rFonts w:cs="Tahoma"/>
        </w:rPr>
      </w:pPr>
      <w:r w:rsidRPr="004B208C">
        <w:rPr>
          <w:rFonts w:cs="Tahoma"/>
        </w:rPr>
        <w:t>Windows</w:t>
      </w:r>
      <w:r w:rsidR="00172F11" w:rsidRPr="00172F11">
        <w:rPr>
          <w:rFonts w:cs="Tahoma"/>
          <w:vertAlign w:val="superscript"/>
        </w:rPr>
        <w:t>®</w:t>
      </w:r>
      <w:r w:rsidRPr="004B208C">
        <w:rPr>
          <w:rFonts w:cs="Tahoma"/>
        </w:rPr>
        <w:t xml:space="preserve"> Embedded 8 Industry Pro Sideloading</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Professional 2012</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Professional 2012 com MSDN </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Premium 2012 com MSDN</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Ultimate 2012 com MSDN</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Test Professional 2012 com MSDN</w:t>
      </w:r>
    </w:p>
    <w:p w:rsidR="00756566" w:rsidRPr="004B208C" w:rsidRDefault="00756566" w:rsidP="000347DA">
      <w:pPr>
        <w:rPr>
          <w:rFonts w:cs="Tahoma"/>
        </w:rPr>
      </w:pPr>
      <w:r w:rsidRPr="004B208C">
        <w:rPr>
          <w:rFonts w:cs="Tahoma"/>
        </w:rPr>
        <w:t>Visual Studio</w:t>
      </w:r>
      <w:r w:rsidR="00172F11" w:rsidRPr="00172F11">
        <w:rPr>
          <w:rFonts w:cs="Tahoma"/>
          <w:vertAlign w:val="superscript"/>
        </w:rPr>
        <w:t>®</w:t>
      </w:r>
      <w:r w:rsidRPr="004B208C">
        <w:rPr>
          <w:rFonts w:cs="Tahoma"/>
        </w:rPr>
        <w:t xml:space="preserve"> Team Foundation Server 2012 com Tecnologia SQL Server 2012</w:t>
      </w:r>
    </w:p>
    <w:p w:rsidR="00756566" w:rsidRPr="004B208C" w:rsidRDefault="00756566" w:rsidP="000347DA">
      <w:pPr>
        <w:rPr>
          <w:rFonts w:cs="Tahoma"/>
        </w:rPr>
      </w:pPr>
      <w:r w:rsidRPr="004B208C">
        <w:rPr>
          <w:rFonts w:cs="Tahoma"/>
        </w:rPr>
        <w:t>CAL do Dispositivo do Visual Studio</w:t>
      </w:r>
      <w:r w:rsidR="00172F11" w:rsidRPr="00172F11">
        <w:rPr>
          <w:rFonts w:cs="Tahoma"/>
          <w:vertAlign w:val="superscript"/>
        </w:rPr>
        <w:t>®</w:t>
      </w:r>
      <w:r w:rsidRPr="004B208C">
        <w:rPr>
          <w:rFonts w:cs="Tahoma"/>
        </w:rPr>
        <w:t xml:space="preserve"> Team Foundation Server 2012</w:t>
      </w:r>
    </w:p>
    <w:p w:rsidR="00756566" w:rsidRPr="004B208C" w:rsidRDefault="00756566" w:rsidP="000347DA">
      <w:pPr>
        <w:rPr>
          <w:rFonts w:cs="Tahoma"/>
        </w:rPr>
      </w:pPr>
      <w:r w:rsidRPr="004B208C">
        <w:rPr>
          <w:rFonts w:cs="Tahoma"/>
        </w:rPr>
        <w:t>CAL do Usuário do Visual Studio</w:t>
      </w:r>
      <w:r w:rsidR="00172F11" w:rsidRPr="00172F11">
        <w:rPr>
          <w:rFonts w:cs="Tahoma"/>
          <w:vertAlign w:val="superscript"/>
        </w:rPr>
        <w:t>®</w:t>
      </w:r>
      <w:r w:rsidRPr="004B208C">
        <w:rPr>
          <w:rFonts w:cs="Tahoma"/>
        </w:rPr>
        <w:t xml:space="preserve"> Team Foundation Server 2012</w:t>
      </w:r>
    </w:p>
    <w:p w:rsidR="00756566" w:rsidRPr="004B208C" w:rsidRDefault="00756566" w:rsidP="000347DA">
      <w:pPr>
        <w:rPr>
          <w:rFonts w:cs="Tahoma"/>
        </w:rPr>
      </w:pPr>
      <w:r w:rsidRPr="004B208C">
        <w:rPr>
          <w:rFonts w:cs="Tahoma"/>
        </w:rPr>
        <w:t>Windows 8 Enterprise Sideloading (Pacote com 100)</w:t>
      </w:r>
    </w:p>
    <w:p w:rsidR="00756566" w:rsidRPr="004B208C" w:rsidRDefault="00756566" w:rsidP="000347DA">
      <w:pPr>
        <w:rPr>
          <w:rFonts w:cs="Tahoma"/>
        </w:rPr>
      </w:pPr>
      <w:r w:rsidRPr="004B208C">
        <w:rPr>
          <w:rFonts w:cs="Tahoma"/>
        </w:rPr>
        <w:t>Windows</w:t>
      </w:r>
      <w:r w:rsidR="00172F11" w:rsidRPr="00172F11">
        <w:rPr>
          <w:rFonts w:cs="Tahoma"/>
          <w:vertAlign w:val="superscript"/>
        </w:rPr>
        <w:t>®</w:t>
      </w:r>
      <w:r w:rsidRPr="004B208C">
        <w:rPr>
          <w:rFonts w:cs="Tahoma"/>
        </w:rPr>
        <w:t xml:space="preserve"> 8 Pro </w:t>
      </w:r>
    </w:p>
    <w:p w:rsidR="00756566" w:rsidRPr="004B208C" w:rsidRDefault="00756566" w:rsidP="000347DA">
      <w:pPr>
        <w:rPr>
          <w:rFonts w:cs="Tahoma"/>
        </w:rPr>
      </w:pPr>
      <w:r w:rsidRPr="004B208C">
        <w:rPr>
          <w:rFonts w:cs="Tahoma"/>
        </w:rPr>
        <w:t>Windows</w:t>
      </w:r>
      <w:r w:rsidR="00172F11" w:rsidRPr="00172F11">
        <w:rPr>
          <w:rFonts w:cs="Tahoma"/>
          <w:vertAlign w:val="superscript"/>
        </w:rPr>
        <w:t>®</w:t>
      </w:r>
      <w:r w:rsidRPr="004B208C">
        <w:rPr>
          <w:rFonts w:cs="Tahoma"/>
        </w:rPr>
        <w:t xml:space="preserve"> 8 Pro com MDOP </w:t>
      </w:r>
    </w:p>
    <w:p w:rsidR="00756566" w:rsidRPr="004B208C" w:rsidRDefault="00756566" w:rsidP="000347DA">
      <w:pPr>
        <w:rPr>
          <w:rFonts w:cs="Tahoma"/>
        </w:rPr>
      </w:pPr>
      <w:r w:rsidRPr="004B208C">
        <w:rPr>
          <w:rFonts w:cs="Tahoma"/>
        </w:rPr>
        <w:t>System Center 2012 Endpoint Protection</w:t>
      </w:r>
    </w:p>
    <w:p w:rsidR="00756566" w:rsidRPr="004B208C" w:rsidRDefault="00756566" w:rsidP="000347DA">
      <w:pPr>
        <w:rPr>
          <w:rFonts w:cs="Tahoma"/>
        </w:rPr>
      </w:pPr>
      <w:r w:rsidRPr="004B208C">
        <w:rPr>
          <w:rFonts w:cs="Tahoma"/>
        </w:rPr>
        <w:t>Licença de Gerenciamento de Cliente do System Center 2012 Configuration Manager por OSE</w:t>
      </w:r>
    </w:p>
    <w:p w:rsidR="00756566" w:rsidRPr="004B208C" w:rsidRDefault="00756566" w:rsidP="000347DA">
      <w:pPr>
        <w:rPr>
          <w:rFonts w:cs="Tahoma"/>
        </w:rPr>
      </w:pPr>
      <w:r w:rsidRPr="004B208C">
        <w:rPr>
          <w:rFonts w:cs="Tahoma"/>
        </w:rPr>
        <w:t>Licença de Gerenciamento de Cliente do System Center 2012 Configuration Manager por Usuário</w:t>
      </w:r>
    </w:p>
    <w:p w:rsidR="00756566" w:rsidRPr="004B208C" w:rsidRDefault="00756566" w:rsidP="000347DA">
      <w:pPr>
        <w:rPr>
          <w:rFonts w:cs="Tahoma"/>
        </w:rPr>
      </w:pPr>
      <w:r w:rsidRPr="004B208C">
        <w:rPr>
          <w:rFonts w:cs="Tahoma"/>
        </w:rPr>
        <w:lastRenderedPageBreak/>
        <w:t>Licença de Gerenciamento de Cliente (ML de Cliente) do System Center 2012 Configuration Manager (Somente para</w:t>
      </w:r>
      <w:r w:rsidR="00472778">
        <w:rPr>
          <w:rFonts w:cs="Tahoma"/>
        </w:rPr>
        <w:t> </w:t>
      </w:r>
      <w:r w:rsidRPr="004B208C">
        <w:rPr>
          <w:rFonts w:cs="Tahoma"/>
        </w:rPr>
        <w:t>Aluno)</w:t>
      </w:r>
    </w:p>
    <w:p w:rsidR="00756566" w:rsidRPr="004B208C" w:rsidRDefault="00756566" w:rsidP="000347DA">
      <w:pPr>
        <w:rPr>
          <w:rFonts w:cs="Tahoma"/>
        </w:rPr>
      </w:pPr>
      <w:r w:rsidRPr="004B208C">
        <w:rPr>
          <w:rFonts w:cs="Tahoma"/>
        </w:rPr>
        <w:t>Licença de Gerenciamento do System Center 2012 Datacenter Server (2 processadores)</w:t>
      </w:r>
    </w:p>
    <w:p w:rsidR="00756566" w:rsidRPr="004B208C" w:rsidRDefault="00756566" w:rsidP="000347DA">
      <w:pPr>
        <w:rPr>
          <w:rFonts w:cs="Tahoma"/>
        </w:rPr>
      </w:pPr>
      <w:r w:rsidRPr="004B208C">
        <w:rPr>
          <w:rFonts w:cs="Tahoma"/>
        </w:rPr>
        <w:t>Licença de Gerenciamento do System Center 2012 Standard Server (2 processadores)</w:t>
      </w:r>
    </w:p>
    <w:p w:rsidR="00756566" w:rsidRPr="004B208C" w:rsidRDefault="00756566" w:rsidP="000347DA">
      <w:pPr>
        <w:rPr>
          <w:rFonts w:cs="Tahoma"/>
        </w:rPr>
      </w:pPr>
      <w:r w:rsidRPr="004B208C">
        <w:rPr>
          <w:rFonts w:cs="Tahoma"/>
        </w:rPr>
        <w:t>System Center 2012 Client Management Suite (ML de Cliente) por OSE</w:t>
      </w:r>
    </w:p>
    <w:p w:rsidR="009252D9" w:rsidRPr="004B208C" w:rsidRDefault="00756566" w:rsidP="000347DA">
      <w:pPr>
        <w:rPr>
          <w:rFonts w:cs="Tahoma"/>
        </w:rPr>
      </w:pPr>
      <w:r w:rsidRPr="004B208C">
        <w:rPr>
          <w:rFonts w:cs="Tahoma"/>
        </w:rPr>
        <w:t>System Center 2012 Client Management Suite (ML de Cliente) por Usuário</w:t>
      </w:r>
    </w:p>
    <w:p w:rsidR="009252D9" w:rsidRPr="004B208C" w:rsidRDefault="009252D9" w:rsidP="009252D9">
      <w:pPr>
        <w:spacing w:after="60"/>
        <w:rPr>
          <w:rFonts w:cs="Tahoma"/>
        </w:rPr>
      </w:pPr>
    </w:p>
    <w:p w:rsidR="007F6051" w:rsidRPr="004B208C" w:rsidRDefault="007F6051" w:rsidP="007F6051">
      <w:pPr>
        <w:spacing w:after="60"/>
        <w:rPr>
          <w:rFonts w:cs="Tahoma"/>
        </w:rPr>
      </w:pPr>
      <w:r w:rsidRPr="004B208C">
        <w:rPr>
          <w:rFonts w:cs="Tahoma"/>
          <w:b/>
        </w:rPr>
        <w:t>Promoções</w:t>
      </w:r>
    </w:p>
    <w:p w:rsidR="007F6051" w:rsidRPr="004B208C" w:rsidRDefault="007F6051" w:rsidP="007F6051">
      <w:pPr>
        <w:rPr>
          <w:rFonts w:cs="Tahoma"/>
        </w:rPr>
      </w:pPr>
      <w:r w:rsidRPr="004B208C">
        <w:rPr>
          <w:rFonts w:cs="Tahoma"/>
          <w:szCs w:val="18"/>
        </w:rPr>
        <w:t>As seguintes promoções foram excluídas:</w:t>
      </w:r>
    </w:p>
    <w:p w:rsidR="007F6051" w:rsidRPr="007F6051" w:rsidRDefault="007F6051" w:rsidP="007F6051">
      <w:pPr>
        <w:rPr>
          <w:rFonts w:cs="Tahoma"/>
        </w:rPr>
      </w:pPr>
      <w:r w:rsidRPr="007F6051">
        <w:rPr>
          <w:rFonts w:cs="Tahoma"/>
        </w:rPr>
        <w:t>Registro de Servidor e Nuvem Jumpstart do Ano Fiscal de 2014</w:t>
      </w:r>
    </w:p>
    <w:p w:rsidR="007F6051" w:rsidRPr="007F6051" w:rsidRDefault="007F6051" w:rsidP="007F6051">
      <w:pPr>
        <w:rPr>
          <w:rFonts w:cs="Tahoma"/>
        </w:rPr>
      </w:pPr>
      <w:r w:rsidRPr="007F6051">
        <w:rPr>
          <w:rFonts w:cs="Tahoma"/>
        </w:rPr>
        <w:t>Gerenciamento de Projeto e Portfólio na Promoção da Nuvem</w:t>
      </w:r>
    </w:p>
    <w:p w:rsidR="007F6051" w:rsidRPr="007F6051" w:rsidRDefault="007F6051" w:rsidP="007F6051">
      <w:pPr>
        <w:rPr>
          <w:rFonts w:cs="Tahoma"/>
        </w:rPr>
      </w:pPr>
      <w:r w:rsidRPr="007F6051">
        <w:rPr>
          <w:rFonts w:cs="Tahoma"/>
        </w:rPr>
        <w:t>Visual Studio Test Pro com Promoção do MSDN</w:t>
      </w:r>
    </w:p>
    <w:p w:rsidR="007F6051" w:rsidRPr="007F6051" w:rsidRDefault="007F6051" w:rsidP="007F6051">
      <w:pPr>
        <w:rPr>
          <w:rFonts w:cs="Tahoma"/>
        </w:rPr>
      </w:pPr>
      <w:r w:rsidRPr="007F6051">
        <w:rPr>
          <w:rFonts w:cs="Tahoma"/>
        </w:rPr>
        <w:t>Aceleração e Adoção do Windows Azure</w:t>
      </w:r>
    </w:p>
    <w:p w:rsidR="009252D9" w:rsidRPr="004B208C" w:rsidRDefault="009252D9" w:rsidP="009252D9">
      <w:pPr>
        <w:rPr>
          <w:rFonts w:cs="Tahoma"/>
        </w:rPr>
      </w:pPr>
    </w:p>
    <w:p w:rsidR="00D94BF5" w:rsidRPr="004B208C" w:rsidRDefault="00D94BF5" w:rsidP="00D94BF5">
      <w:pPr>
        <w:pStyle w:val="Heading2"/>
        <w:ind w:left="0"/>
        <w:jc w:val="both"/>
        <w:rPr>
          <w:rFonts w:ascii="Tahoma" w:hAnsi="Tahoma" w:cs="Tahoma"/>
        </w:rPr>
      </w:pPr>
    </w:p>
    <w:p w:rsidR="00C87808" w:rsidRPr="004B208C" w:rsidRDefault="00C87808" w:rsidP="00D94BF5">
      <w:pPr>
        <w:pStyle w:val="Heading2"/>
        <w:ind w:left="0"/>
        <w:jc w:val="both"/>
        <w:rPr>
          <w:rFonts w:ascii="Tahoma" w:hAnsi="Tahoma" w:cs="Tahoma"/>
        </w:rPr>
      </w:pPr>
      <w:bookmarkStart w:id="569" w:name="_Toc370981284"/>
      <w:r w:rsidRPr="004B208C">
        <w:rPr>
          <w:rFonts w:ascii="Tahoma" w:hAnsi="Tahoma" w:cs="Tahoma"/>
          <w:color w:val="FF6600"/>
        </w:rPr>
        <w:t>ALTERAÇÕES EM OUTUBRO DE 2013</w:t>
      </w:r>
      <w:bookmarkEnd w:id="569"/>
    </w:p>
    <w:p w:rsidR="00C87808" w:rsidRPr="004B208C" w:rsidRDefault="00C87808" w:rsidP="00C87808">
      <w:pPr>
        <w:spacing w:after="60"/>
        <w:rPr>
          <w:rFonts w:cs="Tahoma"/>
        </w:rPr>
      </w:pPr>
    </w:p>
    <w:p w:rsidR="00C87808" w:rsidRPr="004B208C" w:rsidRDefault="00C87808" w:rsidP="00C87808">
      <w:pPr>
        <w:spacing w:after="60"/>
        <w:rPr>
          <w:rFonts w:cs="Tahoma"/>
        </w:rPr>
      </w:pPr>
      <w:r w:rsidRPr="004B208C">
        <w:rPr>
          <w:rFonts w:cs="Tahoma"/>
          <w:b/>
        </w:rPr>
        <w:t>Adições</w:t>
      </w:r>
    </w:p>
    <w:p w:rsidR="004D5959" w:rsidRPr="004B208C" w:rsidRDefault="004D5959" w:rsidP="00383917">
      <w:pPr>
        <w:rPr>
          <w:rFonts w:cs="Tahoma"/>
        </w:rPr>
      </w:pPr>
      <w:r w:rsidRPr="004B208C">
        <w:rPr>
          <w:rFonts w:cs="Tahoma"/>
        </w:rPr>
        <w:t>CAL do Microsoft Dynamics CRM 2013 Basic</w:t>
      </w:r>
    </w:p>
    <w:p w:rsidR="004D5959" w:rsidRPr="004B208C" w:rsidRDefault="004D5959" w:rsidP="00383917">
      <w:pPr>
        <w:rPr>
          <w:rFonts w:cs="Tahoma"/>
        </w:rPr>
      </w:pPr>
      <w:r w:rsidRPr="004B208C">
        <w:rPr>
          <w:rFonts w:cs="Tahoma"/>
        </w:rPr>
        <w:t>CAL Aditiva de Uso Básico para Microsoft Dynamics CRM 2013</w:t>
      </w:r>
    </w:p>
    <w:p w:rsidR="004D5959" w:rsidRPr="004B208C" w:rsidRDefault="004D5959" w:rsidP="00383917">
      <w:pPr>
        <w:rPr>
          <w:rFonts w:cs="Tahoma"/>
        </w:rPr>
      </w:pPr>
      <w:r w:rsidRPr="004B208C">
        <w:rPr>
          <w:rFonts w:cs="Tahoma"/>
        </w:rPr>
        <w:t>CAL do Microsoft Dynamics CRM 2013 Essential</w:t>
      </w:r>
    </w:p>
    <w:p w:rsidR="004D5959" w:rsidRPr="004B208C" w:rsidRDefault="004D5959" w:rsidP="00383917">
      <w:pPr>
        <w:rPr>
          <w:rFonts w:cs="Tahoma"/>
        </w:rPr>
      </w:pPr>
      <w:r w:rsidRPr="004B208C">
        <w:rPr>
          <w:rFonts w:cs="Tahoma"/>
        </w:rPr>
        <w:t>CAL do Microsoft Dynamics CRM 2013 Professional</w:t>
      </w:r>
    </w:p>
    <w:p w:rsidR="004D5959" w:rsidRPr="004B208C" w:rsidRDefault="004D5959" w:rsidP="00383917">
      <w:pPr>
        <w:rPr>
          <w:rFonts w:cs="Tahoma"/>
        </w:rPr>
      </w:pPr>
      <w:r w:rsidRPr="004B208C">
        <w:rPr>
          <w:rFonts w:cs="Tahoma"/>
        </w:rPr>
        <w:t>CAL Aditiva de Uso Profissional para Microsoft Dynamics CRM 2013</w:t>
      </w:r>
    </w:p>
    <w:p w:rsidR="00453E57" w:rsidRPr="004B208C" w:rsidRDefault="00453E57" w:rsidP="00383917">
      <w:pPr>
        <w:rPr>
          <w:rFonts w:cs="Tahoma"/>
        </w:rPr>
      </w:pPr>
      <w:r w:rsidRPr="004B208C">
        <w:rPr>
          <w:rFonts w:cs="Tahoma"/>
        </w:rPr>
        <w:t>Microsoft Dynamics CRM 2013 Server</w:t>
      </w:r>
    </w:p>
    <w:p w:rsidR="00453E57" w:rsidRPr="004B208C" w:rsidRDefault="00453E57" w:rsidP="00383917">
      <w:pPr>
        <w:rPr>
          <w:rFonts w:cs="Tahoma"/>
        </w:rPr>
      </w:pPr>
      <w:r w:rsidRPr="004B208C">
        <w:rPr>
          <w:rFonts w:cs="Tahoma"/>
        </w:rPr>
        <w:t>Microsoft Dynamics CRM Workgroup Server 2013</w:t>
      </w:r>
    </w:p>
    <w:p w:rsidR="00CB4307" w:rsidRPr="004B208C" w:rsidRDefault="00CB4307" w:rsidP="00383917">
      <w:pPr>
        <w:rPr>
          <w:rFonts w:cs="Tahoma"/>
        </w:rPr>
      </w:pPr>
      <w:r w:rsidRPr="004B208C">
        <w:rPr>
          <w:rFonts w:cs="Tahoma"/>
        </w:rPr>
        <w:t>Microsoft Dynamics CRM Online Basic</w:t>
      </w:r>
    </w:p>
    <w:p w:rsidR="00CB4307" w:rsidRPr="004B208C" w:rsidRDefault="00CB4307" w:rsidP="00383917">
      <w:pPr>
        <w:rPr>
          <w:rFonts w:cs="Tahoma"/>
        </w:rPr>
      </w:pPr>
      <w:r w:rsidRPr="004B208C">
        <w:rPr>
          <w:rFonts w:cs="Tahoma"/>
        </w:rPr>
        <w:t>Suporte Aprimorado do Microsoft Dynamics CRM Online</w:t>
      </w:r>
    </w:p>
    <w:p w:rsidR="00CB4307" w:rsidRPr="004B208C" w:rsidRDefault="00CB4307" w:rsidP="00383917">
      <w:pPr>
        <w:rPr>
          <w:rFonts w:cs="Tahoma"/>
        </w:rPr>
      </w:pPr>
      <w:r w:rsidRPr="004B208C">
        <w:rPr>
          <w:rFonts w:cs="Tahoma"/>
        </w:rPr>
        <w:t>Microsoft Dynamics CRM Online Essential</w:t>
      </w:r>
    </w:p>
    <w:p w:rsidR="004D5959" w:rsidRPr="004B208C" w:rsidRDefault="004D5959" w:rsidP="00383917">
      <w:pPr>
        <w:rPr>
          <w:rFonts w:cs="Tahoma"/>
        </w:rPr>
      </w:pPr>
      <w:r w:rsidRPr="004B208C">
        <w:rPr>
          <w:rFonts w:cs="Tahoma"/>
        </w:rPr>
        <w:t>Instância de Produção do Microsoft Dynamics CRM</w:t>
      </w:r>
    </w:p>
    <w:p w:rsidR="004D5959" w:rsidRPr="004B208C" w:rsidRDefault="004D5959" w:rsidP="00383917">
      <w:pPr>
        <w:rPr>
          <w:rFonts w:cs="Tahoma"/>
        </w:rPr>
      </w:pPr>
      <w:r w:rsidRPr="004B208C">
        <w:rPr>
          <w:rFonts w:cs="Tahoma"/>
        </w:rPr>
        <w:t>Instância de Não Produção do Microsoft Dynamics CRM</w:t>
      </w:r>
    </w:p>
    <w:p w:rsidR="00CB4307" w:rsidRPr="004B208C" w:rsidRDefault="00CB4307" w:rsidP="00383917">
      <w:pPr>
        <w:rPr>
          <w:rFonts w:cs="Tahoma"/>
        </w:rPr>
      </w:pPr>
      <w:r w:rsidRPr="004B208C">
        <w:rPr>
          <w:rFonts w:cs="Tahoma"/>
        </w:rPr>
        <w:t>Microsoft Dynamics CRM Online Professional</w:t>
      </w:r>
    </w:p>
    <w:p w:rsidR="00CB4307" w:rsidRPr="004B208C" w:rsidRDefault="00CB4307" w:rsidP="00383917">
      <w:pPr>
        <w:rPr>
          <w:rFonts w:cs="Tahoma"/>
        </w:rPr>
      </w:pPr>
      <w:r w:rsidRPr="004B208C">
        <w:rPr>
          <w:rFonts w:cs="Tahoma"/>
        </w:rPr>
        <w:t>Suporte Direto ao Microsoft Dynamics CRM Online Professional</w:t>
      </w:r>
    </w:p>
    <w:p w:rsidR="00CB4307" w:rsidRPr="004B208C" w:rsidRDefault="00CB4307" w:rsidP="00383917">
      <w:pPr>
        <w:rPr>
          <w:rFonts w:cs="Tahoma"/>
        </w:rPr>
      </w:pPr>
      <w:r w:rsidRPr="004B208C">
        <w:rPr>
          <w:rFonts w:cs="Tahoma"/>
        </w:rPr>
        <w:t>Armazenamento Online do Microsoft Dynamics CRM - Complemento de Gerenciamento de Direitos do Active Directory do Windows Azure (SL de Usuário)</w:t>
      </w:r>
    </w:p>
    <w:p w:rsidR="00C87808" w:rsidRPr="004B208C" w:rsidRDefault="00C87808" w:rsidP="00C87808">
      <w:pPr>
        <w:spacing w:after="60"/>
        <w:rPr>
          <w:rFonts w:cs="Tahoma"/>
        </w:rPr>
      </w:pPr>
    </w:p>
    <w:p w:rsidR="00C87808" w:rsidRPr="004B208C" w:rsidRDefault="00C87808" w:rsidP="00C87808">
      <w:pPr>
        <w:spacing w:after="60"/>
        <w:rPr>
          <w:rFonts w:cs="Tahoma"/>
        </w:rPr>
      </w:pPr>
      <w:r w:rsidRPr="004B208C">
        <w:rPr>
          <w:rFonts w:cs="Tahoma"/>
          <w:b/>
        </w:rPr>
        <w:t>Exclusões</w:t>
      </w:r>
    </w:p>
    <w:p w:rsidR="00383917" w:rsidRPr="004B208C" w:rsidRDefault="00383917" w:rsidP="00383917">
      <w:pPr>
        <w:rPr>
          <w:rFonts w:cs="Tahoma"/>
        </w:rPr>
      </w:pPr>
      <w:r w:rsidRPr="004B208C">
        <w:rPr>
          <w:rFonts w:cs="Tahoma"/>
        </w:rPr>
        <w:t>Armazenamento Adicional para Microsoft Dynamics CRM Online</w:t>
      </w:r>
    </w:p>
    <w:p w:rsidR="00383917" w:rsidRPr="004B208C" w:rsidRDefault="00383917" w:rsidP="00383917">
      <w:pPr>
        <w:rPr>
          <w:rFonts w:cs="Tahoma"/>
        </w:rPr>
      </w:pPr>
      <w:r w:rsidRPr="004B208C">
        <w:rPr>
          <w:rFonts w:cs="Tahoma"/>
        </w:rPr>
        <w:t>Microsoft Dynamics CRM Online por Usuário</w:t>
      </w:r>
    </w:p>
    <w:p w:rsidR="00383917" w:rsidRPr="004B208C" w:rsidRDefault="00383917" w:rsidP="00383917">
      <w:pPr>
        <w:rPr>
          <w:rFonts w:cs="Tahoma"/>
        </w:rPr>
      </w:pPr>
      <w:r w:rsidRPr="004B208C">
        <w:rPr>
          <w:rFonts w:cs="Tahoma"/>
        </w:rPr>
        <w:t>Microsoft Dynamics CRM Online para SA</w:t>
      </w:r>
    </w:p>
    <w:p w:rsidR="00383917" w:rsidRPr="004B208C" w:rsidRDefault="00383917" w:rsidP="00383917">
      <w:pPr>
        <w:rPr>
          <w:rFonts w:cs="Tahoma"/>
        </w:rPr>
      </w:pPr>
      <w:r w:rsidRPr="004B208C">
        <w:rPr>
          <w:rFonts w:cs="Tahoma"/>
        </w:rPr>
        <w:t>CAL do Microsoft Dynamics CRM 2011 (Usuário e Dispositivo)</w:t>
      </w:r>
    </w:p>
    <w:p w:rsidR="00383917" w:rsidRPr="004B208C" w:rsidRDefault="00383917" w:rsidP="00383917">
      <w:pPr>
        <w:rPr>
          <w:rFonts w:cs="Tahoma"/>
        </w:rPr>
      </w:pPr>
      <w:r w:rsidRPr="004B208C">
        <w:rPr>
          <w:rFonts w:cs="Tahoma"/>
        </w:rPr>
        <w:t>Microsoft Dynamics CRM 2011 Employee Self Service (Usuário e Dispositivo)</w:t>
      </w:r>
    </w:p>
    <w:p w:rsidR="00383917" w:rsidRPr="004B208C" w:rsidRDefault="00383917" w:rsidP="00383917">
      <w:pPr>
        <w:rPr>
          <w:rFonts w:cs="Tahoma"/>
        </w:rPr>
      </w:pPr>
      <w:r w:rsidRPr="004B208C">
        <w:rPr>
          <w:rFonts w:cs="Tahoma"/>
        </w:rPr>
        <w:t>Conector Externo para Microsoft Dynamics CRM 2011</w:t>
      </w:r>
    </w:p>
    <w:p w:rsidR="00383917" w:rsidRPr="004B208C" w:rsidRDefault="00383917" w:rsidP="00383917">
      <w:pPr>
        <w:rPr>
          <w:rFonts w:cs="Tahoma"/>
        </w:rPr>
      </w:pPr>
      <w:r w:rsidRPr="004B208C">
        <w:rPr>
          <w:rFonts w:cs="Tahoma"/>
        </w:rPr>
        <w:t>CAL Adicional de Uso Completo do Microsoft Dynamics CRM 2011 (Usuário e Dispositivo)</w:t>
      </w:r>
    </w:p>
    <w:p w:rsidR="00383917" w:rsidRPr="004B208C" w:rsidRDefault="00383917" w:rsidP="00383917">
      <w:pPr>
        <w:rPr>
          <w:rFonts w:cs="Tahoma"/>
        </w:rPr>
      </w:pPr>
      <w:r w:rsidRPr="004B208C">
        <w:rPr>
          <w:rFonts w:cs="Tahoma"/>
        </w:rPr>
        <w:t>CAL Limitada para Microsoft Dynamics CRM 2011 (Usuário e Dispositivo)</w:t>
      </w:r>
    </w:p>
    <w:p w:rsidR="00383917" w:rsidRPr="004B208C" w:rsidRDefault="00383917" w:rsidP="00383917">
      <w:pPr>
        <w:rPr>
          <w:rFonts w:cs="Tahoma"/>
        </w:rPr>
      </w:pPr>
      <w:r w:rsidRPr="004B208C">
        <w:rPr>
          <w:rFonts w:cs="Tahoma"/>
        </w:rPr>
        <w:t>CAL Adicional de Usuários Limitados do Microsoft Dynamics CRM 2011 (Usuário e Dispositivo)</w:t>
      </w:r>
    </w:p>
    <w:p w:rsidR="00383917" w:rsidRPr="004B208C" w:rsidRDefault="00383917" w:rsidP="00383917">
      <w:pPr>
        <w:rPr>
          <w:rFonts w:cs="Tahoma"/>
        </w:rPr>
      </w:pPr>
      <w:r w:rsidRPr="004B208C">
        <w:rPr>
          <w:rFonts w:cs="Tahoma"/>
        </w:rPr>
        <w:t>Microsoft Dynamics CRM Server 2011</w:t>
      </w:r>
    </w:p>
    <w:p w:rsidR="00383917" w:rsidRPr="004B208C" w:rsidRDefault="00383917" w:rsidP="00383917">
      <w:pPr>
        <w:rPr>
          <w:rFonts w:cs="Tahoma"/>
        </w:rPr>
      </w:pPr>
      <w:r w:rsidRPr="004B208C">
        <w:rPr>
          <w:rFonts w:cs="Tahoma"/>
        </w:rPr>
        <w:t>Microsoft Dynamics CRM Workgroup Server 2011</w:t>
      </w:r>
    </w:p>
    <w:p w:rsidR="00CB4307" w:rsidRPr="004B208C" w:rsidRDefault="00CB4307" w:rsidP="00C87808">
      <w:pPr>
        <w:spacing w:after="60"/>
        <w:rPr>
          <w:rFonts w:cs="Tahoma"/>
        </w:rPr>
      </w:pPr>
      <w:r w:rsidRPr="004B208C">
        <w:rPr>
          <w:rFonts w:cs="Tahoma"/>
        </w:rPr>
        <w:t>Assinatura Mensal de 250 Mil Transações de Uso de Site Público do Bing Maps</w:t>
      </w:r>
    </w:p>
    <w:p w:rsidR="00C87808" w:rsidRPr="004B208C" w:rsidRDefault="00C87808" w:rsidP="00C87808">
      <w:pPr>
        <w:spacing w:after="60"/>
        <w:rPr>
          <w:rFonts w:cs="Tahoma"/>
        </w:rPr>
      </w:pPr>
    </w:p>
    <w:p w:rsidR="00C87808" w:rsidRPr="004B208C" w:rsidRDefault="00C87808" w:rsidP="00C87808">
      <w:pPr>
        <w:spacing w:after="60"/>
        <w:rPr>
          <w:rFonts w:cs="Tahoma"/>
        </w:rPr>
      </w:pPr>
      <w:r w:rsidRPr="004B208C">
        <w:rPr>
          <w:rFonts w:cs="Tahoma"/>
          <w:b/>
        </w:rPr>
        <w:t>Alterações</w:t>
      </w:r>
    </w:p>
    <w:p w:rsidR="00CB4307" w:rsidRPr="004B208C" w:rsidRDefault="00CB4307" w:rsidP="00383917">
      <w:pPr>
        <w:rPr>
          <w:rFonts w:cs="Tahoma"/>
        </w:rPr>
      </w:pPr>
      <w:r w:rsidRPr="004B208C">
        <w:rPr>
          <w:rFonts w:cs="Tahoma"/>
        </w:rPr>
        <w:t>Valor da Assinatura Mensal do Bing Maps Enterprise</w:t>
      </w:r>
    </w:p>
    <w:p w:rsidR="00CB4307" w:rsidRPr="004B208C" w:rsidRDefault="00CB4307" w:rsidP="00383917">
      <w:pPr>
        <w:rPr>
          <w:rFonts w:cs="Tahoma"/>
        </w:rPr>
      </w:pPr>
      <w:r w:rsidRPr="004B208C">
        <w:rPr>
          <w:rFonts w:cs="Tahoma"/>
        </w:rPr>
        <w:t>Assinatura Mensal de Tarifa por Plataforma de Gerenciamento de Ativos Móveis do Bing Maps</w:t>
      </w:r>
    </w:p>
    <w:p w:rsidR="00CB4307" w:rsidRPr="004B208C" w:rsidRDefault="00CB4307" w:rsidP="00383917">
      <w:pPr>
        <w:rPr>
          <w:rFonts w:cs="Tahoma"/>
        </w:rPr>
      </w:pPr>
      <w:r w:rsidRPr="004B208C">
        <w:rPr>
          <w:rFonts w:cs="Tahoma"/>
        </w:rPr>
        <w:t>Gerenciamento de Direitos do Active Directory do Windows Azure (SL de Usuário)</w:t>
      </w:r>
    </w:p>
    <w:p w:rsidR="00C87808" w:rsidRPr="004B208C" w:rsidRDefault="00C87808" w:rsidP="00D94BF5">
      <w:pPr>
        <w:pStyle w:val="Heading2"/>
        <w:ind w:left="0"/>
        <w:jc w:val="both"/>
        <w:rPr>
          <w:rFonts w:ascii="Tahoma" w:hAnsi="Tahoma" w:cs="Tahoma"/>
        </w:rPr>
      </w:pPr>
    </w:p>
    <w:p w:rsidR="00C87808" w:rsidRDefault="00C87808" w:rsidP="00C87808">
      <w:pPr>
        <w:rPr>
          <w:rFonts w:cs="Tahoma"/>
        </w:rPr>
      </w:pPr>
    </w:p>
    <w:p w:rsidR="00A578AF" w:rsidRDefault="00A578AF" w:rsidP="00C87808">
      <w:pPr>
        <w:rPr>
          <w:rFonts w:cs="Tahoma"/>
        </w:rPr>
      </w:pPr>
    </w:p>
    <w:p w:rsidR="00A578AF" w:rsidRDefault="00A578AF" w:rsidP="00C87808">
      <w:pPr>
        <w:rPr>
          <w:rFonts w:cs="Tahoma"/>
        </w:rPr>
      </w:pPr>
    </w:p>
    <w:p w:rsidR="00A578AF" w:rsidRDefault="00A578AF" w:rsidP="00C87808">
      <w:pPr>
        <w:rPr>
          <w:rFonts w:cs="Tahoma"/>
        </w:rPr>
      </w:pPr>
    </w:p>
    <w:p w:rsidR="00A578AF" w:rsidRPr="004B208C" w:rsidRDefault="00A578AF" w:rsidP="00C87808">
      <w:pPr>
        <w:rPr>
          <w:rFonts w:cs="Tahoma"/>
        </w:rPr>
      </w:pPr>
    </w:p>
    <w:p w:rsidR="00D94BF5" w:rsidRPr="004B208C" w:rsidRDefault="00D94BF5" w:rsidP="00D94BF5">
      <w:pPr>
        <w:pStyle w:val="Heading2"/>
        <w:ind w:left="0"/>
        <w:jc w:val="both"/>
        <w:rPr>
          <w:rFonts w:ascii="Tahoma" w:hAnsi="Tahoma" w:cs="Tahoma"/>
        </w:rPr>
      </w:pPr>
      <w:bookmarkStart w:id="570" w:name="_Toc370981285"/>
      <w:r w:rsidRPr="004B208C">
        <w:rPr>
          <w:rFonts w:ascii="Tahoma" w:hAnsi="Tahoma" w:cs="Tahoma"/>
          <w:color w:val="FF6600"/>
        </w:rPr>
        <w:t>ALTERAÇÕES EM SETEMBRO DE 2013</w:t>
      </w:r>
      <w:bookmarkEnd w:id="570"/>
    </w:p>
    <w:p w:rsidR="00D94BF5" w:rsidRPr="004B208C" w:rsidRDefault="00D94BF5" w:rsidP="00D94BF5">
      <w:pPr>
        <w:spacing w:after="60"/>
        <w:rPr>
          <w:rFonts w:cs="Tahoma"/>
        </w:rPr>
      </w:pPr>
    </w:p>
    <w:p w:rsidR="00D94BF5" w:rsidRPr="004B208C" w:rsidRDefault="00D94BF5" w:rsidP="0047054A">
      <w:pPr>
        <w:spacing w:after="60"/>
        <w:rPr>
          <w:rFonts w:cs="Tahoma"/>
        </w:rPr>
      </w:pPr>
      <w:r w:rsidRPr="004B208C">
        <w:rPr>
          <w:rFonts w:cs="Tahoma"/>
          <w:b/>
        </w:rPr>
        <w:t>Adições</w:t>
      </w:r>
    </w:p>
    <w:p w:rsidR="00D40DF3" w:rsidRPr="004B208C" w:rsidRDefault="00D40DF3" w:rsidP="00652B91">
      <w:pPr>
        <w:rPr>
          <w:rFonts w:cs="Tahoma"/>
        </w:rPr>
      </w:pPr>
      <w:r w:rsidRPr="004B208C">
        <w:rPr>
          <w:rFonts w:cs="Tahoma"/>
        </w:rPr>
        <w:t>Gerenciamento de Direitos do Active Directory do Windows Azure</w:t>
      </w:r>
    </w:p>
    <w:p w:rsidR="00D40DF3" w:rsidRPr="004B208C" w:rsidRDefault="00D40DF3" w:rsidP="00652B91">
      <w:pPr>
        <w:rPr>
          <w:rFonts w:cs="Tahoma"/>
        </w:rPr>
      </w:pPr>
    </w:p>
    <w:p w:rsidR="00D94BF5" w:rsidRPr="004B208C" w:rsidRDefault="00D94BF5" w:rsidP="0047054A">
      <w:pPr>
        <w:spacing w:after="60"/>
        <w:rPr>
          <w:rFonts w:cs="Tahoma"/>
        </w:rPr>
      </w:pPr>
      <w:r w:rsidRPr="004B208C">
        <w:rPr>
          <w:rFonts w:cs="Tahoma"/>
          <w:b/>
        </w:rPr>
        <w:t>Promoções</w:t>
      </w:r>
    </w:p>
    <w:p w:rsidR="00D94BF5" w:rsidRPr="004B208C" w:rsidRDefault="00D40DF3" w:rsidP="00652B91">
      <w:pPr>
        <w:rPr>
          <w:rFonts w:cs="Tahoma"/>
        </w:rPr>
      </w:pPr>
      <w:r w:rsidRPr="004B208C">
        <w:rPr>
          <w:rFonts w:cs="Tahoma"/>
        </w:rPr>
        <w:t>As seguintes promoções foram adicionadas:</w:t>
      </w:r>
    </w:p>
    <w:p w:rsidR="00D40DF3" w:rsidRPr="004B208C" w:rsidRDefault="00D40DF3" w:rsidP="00652B91">
      <w:pPr>
        <w:rPr>
          <w:rFonts w:cs="Tahoma"/>
        </w:rPr>
      </w:pPr>
      <w:r w:rsidRPr="004B208C">
        <w:rPr>
          <w:rStyle w:val="Strong"/>
          <w:rFonts w:cs="Tahoma"/>
          <w:b w:val="0"/>
          <w:color w:val="000000" w:themeColor="text1"/>
          <w:szCs w:val="18"/>
          <w:bdr w:val="none" w:sz="0" w:space="0" w:color="auto" w:frame="1"/>
          <w:shd w:val="clear" w:color="auto" w:fill="FFFFFF"/>
        </w:rPr>
        <w:t>Windows Companion Kickstart Promo</w:t>
      </w:r>
    </w:p>
    <w:p w:rsidR="00F67139" w:rsidRPr="004B208C" w:rsidRDefault="00F67139" w:rsidP="00652B91">
      <w:pPr>
        <w:rPr>
          <w:rFonts w:cs="Tahoma"/>
        </w:rPr>
      </w:pPr>
      <w:r w:rsidRPr="004B208C">
        <w:rPr>
          <w:rStyle w:val="Strong"/>
          <w:rFonts w:cs="Tahoma"/>
          <w:b w:val="0"/>
          <w:color w:val="000000" w:themeColor="text1"/>
          <w:szCs w:val="18"/>
          <w:bdr w:val="none" w:sz="0" w:space="0" w:color="auto" w:frame="1"/>
          <w:shd w:val="clear" w:color="auto" w:fill="FFFFFF"/>
        </w:rPr>
        <w:t>Windows Legalization Drive</w:t>
      </w:r>
    </w:p>
    <w:p w:rsidR="00D40DF3" w:rsidRPr="004B208C" w:rsidRDefault="00D40DF3" w:rsidP="00652B91">
      <w:pPr>
        <w:rPr>
          <w:rFonts w:cs="Tahoma"/>
        </w:rPr>
      </w:pPr>
      <w:r w:rsidRPr="004B208C">
        <w:rPr>
          <w:rStyle w:val="Strong"/>
          <w:rFonts w:cs="Tahoma"/>
          <w:b w:val="0"/>
          <w:color w:val="000000" w:themeColor="text1"/>
          <w:szCs w:val="18"/>
          <w:bdr w:val="none" w:sz="0" w:space="0" w:color="auto" w:frame="1"/>
          <w:shd w:val="clear" w:color="auto" w:fill="FFFFFF"/>
        </w:rPr>
        <w:t>Windows Intune</w:t>
      </w:r>
      <w:r w:rsidRPr="004B208C">
        <w:rPr>
          <w:rFonts w:cs="Tahoma"/>
          <w:b/>
          <w:color w:val="000000" w:themeColor="text1"/>
          <w:szCs w:val="18"/>
          <w:bdr w:val="none" w:sz="0" w:space="0" w:color="auto" w:frame="1"/>
          <w:shd w:val="clear" w:color="auto" w:fill="FFFFFF"/>
        </w:rPr>
        <w:t xml:space="preserve"> </w:t>
      </w:r>
      <w:r w:rsidRPr="004B208C">
        <w:rPr>
          <w:rStyle w:val="Strong"/>
          <w:rFonts w:cs="Tahoma"/>
          <w:b w:val="0"/>
          <w:color w:val="000000" w:themeColor="text1"/>
          <w:szCs w:val="18"/>
          <w:bdr w:val="none" w:sz="0" w:space="0" w:color="auto" w:frame="1"/>
          <w:shd w:val="clear" w:color="auto" w:fill="FFFFFF"/>
        </w:rPr>
        <w:t>Promo</w:t>
      </w:r>
      <w:r w:rsidRPr="004B208C">
        <w:rPr>
          <w:rFonts w:cs="Tahoma"/>
          <w:b/>
          <w:color w:val="000000" w:themeColor="text1"/>
          <w:szCs w:val="18"/>
          <w:bdr w:val="none" w:sz="0" w:space="0" w:color="auto" w:frame="1"/>
          <w:shd w:val="clear" w:color="auto" w:fill="FFFFFF"/>
        </w:rPr>
        <w:t xml:space="preserve"> </w:t>
      </w:r>
    </w:p>
    <w:p w:rsidR="00D40DF3" w:rsidRPr="004B208C" w:rsidRDefault="00D40DF3" w:rsidP="00652B91">
      <w:pPr>
        <w:rPr>
          <w:rFonts w:cs="Tahoma"/>
        </w:rPr>
      </w:pPr>
    </w:p>
    <w:p w:rsidR="00D94BF5" w:rsidRPr="004B208C" w:rsidRDefault="00D94BF5" w:rsidP="0047054A">
      <w:pPr>
        <w:spacing w:after="60"/>
        <w:rPr>
          <w:rFonts w:cs="Tahoma"/>
        </w:rPr>
      </w:pPr>
      <w:r w:rsidRPr="004B208C">
        <w:rPr>
          <w:rFonts w:cs="Tahoma"/>
          <w:b/>
        </w:rPr>
        <w:t>Exclusões</w:t>
      </w:r>
    </w:p>
    <w:p w:rsidR="00D40DF3" w:rsidRPr="004B208C" w:rsidRDefault="00D40DF3" w:rsidP="00652B91">
      <w:pPr>
        <w:rPr>
          <w:rFonts w:cs="Tahoma"/>
        </w:rPr>
      </w:pPr>
      <w:r w:rsidRPr="004B208C">
        <w:rPr>
          <w:rFonts w:cs="Tahoma"/>
        </w:rPr>
        <w:t>Office 365 Enterprise E2 (SL de Usuário)</w:t>
      </w:r>
    </w:p>
    <w:p w:rsidR="00D40DF3" w:rsidRPr="004B208C" w:rsidRDefault="00D40DF3" w:rsidP="00652B91">
      <w:pPr>
        <w:rPr>
          <w:rFonts w:cs="Tahoma"/>
        </w:rPr>
      </w:pPr>
      <w:r w:rsidRPr="004B208C">
        <w:rPr>
          <w:rFonts w:cs="Tahoma"/>
        </w:rPr>
        <w:t>Office 365 Enterprise K2 (SL de Usuário)</w:t>
      </w:r>
    </w:p>
    <w:p w:rsidR="00D40DF3" w:rsidRPr="004B208C" w:rsidRDefault="00D40DF3" w:rsidP="00652B91">
      <w:pPr>
        <w:rPr>
          <w:rFonts w:cs="Tahoma"/>
        </w:rPr>
      </w:pPr>
      <w:r w:rsidRPr="004B208C">
        <w:rPr>
          <w:rFonts w:cs="Tahoma"/>
        </w:rPr>
        <w:t>System Center Essentials 2010</w:t>
      </w:r>
    </w:p>
    <w:p w:rsidR="00D40DF3" w:rsidRPr="004B208C" w:rsidRDefault="00D40DF3" w:rsidP="00652B91">
      <w:pPr>
        <w:rPr>
          <w:rFonts w:cs="Tahoma"/>
        </w:rPr>
      </w:pPr>
      <w:r w:rsidRPr="004B208C">
        <w:rPr>
          <w:rFonts w:cs="Tahoma"/>
        </w:rPr>
        <w:t>ML de Servidor do System Center Essentials 2010</w:t>
      </w:r>
    </w:p>
    <w:p w:rsidR="00D40DF3" w:rsidRPr="004B208C" w:rsidRDefault="00D40DF3" w:rsidP="00652B91">
      <w:pPr>
        <w:rPr>
          <w:rFonts w:cs="Tahoma"/>
        </w:rPr>
      </w:pPr>
      <w:r w:rsidRPr="004B208C">
        <w:rPr>
          <w:rFonts w:cs="Tahoma"/>
        </w:rPr>
        <w:t>ML de Cliente do System Center Essentials 2010</w:t>
      </w:r>
    </w:p>
    <w:p w:rsidR="00D40DF3" w:rsidRPr="004B208C" w:rsidRDefault="00D40DF3" w:rsidP="00652B91">
      <w:pPr>
        <w:rPr>
          <w:rFonts w:cs="Tahoma"/>
        </w:rPr>
      </w:pPr>
      <w:r w:rsidRPr="004B208C">
        <w:rPr>
          <w:rFonts w:cs="Tahoma"/>
        </w:rPr>
        <w:t>Pacote de Licenças de Gerenciamento do System Center Essentials 2010 Client</w:t>
      </w:r>
    </w:p>
    <w:p w:rsidR="00A86BEB" w:rsidRPr="004B208C" w:rsidRDefault="00A86BEB" w:rsidP="00652B91">
      <w:pPr>
        <w:rPr>
          <w:rFonts w:cs="Tahoma"/>
        </w:rPr>
      </w:pPr>
      <w:r w:rsidRPr="004B208C">
        <w:rPr>
          <w:rFonts w:cs="Tahoma"/>
        </w:rPr>
        <w:t>TechNet Plus Direct</w:t>
      </w:r>
    </w:p>
    <w:p w:rsidR="00A86BEB" w:rsidRPr="004B208C" w:rsidRDefault="00A86BEB" w:rsidP="00652B91">
      <w:pPr>
        <w:rPr>
          <w:rFonts w:cs="Tahoma"/>
        </w:rPr>
      </w:pPr>
      <w:r w:rsidRPr="004B208C">
        <w:rPr>
          <w:rFonts w:cs="Tahoma"/>
        </w:rPr>
        <w:t>TechNet Plus Single User</w:t>
      </w:r>
    </w:p>
    <w:p w:rsidR="00D94BF5" w:rsidRPr="004B208C" w:rsidRDefault="00A86BEB" w:rsidP="00652B91">
      <w:pPr>
        <w:rPr>
          <w:rFonts w:cs="Tahoma"/>
        </w:rPr>
      </w:pPr>
      <w:r w:rsidRPr="004B208C">
        <w:rPr>
          <w:rFonts w:cs="Tahoma"/>
        </w:rPr>
        <w:t>Assinaturas do TechNet</w:t>
      </w:r>
    </w:p>
    <w:p w:rsidR="00A86BEB" w:rsidRPr="004B208C" w:rsidRDefault="00A86BEB" w:rsidP="00652B91">
      <w:pPr>
        <w:rPr>
          <w:rFonts w:cs="Tahoma"/>
        </w:rPr>
      </w:pPr>
    </w:p>
    <w:p w:rsidR="00D94BF5" w:rsidRPr="004B208C" w:rsidRDefault="00D94BF5" w:rsidP="0047054A">
      <w:pPr>
        <w:spacing w:after="60"/>
        <w:rPr>
          <w:rFonts w:cs="Tahoma"/>
        </w:rPr>
      </w:pPr>
      <w:r w:rsidRPr="004B208C">
        <w:rPr>
          <w:rFonts w:cs="Tahoma"/>
          <w:b/>
        </w:rPr>
        <w:t>Alterações</w:t>
      </w:r>
    </w:p>
    <w:p w:rsidR="00471E00" w:rsidRPr="004B208C" w:rsidRDefault="00C358B7" w:rsidP="00652B91">
      <w:pPr>
        <w:rPr>
          <w:rFonts w:cs="Tahoma"/>
        </w:rPr>
      </w:pPr>
      <w:r w:rsidRPr="004B208C">
        <w:rPr>
          <w:rFonts w:cs="Tahoma"/>
          <w:color w:val="000000" w:themeColor="text1"/>
        </w:rPr>
        <w:t>Título Learning Solutions E-Reference Library (SL de Usuário) alterado para Microsoft Learning E-Reference Library (SL de Usuário)</w:t>
      </w:r>
    </w:p>
    <w:p w:rsidR="00C358B7" w:rsidRPr="004B208C" w:rsidRDefault="00C358B7" w:rsidP="00652B91">
      <w:pPr>
        <w:rPr>
          <w:rFonts w:cs="Tahoma"/>
        </w:rPr>
      </w:pPr>
      <w:r w:rsidRPr="004B208C">
        <w:rPr>
          <w:rFonts w:cs="Tahoma"/>
          <w:color w:val="000000" w:themeColor="text1"/>
        </w:rPr>
        <w:t>Título Learning Solutions IT Academy (SL de Usuário) alterado para Microsoft Learning IT Academy (SL de Usuário)</w:t>
      </w:r>
    </w:p>
    <w:p w:rsidR="00C358B7" w:rsidRPr="004B208C" w:rsidRDefault="00C358B7" w:rsidP="00652B91">
      <w:pPr>
        <w:rPr>
          <w:rFonts w:cs="Tahoma"/>
        </w:rPr>
      </w:pPr>
      <w:r w:rsidRPr="004B208C">
        <w:rPr>
          <w:rFonts w:cs="Tahoma"/>
          <w:color w:val="000000" w:themeColor="text1"/>
        </w:rPr>
        <w:t>Título Cupons de Exame do Learning Solutions MCP 1 (SL de Usuário) alterado para Cupons de Exame do Microsoft Learning MCP 1 (SL de Usuário)</w:t>
      </w:r>
    </w:p>
    <w:p w:rsidR="00C358B7" w:rsidRPr="004B208C" w:rsidRDefault="00C358B7" w:rsidP="00652B91">
      <w:pPr>
        <w:rPr>
          <w:rFonts w:cs="Tahoma"/>
        </w:rPr>
      </w:pPr>
      <w:r w:rsidRPr="004B208C">
        <w:rPr>
          <w:rFonts w:cs="Tahoma"/>
          <w:color w:val="000000" w:themeColor="text1"/>
        </w:rPr>
        <w:t>Título Cupons de Exame do Learning Solutions MCP 30 (SL de Usuário) alterado para Cupons de Exame do Microsoft Learning MCP 30 (SL de Usuário)</w:t>
      </w:r>
    </w:p>
    <w:p w:rsidR="00C358B7" w:rsidRPr="004B208C" w:rsidRDefault="00C358B7" w:rsidP="00652B91">
      <w:pPr>
        <w:rPr>
          <w:rFonts w:cs="Tahoma"/>
        </w:rPr>
      </w:pPr>
      <w:r w:rsidRPr="004B208C">
        <w:rPr>
          <w:rFonts w:cs="Tahoma"/>
          <w:color w:val="000000" w:themeColor="text1"/>
        </w:rPr>
        <w:t>Título Licença do Site de Exame do Learning Solutions MOS 500 (SL de Usuário) alterado para Licença do Site de</w:t>
      </w:r>
      <w:r w:rsidR="00A578AF">
        <w:rPr>
          <w:rFonts w:cs="Tahoma"/>
          <w:color w:val="000000" w:themeColor="text1"/>
        </w:rPr>
        <w:t> </w:t>
      </w:r>
      <w:r w:rsidRPr="004B208C">
        <w:rPr>
          <w:rFonts w:cs="Tahoma"/>
          <w:color w:val="000000" w:themeColor="text1"/>
        </w:rPr>
        <w:t xml:space="preserve">Exame do Microsoft Learning MOS 500 (SL de Usuário) </w:t>
      </w:r>
    </w:p>
    <w:p w:rsidR="00C358B7" w:rsidRPr="004B208C" w:rsidRDefault="00C358B7" w:rsidP="00652B91">
      <w:pPr>
        <w:rPr>
          <w:rFonts w:cs="Tahoma"/>
        </w:rPr>
      </w:pPr>
      <w:r w:rsidRPr="004B208C">
        <w:rPr>
          <w:rFonts w:cs="Tahoma"/>
          <w:color w:val="000000" w:themeColor="text1"/>
        </w:rPr>
        <w:t>Título Licença do Site de Exame do Learning Solutions MTA 250 (SL de Usuário) alterado para Licença do Site de</w:t>
      </w:r>
      <w:r w:rsidR="00A578AF">
        <w:rPr>
          <w:rFonts w:cs="Tahoma"/>
          <w:color w:val="000000" w:themeColor="text1"/>
        </w:rPr>
        <w:t> </w:t>
      </w:r>
      <w:r w:rsidRPr="004B208C">
        <w:rPr>
          <w:rFonts w:cs="Tahoma"/>
          <w:color w:val="000000" w:themeColor="text1"/>
        </w:rPr>
        <w:t>Exame do Microsoft Learning MTA 250 (SL de Usuário)</w:t>
      </w:r>
    </w:p>
    <w:p w:rsidR="00D94BF5" w:rsidRPr="004B208C" w:rsidRDefault="00D94BF5" w:rsidP="00652B91">
      <w:pPr>
        <w:rPr>
          <w:rFonts w:cs="Tahoma"/>
        </w:rPr>
      </w:pPr>
    </w:p>
    <w:p w:rsidR="0047054A" w:rsidRPr="004B208C" w:rsidRDefault="0047054A" w:rsidP="00652B91">
      <w:pPr>
        <w:rPr>
          <w:rFonts w:cs="Tahoma"/>
        </w:rPr>
      </w:pPr>
    </w:p>
    <w:p w:rsidR="007C2F29" w:rsidRPr="004B208C" w:rsidRDefault="007C2F29" w:rsidP="00DE520D">
      <w:pPr>
        <w:pStyle w:val="Heading2"/>
        <w:ind w:left="0"/>
        <w:jc w:val="both"/>
        <w:rPr>
          <w:rFonts w:ascii="Tahoma" w:hAnsi="Tahoma" w:cs="Tahoma"/>
        </w:rPr>
      </w:pPr>
      <w:bookmarkStart w:id="571" w:name="_Toc370981286"/>
      <w:r w:rsidRPr="004B208C">
        <w:rPr>
          <w:rFonts w:ascii="Tahoma" w:hAnsi="Tahoma" w:cs="Tahoma"/>
          <w:color w:val="FF6600"/>
        </w:rPr>
        <w:t>ALTERAÇÕES EM AGOSTO DE 2013</w:t>
      </w:r>
      <w:bookmarkEnd w:id="571"/>
    </w:p>
    <w:p w:rsidR="007C2F29" w:rsidRPr="004B208C" w:rsidRDefault="007C2F29" w:rsidP="007C2F29">
      <w:pPr>
        <w:spacing w:after="60"/>
        <w:rPr>
          <w:rFonts w:cs="Tahoma"/>
        </w:rPr>
      </w:pPr>
    </w:p>
    <w:p w:rsidR="007C2F29" w:rsidRPr="004B208C" w:rsidRDefault="007C2F29" w:rsidP="007C2F29">
      <w:pPr>
        <w:spacing w:after="60"/>
        <w:rPr>
          <w:rFonts w:cs="Tahoma"/>
        </w:rPr>
      </w:pPr>
      <w:r w:rsidRPr="004B208C">
        <w:rPr>
          <w:rFonts w:cs="Tahoma"/>
          <w:b/>
        </w:rPr>
        <w:t>Adições</w:t>
      </w:r>
    </w:p>
    <w:p w:rsidR="006068C9" w:rsidRPr="004B208C" w:rsidRDefault="006068C9" w:rsidP="003F1A34">
      <w:pPr>
        <w:rPr>
          <w:rFonts w:cs="Tahoma"/>
        </w:rPr>
      </w:pPr>
      <w:r w:rsidRPr="004B208C">
        <w:rPr>
          <w:rFonts w:cs="Tahoma"/>
          <w:szCs w:val="18"/>
        </w:rPr>
        <w:t>Complemento do Exchange Online Plano 1 (SL de Usuário)</w:t>
      </w:r>
    </w:p>
    <w:p w:rsidR="006068C9" w:rsidRPr="004B208C" w:rsidRDefault="006068C9" w:rsidP="003F1A34">
      <w:pPr>
        <w:rPr>
          <w:rFonts w:cs="Tahoma"/>
        </w:rPr>
      </w:pPr>
      <w:r w:rsidRPr="004B208C">
        <w:rPr>
          <w:rFonts w:cs="Tahoma"/>
          <w:szCs w:val="18"/>
        </w:rPr>
        <w:t>Complemento do Lync Online Plano 1 (SL de Usuário)</w:t>
      </w:r>
    </w:p>
    <w:p w:rsidR="006068C9" w:rsidRPr="004B208C" w:rsidRDefault="006068C9" w:rsidP="003F1A34">
      <w:pPr>
        <w:rPr>
          <w:rFonts w:cs="Tahoma"/>
        </w:rPr>
      </w:pPr>
      <w:r w:rsidRPr="004B208C">
        <w:rPr>
          <w:rFonts w:cs="Tahoma"/>
          <w:szCs w:val="18"/>
        </w:rPr>
        <w:t>Complemento do SharePoint Online Plano 1 (SL de Usuário)</w:t>
      </w:r>
    </w:p>
    <w:p w:rsidR="006068C9" w:rsidRPr="004B208C" w:rsidRDefault="006068C9" w:rsidP="003F1A34">
      <w:pPr>
        <w:rPr>
          <w:rFonts w:cs="Tahoma"/>
        </w:rPr>
      </w:pPr>
      <w:r w:rsidRPr="004B208C">
        <w:rPr>
          <w:rFonts w:cs="Tahoma"/>
          <w:szCs w:val="18"/>
        </w:rPr>
        <w:t>SharePoint Online Plano 1 com Complemento Yammer (SL de Usuário)</w:t>
      </w:r>
    </w:p>
    <w:p w:rsidR="006068C9" w:rsidRPr="004B208C" w:rsidRDefault="006068C9" w:rsidP="003F1A34">
      <w:pPr>
        <w:rPr>
          <w:rFonts w:cs="Tahoma"/>
        </w:rPr>
      </w:pPr>
      <w:r w:rsidRPr="004B208C">
        <w:rPr>
          <w:rFonts w:cs="Tahoma"/>
          <w:szCs w:val="18"/>
        </w:rPr>
        <w:t>Complemento do Office 365 Enterprise E1, E3, E4 (SL de Usuário)</w:t>
      </w:r>
    </w:p>
    <w:p w:rsidR="006068C9" w:rsidRPr="004B208C" w:rsidRDefault="006068C9" w:rsidP="003F1A34">
      <w:pPr>
        <w:rPr>
          <w:rFonts w:cs="Tahoma"/>
        </w:rPr>
      </w:pPr>
      <w:r w:rsidRPr="004B208C">
        <w:rPr>
          <w:rFonts w:cs="Tahoma"/>
          <w:szCs w:val="18"/>
        </w:rPr>
        <w:t>Complemento do Office 365 Government G1, G3, G4 (SL de Usuário)</w:t>
      </w:r>
    </w:p>
    <w:p w:rsidR="006068C9" w:rsidRPr="004B208C" w:rsidRDefault="006068C9" w:rsidP="003F1A34">
      <w:pPr>
        <w:rPr>
          <w:rFonts w:cs="Tahoma"/>
        </w:rPr>
      </w:pPr>
      <w:r w:rsidRPr="004B208C">
        <w:rPr>
          <w:rFonts w:cs="Tahoma"/>
          <w:szCs w:val="18"/>
        </w:rPr>
        <w:t>Office 365 Enterprise E3, E4 sem Complemento do Office Pro Plus (SL de Usuário)</w:t>
      </w:r>
    </w:p>
    <w:p w:rsidR="007C2F29" w:rsidRPr="004B208C" w:rsidRDefault="006068C9" w:rsidP="003F1A34">
      <w:pPr>
        <w:rPr>
          <w:rFonts w:cs="Tahoma"/>
        </w:rPr>
      </w:pPr>
      <w:r w:rsidRPr="004B208C">
        <w:rPr>
          <w:rFonts w:cs="Tahoma"/>
          <w:szCs w:val="18"/>
        </w:rPr>
        <w:t>Office 365 Government G3, G4 sem Complemento do Office Pro Plus (SL de Usuário)</w:t>
      </w:r>
    </w:p>
    <w:p w:rsidR="006068C9" w:rsidRPr="004B208C" w:rsidRDefault="006068C9" w:rsidP="007C2F29">
      <w:pPr>
        <w:spacing w:after="60"/>
        <w:rPr>
          <w:rFonts w:cs="Tahoma"/>
        </w:rPr>
      </w:pPr>
    </w:p>
    <w:p w:rsidR="007C2F29" w:rsidRPr="004B208C" w:rsidRDefault="007C2F29" w:rsidP="007C2F29">
      <w:pPr>
        <w:spacing w:after="60"/>
        <w:rPr>
          <w:rFonts w:cs="Tahoma"/>
        </w:rPr>
      </w:pPr>
      <w:r w:rsidRPr="004B208C">
        <w:rPr>
          <w:rFonts w:cs="Tahoma"/>
          <w:b/>
        </w:rPr>
        <w:t>Promoções</w:t>
      </w:r>
    </w:p>
    <w:p w:rsidR="00DB6980" w:rsidRPr="004B208C" w:rsidRDefault="00DB6980" w:rsidP="003F1A34">
      <w:pPr>
        <w:rPr>
          <w:rFonts w:cs="Tahoma"/>
        </w:rPr>
      </w:pPr>
      <w:r w:rsidRPr="004B208C">
        <w:rPr>
          <w:rFonts w:cs="Tahoma"/>
          <w:szCs w:val="18"/>
        </w:rPr>
        <w:t>As seguintes promoções foram excluídas:</w:t>
      </w:r>
    </w:p>
    <w:p w:rsidR="006068C9" w:rsidRPr="004B208C" w:rsidRDefault="003F5594" w:rsidP="003F1A34">
      <w:pPr>
        <w:rPr>
          <w:rFonts w:cs="Tahoma"/>
        </w:rPr>
      </w:pPr>
      <w:r w:rsidRPr="004B208C">
        <w:rPr>
          <w:rFonts w:cs="Tahoma"/>
          <w:szCs w:val="18"/>
        </w:rPr>
        <w:t xml:space="preserve">Microsoft Dynamics AX 2012 R2 - Promoção </w:t>
      </w:r>
      <w:r w:rsidR="00172F11">
        <w:rPr>
          <w:rFonts w:cs="Tahoma"/>
          <w:szCs w:val="18"/>
        </w:rPr>
        <w:t>“</w:t>
      </w:r>
      <w:r w:rsidRPr="004B208C">
        <w:rPr>
          <w:rFonts w:cs="Tahoma"/>
          <w:szCs w:val="18"/>
        </w:rPr>
        <w:t>Compre Uma CAL Empresarial Ganhe outra CAL Funcional</w:t>
      </w:r>
      <w:r w:rsidR="00172F11">
        <w:rPr>
          <w:rFonts w:cs="Tahoma"/>
          <w:szCs w:val="18"/>
        </w:rPr>
        <w:t>”</w:t>
      </w:r>
    </w:p>
    <w:p w:rsidR="003F5594" w:rsidRPr="004B208C" w:rsidRDefault="003F5594" w:rsidP="003F1A34">
      <w:pPr>
        <w:rPr>
          <w:rFonts w:cs="Tahoma"/>
        </w:rPr>
      </w:pPr>
      <w:r w:rsidRPr="004B208C">
        <w:rPr>
          <w:rFonts w:cs="Tahoma"/>
          <w:szCs w:val="18"/>
        </w:rPr>
        <w:t>15% de desconto em Step-ups do Project/Visio</w:t>
      </w:r>
    </w:p>
    <w:p w:rsidR="003F5594" w:rsidRPr="004B208C" w:rsidRDefault="003F5594" w:rsidP="003F1A34">
      <w:pPr>
        <w:rPr>
          <w:rFonts w:cs="Tahoma"/>
        </w:rPr>
      </w:pPr>
      <w:r w:rsidRPr="004B208C">
        <w:rPr>
          <w:rFonts w:cs="Tahoma"/>
          <w:szCs w:val="18"/>
        </w:rPr>
        <w:t>55% de desconto na CAL do Project Server para Compras para Toda a Empresa</w:t>
      </w:r>
    </w:p>
    <w:p w:rsidR="003F5594" w:rsidRDefault="003F5594" w:rsidP="003F1A34">
      <w:pPr>
        <w:rPr>
          <w:rFonts w:cs="Tahoma"/>
        </w:rPr>
      </w:pPr>
    </w:p>
    <w:p w:rsidR="00A578AF" w:rsidRDefault="00A578AF" w:rsidP="003F1A34">
      <w:pPr>
        <w:rPr>
          <w:rFonts w:cs="Tahoma"/>
        </w:rPr>
      </w:pPr>
    </w:p>
    <w:p w:rsidR="00A578AF" w:rsidRPr="004B208C" w:rsidRDefault="00A578AF" w:rsidP="003F1A34">
      <w:pPr>
        <w:rPr>
          <w:rFonts w:cs="Tahoma"/>
        </w:rPr>
      </w:pPr>
    </w:p>
    <w:p w:rsidR="007C2F29" w:rsidRPr="004B208C" w:rsidRDefault="007C2F29" w:rsidP="007C2F29">
      <w:pPr>
        <w:spacing w:after="60"/>
        <w:rPr>
          <w:rFonts w:cs="Tahoma"/>
        </w:rPr>
      </w:pPr>
      <w:r w:rsidRPr="004B208C">
        <w:rPr>
          <w:rFonts w:cs="Tahoma"/>
          <w:b/>
        </w:rPr>
        <w:t>Exclusões</w:t>
      </w:r>
    </w:p>
    <w:p w:rsidR="007C2F29" w:rsidRPr="004B208C" w:rsidRDefault="007C2F29" w:rsidP="007C2F29">
      <w:pPr>
        <w:spacing w:after="60"/>
        <w:rPr>
          <w:rFonts w:cs="Tahoma"/>
        </w:rPr>
      </w:pPr>
    </w:p>
    <w:p w:rsidR="007C2F29" w:rsidRPr="004B208C" w:rsidRDefault="007C2F29" w:rsidP="007C2F29">
      <w:pPr>
        <w:spacing w:after="60"/>
        <w:rPr>
          <w:rFonts w:cs="Tahoma"/>
        </w:rPr>
      </w:pPr>
      <w:r w:rsidRPr="004B208C">
        <w:rPr>
          <w:rFonts w:cs="Tahoma"/>
          <w:b/>
        </w:rPr>
        <w:t>Alterações</w:t>
      </w:r>
    </w:p>
    <w:p w:rsidR="006068C9" w:rsidRPr="004B208C" w:rsidRDefault="006068C9" w:rsidP="006068C9">
      <w:pPr>
        <w:rPr>
          <w:rFonts w:cs="Tahoma"/>
        </w:rPr>
      </w:pPr>
      <w:r w:rsidRPr="004B208C">
        <w:rPr>
          <w:rFonts w:cs="Tahoma"/>
          <w:szCs w:val="18"/>
        </w:rPr>
        <w:t>Office 365 A3, A4 (SL de Usuário)</w:t>
      </w:r>
    </w:p>
    <w:p w:rsidR="006068C9" w:rsidRPr="004B208C" w:rsidRDefault="000F1BE7" w:rsidP="006068C9">
      <w:pPr>
        <w:rPr>
          <w:rFonts w:cs="Tahoma"/>
        </w:rPr>
      </w:pPr>
      <w:r w:rsidRPr="004B208C">
        <w:rPr>
          <w:rFonts w:cs="Tahoma"/>
          <w:szCs w:val="18"/>
        </w:rPr>
        <w:t>Office 365 Enterprise E2-E4 (SL de Usuário)</w:t>
      </w:r>
    </w:p>
    <w:p w:rsidR="007C2F29" w:rsidRPr="004B208C" w:rsidRDefault="007C2F29" w:rsidP="007C2F29">
      <w:pPr>
        <w:rPr>
          <w:rFonts w:cs="Tahoma"/>
        </w:rPr>
      </w:pPr>
    </w:p>
    <w:p w:rsidR="007C2F29" w:rsidRPr="004B208C" w:rsidRDefault="007C2F29" w:rsidP="007C2F29">
      <w:pPr>
        <w:rPr>
          <w:rFonts w:cs="Tahoma"/>
        </w:rPr>
      </w:pPr>
    </w:p>
    <w:p w:rsidR="00DE520D" w:rsidRPr="004B208C" w:rsidRDefault="00DE520D" w:rsidP="00DE520D">
      <w:pPr>
        <w:pStyle w:val="Heading2"/>
        <w:ind w:left="0"/>
        <w:jc w:val="both"/>
        <w:rPr>
          <w:rFonts w:ascii="Tahoma" w:hAnsi="Tahoma" w:cs="Tahoma"/>
        </w:rPr>
      </w:pPr>
      <w:bookmarkStart w:id="572" w:name="_Toc370981287"/>
      <w:r w:rsidRPr="004B208C">
        <w:rPr>
          <w:rFonts w:ascii="Tahoma" w:hAnsi="Tahoma" w:cs="Tahoma"/>
          <w:color w:val="FF6600"/>
        </w:rPr>
        <w:t>ALTERAÇÕES EM JULHO DE 2013</w:t>
      </w:r>
      <w:bookmarkEnd w:id="572"/>
    </w:p>
    <w:p w:rsidR="00DE520D" w:rsidRPr="004B208C" w:rsidRDefault="00DE520D" w:rsidP="00DE520D">
      <w:pPr>
        <w:rPr>
          <w:rFonts w:cs="Tahoma"/>
        </w:rPr>
      </w:pPr>
    </w:p>
    <w:p w:rsidR="00DE520D" w:rsidRPr="004B208C" w:rsidRDefault="00DE520D" w:rsidP="00DE520D">
      <w:pPr>
        <w:spacing w:after="60"/>
        <w:rPr>
          <w:rFonts w:cs="Tahoma"/>
        </w:rPr>
      </w:pPr>
      <w:r w:rsidRPr="004B208C">
        <w:rPr>
          <w:rFonts w:cs="Tahoma"/>
          <w:b/>
        </w:rPr>
        <w:t>Adições</w:t>
      </w:r>
    </w:p>
    <w:p w:rsidR="00DE520D" w:rsidRPr="004B208C" w:rsidRDefault="00230E06" w:rsidP="00DE520D">
      <w:pPr>
        <w:rPr>
          <w:rFonts w:cs="Tahoma"/>
        </w:rPr>
      </w:pPr>
      <w:r w:rsidRPr="004B208C">
        <w:rPr>
          <w:rFonts w:cs="Tahoma"/>
          <w:szCs w:val="18"/>
        </w:rPr>
        <w:t>Windows</w:t>
      </w:r>
      <w:r w:rsidR="00172F11" w:rsidRPr="00172F11">
        <w:rPr>
          <w:rFonts w:cs="Tahoma"/>
          <w:szCs w:val="18"/>
          <w:vertAlign w:val="superscript"/>
        </w:rPr>
        <w:t>®</w:t>
      </w:r>
      <w:r w:rsidRPr="004B208C">
        <w:rPr>
          <w:rFonts w:cs="Tahoma"/>
          <w:szCs w:val="18"/>
        </w:rPr>
        <w:t xml:space="preserve"> Embedded 8 Industry Pro</w:t>
      </w:r>
    </w:p>
    <w:p w:rsidR="00230E06" w:rsidRPr="004B208C" w:rsidRDefault="00230E06" w:rsidP="00DE520D">
      <w:pPr>
        <w:rPr>
          <w:rFonts w:cs="Tahoma"/>
        </w:rPr>
      </w:pPr>
      <w:r w:rsidRPr="004B208C">
        <w:rPr>
          <w:rFonts w:cs="Tahoma"/>
          <w:szCs w:val="18"/>
        </w:rPr>
        <w:t>Windows</w:t>
      </w:r>
      <w:r w:rsidR="00172F11" w:rsidRPr="00172F11">
        <w:rPr>
          <w:rFonts w:cs="Tahoma"/>
          <w:szCs w:val="18"/>
          <w:vertAlign w:val="superscript"/>
        </w:rPr>
        <w:t>®</w:t>
      </w:r>
      <w:r w:rsidRPr="004B208C">
        <w:rPr>
          <w:rFonts w:cs="Tahoma"/>
          <w:szCs w:val="18"/>
        </w:rPr>
        <w:t xml:space="preserve"> Embedded 8 Standard Enterprise Kit</w:t>
      </w:r>
    </w:p>
    <w:p w:rsidR="00230E06" w:rsidRPr="004B208C" w:rsidRDefault="00230E06" w:rsidP="00DE520D">
      <w:pPr>
        <w:rPr>
          <w:rFonts w:cs="Tahoma"/>
        </w:rPr>
      </w:pPr>
      <w:r w:rsidRPr="004B208C">
        <w:rPr>
          <w:rFonts w:cs="Tahoma"/>
          <w:szCs w:val="18"/>
        </w:rPr>
        <w:t>Windows</w:t>
      </w:r>
      <w:r w:rsidR="00172F11" w:rsidRPr="00172F11">
        <w:rPr>
          <w:rFonts w:cs="Tahoma"/>
          <w:szCs w:val="18"/>
          <w:vertAlign w:val="superscript"/>
        </w:rPr>
        <w:t>®</w:t>
      </w:r>
      <w:r w:rsidRPr="004B208C">
        <w:rPr>
          <w:rFonts w:cs="Tahoma"/>
          <w:szCs w:val="18"/>
        </w:rPr>
        <w:t xml:space="preserve"> Embedded 8 Industry Pro Sideloading</w:t>
      </w:r>
    </w:p>
    <w:p w:rsidR="00F23DD6" w:rsidRPr="004B208C" w:rsidRDefault="00F23DD6" w:rsidP="00DE520D">
      <w:pPr>
        <w:rPr>
          <w:rFonts w:cs="Tahoma"/>
        </w:rPr>
      </w:pPr>
      <w:r w:rsidRPr="004B208C">
        <w:rPr>
          <w:rFonts w:cs="Tahoma"/>
          <w:szCs w:val="18"/>
        </w:rPr>
        <w:t>Windows</w:t>
      </w:r>
      <w:r w:rsidR="00172F11" w:rsidRPr="00172F11">
        <w:rPr>
          <w:rFonts w:cs="Tahoma"/>
          <w:szCs w:val="18"/>
          <w:vertAlign w:val="superscript"/>
        </w:rPr>
        <w:t>®</w:t>
      </w:r>
      <w:r w:rsidRPr="004B208C">
        <w:rPr>
          <w:rFonts w:cs="Tahoma"/>
          <w:szCs w:val="18"/>
        </w:rPr>
        <w:t xml:space="preserve"> 8 Pro Sideloading</w:t>
      </w:r>
    </w:p>
    <w:p w:rsidR="00DE520D" w:rsidRPr="004B208C" w:rsidRDefault="00DE520D" w:rsidP="00DE520D">
      <w:pPr>
        <w:rPr>
          <w:rFonts w:cs="Tahoma"/>
        </w:rPr>
      </w:pPr>
    </w:p>
    <w:p w:rsidR="00DE520D" w:rsidRPr="004B208C" w:rsidRDefault="00DE520D" w:rsidP="00DE520D">
      <w:pPr>
        <w:spacing w:after="60"/>
        <w:rPr>
          <w:rFonts w:cs="Tahoma"/>
        </w:rPr>
      </w:pPr>
      <w:r w:rsidRPr="004B208C">
        <w:rPr>
          <w:rFonts w:cs="Tahoma"/>
          <w:b/>
        </w:rPr>
        <w:t>Promoções</w:t>
      </w:r>
    </w:p>
    <w:p w:rsidR="00DE520D" w:rsidRPr="004B208C" w:rsidRDefault="00230E06" w:rsidP="00DE520D">
      <w:pPr>
        <w:rPr>
          <w:rFonts w:cs="Tahoma"/>
        </w:rPr>
      </w:pPr>
      <w:r w:rsidRPr="004B208C">
        <w:rPr>
          <w:rFonts w:cs="Tahoma"/>
          <w:color w:val="000000"/>
          <w:szCs w:val="18"/>
        </w:rPr>
        <w:t>Sem alterações nas Promoções</w:t>
      </w:r>
    </w:p>
    <w:p w:rsidR="00DE520D" w:rsidRPr="004B208C" w:rsidRDefault="00DE520D" w:rsidP="00DE520D">
      <w:pPr>
        <w:rPr>
          <w:rFonts w:cs="Tahoma"/>
        </w:rPr>
      </w:pPr>
    </w:p>
    <w:p w:rsidR="00DE520D" w:rsidRPr="004B208C" w:rsidRDefault="00DE520D" w:rsidP="00DE520D">
      <w:pPr>
        <w:spacing w:after="60"/>
        <w:rPr>
          <w:rFonts w:cs="Tahoma"/>
        </w:rPr>
      </w:pPr>
      <w:r w:rsidRPr="004B208C">
        <w:rPr>
          <w:rFonts w:cs="Tahoma"/>
          <w:b/>
        </w:rPr>
        <w:t>Exclusões</w:t>
      </w:r>
    </w:p>
    <w:p w:rsidR="00DE520D" w:rsidRPr="004B208C" w:rsidRDefault="00230E06" w:rsidP="00DE520D">
      <w:pPr>
        <w:rPr>
          <w:rFonts w:cs="Tahoma"/>
        </w:rPr>
      </w:pPr>
      <w:r w:rsidRPr="004B208C">
        <w:rPr>
          <w:rFonts w:cs="Tahoma"/>
          <w:color w:val="000000"/>
          <w:szCs w:val="20"/>
        </w:rPr>
        <w:t>Vexcel Server</w:t>
      </w:r>
    </w:p>
    <w:p w:rsidR="00230E06" w:rsidRPr="004B208C" w:rsidRDefault="00230E06" w:rsidP="00DE520D">
      <w:pPr>
        <w:rPr>
          <w:rFonts w:cs="Tahoma"/>
        </w:rPr>
      </w:pPr>
      <w:r w:rsidRPr="004B208C">
        <w:rPr>
          <w:rFonts w:cs="Tahoma"/>
          <w:color w:val="000000"/>
          <w:szCs w:val="20"/>
        </w:rPr>
        <w:t>Vexcel Server com Pacote de Conteúdo Aprimorado</w:t>
      </w:r>
    </w:p>
    <w:p w:rsidR="00230E06" w:rsidRPr="004B208C" w:rsidRDefault="00230E06" w:rsidP="00DE520D">
      <w:pPr>
        <w:rPr>
          <w:rFonts w:cs="Tahoma"/>
        </w:rPr>
      </w:pPr>
      <w:r w:rsidRPr="004B208C">
        <w:rPr>
          <w:rFonts w:cs="Tahoma"/>
          <w:color w:val="000000"/>
          <w:szCs w:val="20"/>
        </w:rPr>
        <w:t>Vexcel Desktop com Pacote de Conteúdo Aprimorado</w:t>
      </w:r>
    </w:p>
    <w:p w:rsidR="00230E06" w:rsidRPr="004B208C" w:rsidRDefault="00230E06" w:rsidP="00DE520D">
      <w:pPr>
        <w:rPr>
          <w:rFonts w:cs="Tahoma"/>
        </w:rPr>
      </w:pPr>
      <w:r w:rsidRPr="004B208C">
        <w:rPr>
          <w:rFonts w:cs="Tahoma"/>
          <w:color w:val="000000"/>
          <w:szCs w:val="20"/>
        </w:rPr>
        <w:t>GeoSynther 3.0</w:t>
      </w:r>
    </w:p>
    <w:p w:rsidR="00230E06" w:rsidRPr="004B208C" w:rsidRDefault="00230E06" w:rsidP="00DE520D">
      <w:pPr>
        <w:rPr>
          <w:rFonts w:cs="Tahoma"/>
        </w:rPr>
      </w:pPr>
      <w:r w:rsidRPr="004B208C">
        <w:rPr>
          <w:rFonts w:cs="Tahoma"/>
          <w:color w:val="000000"/>
          <w:szCs w:val="20"/>
        </w:rPr>
        <w:t>GeoSynth Viewer 3.0</w:t>
      </w:r>
    </w:p>
    <w:p w:rsidR="00230E06" w:rsidRPr="004B208C" w:rsidRDefault="00230E06" w:rsidP="00DE520D">
      <w:pPr>
        <w:rPr>
          <w:rFonts w:cs="Tahoma"/>
        </w:rPr>
      </w:pPr>
      <w:r w:rsidRPr="004B208C">
        <w:rPr>
          <w:rFonts w:cs="Tahoma"/>
          <w:color w:val="000000"/>
          <w:szCs w:val="20"/>
        </w:rPr>
        <w:t>GeoSynth Server</w:t>
      </w:r>
    </w:p>
    <w:p w:rsidR="00230E06" w:rsidRPr="004B208C" w:rsidRDefault="00230E06" w:rsidP="00230E06">
      <w:pPr>
        <w:rPr>
          <w:rFonts w:cs="Tahoma"/>
        </w:rPr>
      </w:pPr>
      <w:r w:rsidRPr="004B208C">
        <w:rPr>
          <w:rFonts w:eastAsia="Times New Roman" w:cs="Tahoma"/>
          <w:szCs w:val="18"/>
        </w:rPr>
        <w:t>Complemento do Windows Small Business Server 2011 Premium (5 clientes)</w:t>
      </w:r>
    </w:p>
    <w:p w:rsidR="00230E06" w:rsidRPr="004B208C" w:rsidRDefault="00230E06" w:rsidP="00230E06">
      <w:pPr>
        <w:rPr>
          <w:rFonts w:cs="Tahoma"/>
        </w:rPr>
      </w:pPr>
      <w:r w:rsidRPr="004B208C">
        <w:rPr>
          <w:rFonts w:eastAsia="Times New Roman" w:cs="Tahoma"/>
          <w:szCs w:val="18"/>
        </w:rPr>
        <w:t>Windows Small Business Server 2011 Standard (5 clientes)</w:t>
      </w:r>
    </w:p>
    <w:p w:rsidR="00230E06" w:rsidRPr="004B208C" w:rsidRDefault="00230E06" w:rsidP="00230E06">
      <w:pPr>
        <w:rPr>
          <w:rFonts w:cs="Tahoma"/>
        </w:rPr>
      </w:pPr>
      <w:r w:rsidRPr="004B208C">
        <w:rPr>
          <w:rFonts w:eastAsia="Times New Roman" w:cs="Tahoma"/>
          <w:szCs w:val="18"/>
        </w:rPr>
        <w:t>Windows Small Business Server 2008 CAL Suite para Usuários ou Dispositivos Premium</w:t>
      </w:r>
    </w:p>
    <w:p w:rsidR="00230E06" w:rsidRPr="004B208C" w:rsidRDefault="00230E06" w:rsidP="00230E06">
      <w:pPr>
        <w:rPr>
          <w:rFonts w:cs="Tahoma"/>
        </w:rPr>
      </w:pPr>
      <w:r w:rsidRPr="004B208C">
        <w:rPr>
          <w:rFonts w:eastAsia="Times New Roman" w:cs="Tahoma"/>
          <w:szCs w:val="18"/>
        </w:rPr>
        <w:t>Windows Small Business Server 2008 CAL Suite para Usuários ou Dispositivos Premium (5 clientes)</w:t>
      </w:r>
    </w:p>
    <w:p w:rsidR="00230E06" w:rsidRPr="004B208C" w:rsidRDefault="00230E06" w:rsidP="00DE520D">
      <w:pPr>
        <w:rPr>
          <w:rFonts w:cs="Tahoma"/>
        </w:rPr>
      </w:pPr>
      <w:r w:rsidRPr="004B208C">
        <w:rPr>
          <w:rFonts w:eastAsia="Times New Roman" w:cs="Tahoma"/>
          <w:szCs w:val="18"/>
        </w:rPr>
        <w:t>Windows Small Business Server 2008 CAL Suite para Usuários ou Dispositivos Premium (20 clientes)</w:t>
      </w:r>
    </w:p>
    <w:p w:rsidR="00DE520D" w:rsidRPr="004B208C" w:rsidRDefault="00DE520D" w:rsidP="00DE520D">
      <w:pPr>
        <w:rPr>
          <w:rFonts w:cs="Tahoma"/>
        </w:rPr>
      </w:pPr>
    </w:p>
    <w:p w:rsidR="00DE520D" w:rsidRPr="004B208C" w:rsidRDefault="00DE520D" w:rsidP="00DE520D">
      <w:pPr>
        <w:spacing w:after="60"/>
        <w:rPr>
          <w:rFonts w:cs="Tahoma"/>
        </w:rPr>
      </w:pPr>
      <w:r w:rsidRPr="004B208C">
        <w:rPr>
          <w:rFonts w:cs="Tahoma"/>
          <w:b/>
        </w:rPr>
        <w:t>Alterações</w:t>
      </w:r>
    </w:p>
    <w:p w:rsidR="00230E06" w:rsidRPr="004B208C" w:rsidRDefault="00230E06" w:rsidP="00230E06">
      <w:pPr>
        <w:rPr>
          <w:rFonts w:cs="Tahoma"/>
        </w:rPr>
      </w:pPr>
      <w:r w:rsidRPr="004B208C">
        <w:rPr>
          <w:rFonts w:eastAsia="Times New Roman" w:cs="Tahoma"/>
          <w:sz w:val="20"/>
          <w:szCs w:val="20"/>
        </w:rPr>
        <w:t>Visual Studio</w:t>
      </w:r>
      <w:r w:rsidR="00172F11" w:rsidRPr="00172F11">
        <w:rPr>
          <w:rFonts w:eastAsia="Times New Roman" w:cs="Tahoma"/>
          <w:sz w:val="20"/>
          <w:szCs w:val="20"/>
          <w:vertAlign w:val="superscript"/>
        </w:rPr>
        <w:t>®</w:t>
      </w:r>
      <w:r w:rsidRPr="004B208C">
        <w:rPr>
          <w:rFonts w:eastAsia="Times New Roman" w:cs="Tahoma"/>
          <w:sz w:val="20"/>
          <w:szCs w:val="20"/>
        </w:rPr>
        <w:t xml:space="preserve"> Premium 2012 com MSDN</w:t>
      </w:r>
    </w:p>
    <w:p w:rsidR="00230E06" w:rsidRPr="004B208C" w:rsidRDefault="00230E06" w:rsidP="00230E06">
      <w:pPr>
        <w:rPr>
          <w:rFonts w:cs="Tahoma"/>
        </w:rPr>
      </w:pPr>
      <w:r w:rsidRPr="004B208C">
        <w:rPr>
          <w:rFonts w:eastAsia="Times New Roman" w:cs="Tahoma"/>
          <w:sz w:val="20"/>
          <w:szCs w:val="20"/>
        </w:rPr>
        <w:t>Visual Studio</w:t>
      </w:r>
      <w:r w:rsidR="00172F11" w:rsidRPr="00172F11">
        <w:rPr>
          <w:rFonts w:eastAsia="Times New Roman" w:cs="Tahoma"/>
          <w:sz w:val="20"/>
          <w:szCs w:val="20"/>
          <w:vertAlign w:val="superscript"/>
        </w:rPr>
        <w:t>®</w:t>
      </w:r>
      <w:r w:rsidRPr="004B208C">
        <w:rPr>
          <w:rFonts w:eastAsia="Times New Roman" w:cs="Tahoma"/>
          <w:sz w:val="20"/>
          <w:szCs w:val="20"/>
        </w:rPr>
        <w:t xml:space="preserve"> Ultimate 2012 com MSDN</w:t>
      </w:r>
    </w:p>
    <w:p w:rsidR="00230E06" w:rsidRPr="004B208C" w:rsidRDefault="00230E06" w:rsidP="00230E06">
      <w:pPr>
        <w:rPr>
          <w:rFonts w:cs="Tahoma"/>
        </w:rPr>
      </w:pPr>
      <w:r w:rsidRPr="004B208C">
        <w:rPr>
          <w:rFonts w:eastAsia="Times New Roman" w:cs="Tahoma"/>
          <w:sz w:val="20"/>
          <w:szCs w:val="20"/>
        </w:rPr>
        <w:t>DVD Playback Pack Windows Vista</w:t>
      </w:r>
    </w:p>
    <w:p w:rsidR="00DE520D" w:rsidRPr="004B208C" w:rsidRDefault="00230E06" w:rsidP="00862623">
      <w:pPr>
        <w:rPr>
          <w:rFonts w:cs="Tahoma"/>
        </w:rPr>
      </w:pPr>
      <w:r w:rsidRPr="004B208C">
        <w:rPr>
          <w:rFonts w:eastAsia="Times New Roman" w:cs="Tahoma"/>
          <w:sz w:val="20"/>
          <w:szCs w:val="20"/>
        </w:rPr>
        <w:t>Windows 8 Enterprise Sideloading (Pacote com 100)</w:t>
      </w:r>
    </w:p>
    <w:p w:rsidR="00862623" w:rsidRPr="004B208C" w:rsidRDefault="00862623" w:rsidP="00862623">
      <w:pPr>
        <w:rPr>
          <w:rFonts w:cs="Tahoma"/>
        </w:rPr>
      </w:pPr>
    </w:p>
    <w:p w:rsidR="00862623" w:rsidRPr="004B208C" w:rsidRDefault="00862623" w:rsidP="00862623">
      <w:pPr>
        <w:rPr>
          <w:rFonts w:cs="Tahoma"/>
        </w:rPr>
      </w:pPr>
    </w:p>
    <w:p w:rsidR="00471E00" w:rsidRPr="004B208C" w:rsidRDefault="00471E00" w:rsidP="00471E00">
      <w:pPr>
        <w:pStyle w:val="Heading2"/>
        <w:ind w:left="0"/>
        <w:jc w:val="both"/>
        <w:rPr>
          <w:rFonts w:ascii="Tahoma" w:hAnsi="Tahoma" w:cs="Tahoma"/>
        </w:rPr>
      </w:pPr>
      <w:bookmarkStart w:id="573" w:name="_Toc370981288"/>
      <w:r w:rsidRPr="004B208C">
        <w:rPr>
          <w:rFonts w:ascii="Tahoma" w:hAnsi="Tahoma" w:cs="Tahoma"/>
          <w:color w:val="FF6600"/>
        </w:rPr>
        <w:t>ALTERAÇÕES EM JUNHO DE 2013</w:t>
      </w:r>
      <w:bookmarkEnd w:id="573"/>
    </w:p>
    <w:p w:rsidR="00471E00" w:rsidRPr="004B208C" w:rsidRDefault="00471E00" w:rsidP="00471E00">
      <w:pPr>
        <w:rPr>
          <w:rFonts w:cs="Tahoma"/>
        </w:rPr>
      </w:pPr>
    </w:p>
    <w:p w:rsidR="00471E00" w:rsidRPr="004B208C" w:rsidRDefault="00471E00" w:rsidP="00471E00">
      <w:pPr>
        <w:spacing w:after="60"/>
        <w:rPr>
          <w:rFonts w:cs="Tahoma"/>
        </w:rPr>
      </w:pPr>
      <w:r w:rsidRPr="004B208C">
        <w:rPr>
          <w:rFonts w:cs="Tahoma"/>
          <w:b/>
        </w:rPr>
        <w:t>Adições</w:t>
      </w:r>
    </w:p>
    <w:p w:rsidR="00471E00" w:rsidRPr="004B208C" w:rsidRDefault="00471E00" w:rsidP="00471E00">
      <w:pPr>
        <w:rPr>
          <w:rFonts w:cs="Tahoma"/>
        </w:rPr>
      </w:pPr>
      <w:r w:rsidRPr="004B208C">
        <w:rPr>
          <w:rFonts w:cs="Tahoma"/>
          <w:szCs w:val="18"/>
        </w:rPr>
        <w:t>Microsoft Office Audit and Control Management</w:t>
      </w:r>
    </w:p>
    <w:p w:rsidR="00984919" w:rsidRPr="004B208C" w:rsidRDefault="00984919" w:rsidP="00471E00">
      <w:pPr>
        <w:rPr>
          <w:rFonts w:cs="Tahoma"/>
        </w:rPr>
      </w:pPr>
      <w:r w:rsidRPr="004B208C">
        <w:rPr>
          <w:rFonts w:cs="Tahoma"/>
          <w:szCs w:val="18"/>
        </w:rPr>
        <w:t>Plataformas MSDN</w:t>
      </w:r>
    </w:p>
    <w:p w:rsidR="00471E00" w:rsidRPr="004B208C" w:rsidRDefault="00471E00" w:rsidP="00471E00">
      <w:pPr>
        <w:rPr>
          <w:rFonts w:cs="Tahoma"/>
        </w:rPr>
      </w:pPr>
    </w:p>
    <w:p w:rsidR="00471E00" w:rsidRPr="004B208C" w:rsidRDefault="00471E00" w:rsidP="00471E00">
      <w:pPr>
        <w:spacing w:after="60"/>
        <w:rPr>
          <w:rFonts w:cs="Tahoma"/>
        </w:rPr>
      </w:pPr>
      <w:r w:rsidRPr="004B208C">
        <w:rPr>
          <w:rFonts w:cs="Tahoma"/>
          <w:b/>
        </w:rPr>
        <w:t>Promoções</w:t>
      </w:r>
    </w:p>
    <w:p w:rsidR="00471E00" w:rsidRPr="004B208C" w:rsidRDefault="00471E00" w:rsidP="00471E00">
      <w:pPr>
        <w:rPr>
          <w:rFonts w:cs="Tahoma"/>
        </w:rPr>
      </w:pPr>
      <w:r w:rsidRPr="004B208C">
        <w:rPr>
          <w:rFonts w:cs="Tahoma"/>
          <w:color w:val="000000"/>
          <w:szCs w:val="18"/>
        </w:rPr>
        <w:t>Sem alterações nas Promoções</w:t>
      </w:r>
    </w:p>
    <w:p w:rsidR="00471E00" w:rsidRPr="004B208C" w:rsidRDefault="00471E00" w:rsidP="00471E00">
      <w:pPr>
        <w:spacing w:after="60"/>
        <w:rPr>
          <w:rFonts w:cs="Tahoma"/>
        </w:rPr>
      </w:pPr>
      <w:r w:rsidRPr="004B208C">
        <w:rPr>
          <w:rFonts w:cs="Tahoma"/>
          <w:szCs w:val="18"/>
        </w:rPr>
        <w:br/>
      </w:r>
      <w:r w:rsidRPr="004B208C">
        <w:rPr>
          <w:rFonts w:cs="Tahoma"/>
          <w:b/>
        </w:rPr>
        <w:t>Exclusões</w:t>
      </w:r>
    </w:p>
    <w:p w:rsidR="0064651F" w:rsidRPr="004B208C" w:rsidRDefault="005D7F61" w:rsidP="00862623">
      <w:pPr>
        <w:rPr>
          <w:rFonts w:cs="Tahoma"/>
        </w:rPr>
      </w:pPr>
      <w:r w:rsidRPr="004B208C">
        <w:rPr>
          <w:rFonts w:cs="Tahoma"/>
          <w:color w:val="000000"/>
          <w:szCs w:val="20"/>
        </w:rPr>
        <w:t>Assinatura Antimalware da Web para Forefront TMG</w:t>
      </w:r>
    </w:p>
    <w:p w:rsidR="00862623" w:rsidRDefault="00862623" w:rsidP="00862623">
      <w:pPr>
        <w:rPr>
          <w:rFonts w:cs="Tahoma"/>
        </w:rPr>
      </w:pPr>
    </w:p>
    <w:p w:rsidR="00A578AF" w:rsidRPr="004B208C" w:rsidRDefault="00A578AF" w:rsidP="00862623">
      <w:pPr>
        <w:rPr>
          <w:rFonts w:cs="Tahoma"/>
        </w:rPr>
      </w:pPr>
    </w:p>
    <w:p w:rsidR="00862623" w:rsidRPr="004B208C" w:rsidRDefault="00862623" w:rsidP="00862623">
      <w:pPr>
        <w:rPr>
          <w:rFonts w:cs="Tahoma"/>
        </w:rPr>
      </w:pPr>
    </w:p>
    <w:p w:rsidR="00290FC1" w:rsidRPr="004B208C" w:rsidRDefault="00290FC1" w:rsidP="0047054A">
      <w:pPr>
        <w:pStyle w:val="Heading2"/>
        <w:keepNext/>
        <w:ind w:left="0"/>
        <w:jc w:val="both"/>
        <w:rPr>
          <w:rFonts w:ascii="Tahoma" w:hAnsi="Tahoma" w:cs="Tahoma"/>
        </w:rPr>
      </w:pPr>
      <w:bookmarkStart w:id="574" w:name="_Toc370981289"/>
      <w:r w:rsidRPr="004B208C">
        <w:rPr>
          <w:rFonts w:ascii="Tahoma" w:hAnsi="Tahoma" w:cs="Tahoma"/>
          <w:color w:val="FF6600"/>
        </w:rPr>
        <w:lastRenderedPageBreak/>
        <w:t>ALTERAÇÕES EM MAIO DE 2013</w:t>
      </w:r>
      <w:bookmarkEnd w:id="574"/>
    </w:p>
    <w:p w:rsidR="00290FC1" w:rsidRPr="00A578AF" w:rsidRDefault="00290FC1" w:rsidP="0047054A">
      <w:pPr>
        <w:pStyle w:val="Heading2"/>
        <w:keepNext/>
        <w:ind w:left="0"/>
        <w:jc w:val="both"/>
        <w:rPr>
          <w:rFonts w:ascii="Tahoma" w:hAnsi="Tahoma" w:cs="Tahoma"/>
          <w:sz w:val="18"/>
          <w:szCs w:val="18"/>
        </w:rPr>
      </w:pPr>
    </w:p>
    <w:p w:rsidR="00290FC1" w:rsidRPr="004B208C" w:rsidRDefault="00290FC1" w:rsidP="0047054A">
      <w:pPr>
        <w:keepNext/>
        <w:spacing w:after="60"/>
        <w:rPr>
          <w:rFonts w:cs="Tahoma"/>
        </w:rPr>
      </w:pPr>
      <w:r w:rsidRPr="004B208C">
        <w:rPr>
          <w:rFonts w:cs="Tahoma"/>
          <w:b/>
        </w:rPr>
        <w:t>Adições</w:t>
      </w:r>
    </w:p>
    <w:p w:rsidR="007E2DBF" w:rsidRPr="004B208C" w:rsidRDefault="007E2DBF" w:rsidP="007E2DBF">
      <w:pPr>
        <w:rPr>
          <w:rFonts w:cs="Tahoma"/>
        </w:rPr>
      </w:pPr>
      <w:r w:rsidRPr="004B208C">
        <w:rPr>
          <w:rFonts w:cs="Tahoma"/>
        </w:rPr>
        <w:t>30 Cupons de Exame do Learning Solutions MCP (SL de Usuário)</w:t>
      </w:r>
    </w:p>
    <w:p w:rsidR="007E2DBF" w:rsidRPr="004B208C" w:rsidRDefault="007E2DBF" w:rsidP="007E2DBF">
      <w:pPr>
        <w:rPr>
          <w:rFonts w:cs="Tahoma"/>
        </w:rPr>
      </w:pPr>
      <w:r w:rsidRPr="004B208C">
        <w:rPr>
          <w:rFonts w:cs="Tahoma"/>
        </w:rPr>
        <w:t>Licença do Site de Exame do Learning Solutions MOS 500 (SL de Serviços)</w:t>
      </w:r>
    </w:p>
    <w:p w:rsidR="007E2DBF" w:rsidRPr="004B208C" w:rsidRDefault="007E2DBF" w:rsidP="007E2DBF">
      <w:pPr>
        <w:rPr>
          <w:rFonts w:cs="Tahoma"/>
        </w:rPr>
      </w:pPr>
      <w:r w:rsidRPr="004B208C">
        <w:rPr>
          <w:rFonts w:cs="Tahoma"/>
        </w:rPr>
        <w:t>Licença do Site de Exame do Learning Solutions MTA 250 (SL de Serviços)</w:t>
      </w:r>
    </w:p>
    <w:p w:rsidR="00290FC1" w:rsidRPr="004B208C" w:rsidRDefault="00290FC1" w:rsidP="00290FC1">
      <w:pPr>
        <w:rPr>
          <w:rFonts w:cs="Tahoma"/>
        </w:rPr>
      </w:pPr>
    </w:p>
    <w:p w:rsidR="00290FC1" w:rsidRPr="004B208C" w:rsidRDefault="00290FC1" w:rsidP="00290FC1">
      <w:pPr>
        <w:spacing w:after="60"/>
        <w:rPr>
          <w:rFonts w:cs="Tahoma"/>
        </w:rPr>
      </w:pPr>
      <w:r w:rsidRPr="004B208C">
        <w:rPr>
          <w:rFonts w:cs="Tahoma"/>
          <w:b/>
        </w:rPr>
        <w:t>Alterações</w:t>
      </w:r>
    </w:p>
    <w:p w:rsidR="00290FC1" w:rsidRPr="004B208C" w:rsidRDefault="007E2DBF" w:rsidP="00290FC1">
      <w:pPr>
        <w:rPr>
          <w:rFonts w:cs="Tahoma"/>
        </w:rPr>
      </w:pPr>
      <w:r w:rsidRPr="004B208C">
        <w:rPr>
          <w:rFonts w:cs="Tahoma"/>
        </w:rPr>
        <w:t>Cupons de Exame do Learning Solutions MCP 1 (SL de Serviços)</w:t>
      </w:r>
    </w:p>
    <w:p w:rsidR="007E2DBF" w:rsidRPr="004B208C" w:rsidRDefault="007E2DBF" w:rsidP="00290FC1">
      <w:pPr>
        <w:rPr>
          <w:rFonts w:cs="Tahoma"/>
        </w:rPr>
      </w:pPr>
      <w:r w:rsidRPr="004B208C">
        <w:rPr>
          <w:rFonts w:cs="Tahoma"/>
        </w:rPr>
        <w:t>Licença de Assinatura do Windows Companion</w:t>
      </w:r>
    </w:p>
    <w:p w:rsidR="007E2DBF" w:rsidRPr="004B208C" w:rsidRDefault="007E2DBF" w:rsidP="00290FC1">
      <w:pPr>
        <w:rPr>
          <w:rFonts w:cs="Tahoma"/>
        </w:rPr>
      </w:pPr>
      <w:r w:rsidRPr="004B208C">
        <w:rPr>
          <w:rFonts w:cs="Tahoma"/>
        </w:rPr>
        <w:t>Windows Desktop Optimization Pack para Software Assurance</w:t>
      </w:r>
    </w:p>
    <w:p w:rsidR="007E2DBF" w:rsidRPr="004B208C" w:rsidRDefault="007E2DBF" w:rsidP="00290FC1">
      <w:pPr>
        <w:rPr>
          <w:rFonts w:cs="Tahoma"/>
        </w:rPr>
      </w:pPr>
      <w:r w:rsidRPr="004B208C">
        <w:rPr>
          <w:rFonts w:cs="Tahoma"/>
        </w:rPr>
        <w:t>Windows 8 Enterprise Sideloading (pacote com 100)</w:t>
      </w:r>
    </w:p>
    <w:p w:rsidR="007E2DBF" w:rsidRPr="004B208C" w:rsidRDefault="007E2DBF" w:rsidP="00290FC1">
      <w:pPr>
        <w:rPr>
          <w:rFonts w:cs="Tahoma"/>
        </w:rPr>
      </w:pPr>
      <w:r w:rsidRPr="004B208C">
        <w:rPr>
          <w:rFonts w:cs="Tahoma"/>
        </w:rPr>
        <w:t>Windows</w:t>
      </w:r>
      <w:r w:rsidR="00172F11" w:rsidRPr="00172F11">
        <w:rPr>
          <w:rFonts w:cs="Tahoma"/>
          <w:vertAlign w:val="superscript"/>
        </w:rPr>
        <w:t>®</w:t>
      </w:r>
      <w:r w:rsidRPr="004B208C">
        <w:rPr>
          <w:rFonts w:cs="Tahoma"/>
        </w:rPr>
        <w:t xml:space="preserve"> 8 Pro com MDOP</w:t>
      </w:r>
    </w:p>
    <w:p w:rsidR="00D57D2B" w:rsidRPr="004B208C" w:rsidRDefault="00D57D2B" w:rsidP="00290FC1">
      <w:pPr>
        <w:rPr>
          <w:rFonts w:cs="Tahoma"/>
        </w:rPr>
      </w:pPr>
    </w:p>
    <w:p w:rsidR="00D57D2B" w:rsidRPr="004B208C" w:rsidRDefault="00D57D2B" w:rsidP="00290FC1">
      <w:pPr>
        <w:rPr>
          <w:rFonts w:cs="Tahoma"/>
        </w:rPr>
      </w:pPr>
    </w:p>
    <w:p w:rsidR="00B65F35" w:rsidRPr="004B208C" w:rsidRDefault="00B65F35" w:rsidP="00B65F35">
      <w:pPr>
        <w:pStyle w:val="Heading2"/>
        <w:ind w:left="0"/>
        <w:jc w:val="both"/>
        <w:rPr>
          <w:rFonts w:ascii="Tahoma" w:hAnsi="Tahoma" w:cs="Tahoma"/>
        </w:rPr>
      </w:pPr>
      <w:bookmarkStart w:id="575" w:name="_Toc370981290"/>
      <w:r w:rsidRPr="004B208C">
        <w:rPr>
          <w:rFonts w:ascii="Tahoma" w:hAnsi="Tahoma" w:cs="Tahoma"/>
          <w:color w:val="FF6600"/>
        </w:rPr>
        <w:t>ALTERAÇÕES EM ABRIL DE 2013</w:t>
      </w:r>
      <w:bookmarkEnd w:id="575"/>
    </w:p>
    <w:p w:rsidR="00B65F35" w:rsidRPr="00A578AF" w:rsidRDefault="00B65F35" w:rsidP="004759C6">
      <w:pPr>
        <w:pStyle w:val="Heading2"/>
        <w:ind w:left="0"/>
        <w:jc w:val="both"/>
        <w:rPr>
          <w:rFonts w:ascii="Tahoma" w:hAnsi="Tahoma" w:cs="Tahoma"/>
          <w:sz w:val="18"/>
          <w:szCs w:val="18"/>
        </w:rPr>
      </w:pPr>
    </w:p>
    <w:p w:rsidR="00B65F35" w:rsidRPr="004B208C" w:rsidRDefault="00B65F35" w:rsidP="00B65F35">
      <w:pPr>
        <w:spacing w:after="60"/>
        <w:rPr>
          <w:rFonts w:cs="Tahoma"/>
        </w:rPr>
      </w:pPr>
      <w:r w:rsidRPr="004B208C">
        <w:rPr>
          <w:rFonts w:cs="Tahoma"/>
          <w:b/>
        </w:rPr>
        <w:t>Adições</w:t>
      </w:r>
    </w:p>
    <w:p w:rsidR="00D02D7A" w:rsidRPr="004B208C" w:rsidRDefault="00D02D7A" w:rsidP="00D02D7A">
      <w:pPr>
        <w:rPr>
          <w:rFonts w:cs="Tahoma"/>
        </w:rPr>
      </w:pPr>
      <w:r w:rsidRPr="004B208C">
        <w:rPr>
          <w:rFonts w:cs="Tahoma"/>
        </w:rPr>
        <w:t>Bing Maps Consumer Controlado por Assinatura Mensal de Ativos</w:t>
      </w:r>
    </w:p>
    <w:p w:rsidR="00D02D7A" w:rsidRPr="004B208C" w:rsidRDefault="00D02D7A" w:rsidP="00D02D7A">
      <w:pPr>
        <w:rPr>
          <w:rFonts w:cs="Tahoma"/>
        </w:rPr>
      </w:pPr>
      <w:r w:rsidRPr="004B208C">
        <w:rPr>
          <w:rFonts w:cs="Tahoma"/>
        </w:rPr>
        <w:t>Bing Maps Desktop com Pacote de Conteúdo Aprimorado</w:t>
      </w:r>
    </w:p>
    <w:p w:rsidR="00D02D7A" w:rsidRPr="004B208C" w:rsidRDefault="00D02D7A" w:rsidP="00D02D7A">
      <w:pPr>
        <w:rPr>
          <w:rFonts w:cs="Tahoma"/>
        </w:rPr>
      </w:pPr>
      <w:r w:rsidRPr="004B208C">
        <w:rPr>
          <w:rFonts w:cs="Tahoma"/>
        </w:rPr>
        <w:t>Bing Maps para Assinatura Mensal de Tarifa por Plataforma Enterprise</w:t>
      </w:r>
    </w:p>
    <w:p w:rsidR="00D02D7A" w:rsidRPr="004B208C" w:rsidRDefault="00D02D7A" w:rsidP="00D02D7A">
      <w:pPr>
        <w:rPr>
          <w:rFonts w:cs="Tahoma"/>
        </w:rPr>
      </w:pPr>
      <w:r w:rsidRPr="004B208C">
        <w:rPr>
          <w:rFonts w:cs="Tahoma"/>
        </w:rPr>
        <w:t>Assinatura Mensal de 100 Mil Transações de Uso de Site Público do Bing Maps</w:t>
      </w:r>
    </w:p>
    <w:p w:rsidR="00D02D7A" w:rsidRPr="004B208C" w:rsidRDefault="00D02D7A" w:rsidP="00D02D7A">
      <w:pPr>
        <w:rPr>
          <w:rFonts w:cs="Tahoma"/>
        </w:rPr>
      </w:pPr>
      <w:r w:rsidRPr="004B208C">
        <w:rPr>
          <w:rFonts w:cs="Tahoma"/>
        </w:rPr>
        <w:t>Assinatura Mensal de 250 Mil Transações de Uso de Site Público do Bing Maps</w:t>
      </w:r>
    </w:p>
    <w:p w:rsidR="00D02D7A" w:rsidRPr="004B208C" w:rsidRDefault="00D02D7A" w:rsidP="00D02D7A">
      <w:pPr>
        <w:rPr>
          <w:rFonts w:cs="Tahoma"/>
        </w:rPr>
      </w:pPr>
      <w:r w:rsidRPr="004B208C">
        <w:rPr>
          <w:rFonts w:cs="Tahoma"/>
        </w:rPr>
        <w:t>Assinatura Mensal de 420 Mil Transações de Uso de Site Público do Bing Maps</w:t>
      </w:r>
    </w:p>
    <w:p w:rsidR="00D02D7A" w:rsidRPr="004B208C" w:rsidRDefault="00D02D7A" w:rsidP="00D02D7A">
      <w:pPr>
        <w:rPr>
          <w:rFonts w:cs="Tahoma"/>
        </w:rPr>
      </w:pPr>
      <w:r w:rsidRPr="004B208C">
        <w:rPr>
          <w:rFonts w:cs="Tahoma"/>
        </w:rPr>
        <w:t>Assinatura Mensal de 840 Mil Transações de Uso de Site Público do Bing Maps</w:t>
      </w:r>
    </w:p>
    <w:p w:rsidR="00D02D7A" w:rsidRPr="004B208C" w:rsidRDefault="00D02D7A" w:rsidP="00D02D7A">
      <w:pPr>
        <w:rPr>
          <w:rFonts w:cs="Tahoma"/>
        </w:rPr>
      </w:pPr>
      <w:r w:rsidRPr="004B208C">
        <w:rPr>
          <w:rFonts w:cs="Tahoma"/>
        </w:rPr>
        <w:t>Assinatura Mensal de 2,5 Milhões de Transações de Uso de Site Público do Bing Maps</w:t>
      </w:r>
    </w:p>
    <w:p w:rsidR="00D02D7A" w:rsidRPr="004B208C" w:rsidRDefault="00D02D7A" w:rsidP="00D02D7A">
      <w:pPr>
        <w:rPr>
          <w:rFonts w:cs="Tahoma"/>
        </w:rPr>
      </w:pPr>
      <w:r w:rsidRPr="004B208C">
        <w:rPr>
          <w:rFonts w:cs="Tahoma"/>
        </w:rPr>
        <w:t>Assinatura Mensal de 4,2 Milhões Transações de Uso de Site Público do Bing Maps</w:t>
      </w:r>
    </w:p>
    <w:p w:rsidR="00D02D7A" w:rsidRPr="004B208C" w:rsidRDefault="00D02D7A" w:rsidP="00D02D7A">
      <w:pPr>
        <w:rPr>
          <w:rFonts w:cs="Tahoma"/>
        </w:rPr>
      </w:pPr>
      <w:r w:rsidRPr="004B208C">
        <w:rPr>
          <w:rFonts w:cs="Tahoma"/>
        </w:rPr>
        <w:t>Assinatura Mensal de 8,4 Milhões de Transações de Uso de Site Público do Bing Maps</w:t>
      </w:r>
    </w:p>
    <w:p w:rsidR="00D02D7A" w:rsidRPr="004B208C" w:rsidRDefault="00D02D7A" w:rsidP="00D02D7A">
      <w:pPr>
        <w:rPr>
          <w:rFonts w:cs="Tahoma"/>
        </w:rPr>
      </w:pPr>
      <w:r w:rsidRPr="004B208C">
        <w:rPr>
          <w:rFonts w:cs="Tahoma"/>
        </w:rPr>
        <w:t>Assinatura Mensal de Transações Ilimitadas de Uso de Site Público do Bing Maps</w:t>
      </w:r>
    </w:p>
    <w:p w:rsidR="00D02D7A" w:rsidRPr="004B208C" w:rsidRDefault="00D02D7A" w:rsidP="00D02D7A">
      <w:pPr>
        <w:rPr>
          <w:rFonts w:cs="Tahoma"/>
        </w:rPr>
      </w:pPr>
      <w:r w:rsidRPr="004B208C">
        <w:rPr>
          <w:rFonts w:cs="Tahoma"/>
        </w:rPr>
        <w:t>Assinatura Mensal de 100 Mil Transações de Uso de Site Interno do Bing Maps</w:t>
      </w:r>
    </w:p>
    <w:p w:rsidR="00D02D7A" w:rsidRPr="004B208C" w:rsidRDefault="00D02D7A" w:rsidP="00D02D7A">
      <w:pPr>
        <w:rPr>
          <w:rFonts w:cs="Tahoma"/>
        </w:rPr>
      </w:pPr>
      <w:r w:rsidRPr="004B208C">
        <w:rPr>
          <w:rFonts w:cs="Tahoma"/>
        </w:rPr>
        <w:t>Assinatura Mensal de 250 Mil Transações de Uso de Site Interno do Bing Maps</w:t>
      </w:r>
    </w:p>
    <w:p w:rsidR="00D02D7A" w:rsidRPr="004B208C" w:rsidRDefault="00D02D7A" w:rsidP="00D02D7A">
      <w:pPr>
        <w:rPr>
          <w:rFonts w:cs="Tahoma"/>
        </w:rPr>
      </w:pPr>
      <w:r w:rsidRPr="004B208C">
        <w:rPr>
          <w:rFonts w:cs="Tahoma"/>
        </w:rPr>
        <w:t>Assinatura Mensal de 420 Mil Transações de Uso de Site Interno do Bing Maps</w:t>
      </w:r>
    </w:p>
    <w:p w:rsidR="00D02D7A" w:rsidRPr="004B208C" w:rsidRDefault="00D02D7A" w:rsidP="00D02D7A">
      <w:pPr>
        <w:rPr>
          <w:rFonts w:cs="Tahoma"/>
        </w:rPr>
      </w:pPr>
      <w:r w:rsidRPr="004B208C">
        <w:rPr>
          <w:rFonts w:cs="Tahoma"/>
        </w:rPr>
        <w:t>Assinatura Mensal de 1,5 Milhões de Transações de Uso de Site Interno do Bing Maps</w:t>
      </w:r>
    </w:p>
    <w:p w:rsidR="00D02D7A" w:rsidRPr="004B208C" w:rsidRDefault="00D02D7A" w:rsidP="00D02D7A">
      <w:pPr>
        <w:rPr>
          <w:rFonts w:cs="Tahoma"/>
        </w:rPr>
      </w:pPr>
      <w:r w:rsidRPr="004B208C">
        <w:rPr>
          <w:rFonts w:cs="Tahoma"/>
        </w:rPr>
        <w:t>Assinatura Mensal de 2,1 Milhões de Transações de Uso de Site Interno do Bing Maps</w:t>
      </w:r>
    </w:p>
    <w:p w:rsidR="00D02D7A" w:rsidRPr="004B208C" w:rsidRDefault="00D02D7A" w:rsidP="00D02D7A">
      <w:pPr>
        <w:rPr>
          <w:rFonts w:cs="Tahoma"/>
        </w:rPr>
      </w:pPr>
      <w:r w:rsidRPr="004B208C">
        <w:rPr>
          <w:rFonts w:cs="Tahoma"/>
        </w:rPr>
        <w:t>Assinatura Mensal de Transações Ilimitadas de Uso de Site Interno do Bing Maps</w:t>
      </w:r>
    </w:p>
    <w:p w:rsidR="00D02D7A" w:rsidRPr="004B208C" w:rsidRDefault="00D02D7A" w:rsidP="00D02D7A">
      <w:pPr>
        <w:rPr>
          <w:rFonts w:cs="Tahoma"/>
        </w:rPr>
      </w:pPr>
      <w:r w:rsidRPr="004B208C">
        <w:rPr>
          <w:rFonts w:cs="Tahoma"/>
        </w:rPr>
        <w:t>Bing Maps Conhecido por Assinatura Mensal de Usuários</w:t>
      </w:r>
    </w:p>
    <w:p w:rsidR="00D02D7A" w:rsidRPr="004B208C" w:rsidRDefault="00D02D7A" w:rsidP="00D02D7A">
      <w:pPr>
        <w:rPr>
          <w:rFonts w:cs="Tahoma"/>
        </w:rPr>
      </w:pPr>
      <w:r w:rsidRPr="004B208C">
        <w:rPr>
          <w:rFonts w:cs="Tahoma"/>
        </w:rPr>
        <w:t>Bing Maps por Assinatura Mensal de Pacote de 5 Mil Usuários Conhecidos</w:t>
      </w:r>
    </w:p>
    <w:p w:rsidR="00D02D7A" w:rsidRPr="004B208C" w:rsidRDefault="00D02D7A" w:rsidP="00D02D7A">
      <w:pPr>
        <w:rPr>
          <w:rFonts w:cs="Tahoma"/>
        </w:rPr>
      </w:pPr>
      <w:r w:rsidRPr="004B208C">
        <w:rPr>
          <w:rFonts w:cs="Tahoma"/>
        </w:rPr>
        <w:t>Bing Maps Light Conhecido por Assinatura Mensal de Usuários</w:t>
      </w:r>
    </w:p>
    <w:p w:rsidR="00D02D7A" w:rsidRPr="004B208C" w:rsidRDefault="00D02D7A" w:rsidP="00D02D7A">
      <w:pPr>
        <w:rPr>
          <w:rFonts w:cs="Tahoma"/>
        </w:rPr>
      </w:pPr>
      <w:r w:rsidRPr="004B208C">
        <w:rPr>
          <w:rFonts w:cs="Tahoma"/>
        </w:rPr>
        <w:t>Bing Maps Light por Assinatura Mensal de Pacote de 5 Mil Usuários Conhecidos</w:t>
      </w:r>
    </w:p>
    <w:p w:rsidR="00D02D7A" w:rsidRPr="004B208C" w:rsidRDefault="00D02D7A" w:rsidP="00D02D7A">
      <w:pPr>
        <w:rPr>
          <w:rFonts w:cs="Tahoma"/>
        </w:rPr>
      </w:pPr>
      <w:r w:rsidRPr="004B208C">
        <w:rPr>
          <w:rFonts w:cs="Tahoma"/>
        </w:rPr>
        <w:t>Assinatura Mensal de Tarifa por Plataforma de Gerenciamento de Ativos Móveis do Bing Maps</w:t>
      </w:r>
    </w:p>
    <w:p w:rsidR="00D02D7A" w:rsidRPr="004B208C" w:rsidRDefault="00D02D7A" w:rsidP="00D02D7A">
      <w:pPr>
        <w:rPr>
          <w:rFonts w:cs="Tahoma"/>
        </w:rPr>
      </w:pPr>
      <w:r w:rsidRPr="004B208C">
        <w:rPr>
          <w:rFonts w:cs="Tahoma"/>
        </w:rPr>
        <w:t>Gerenciamento de Ativos Móveis do Bing Maps (América do Norte) com roteamento por Assinatura Mensal de Ativos</w:t>
      </w:r>
    </w:p>
    <w:p w:rsidR="00D02D7A" w:rsidRPr="004B208C" w:rsidRDefault="00D02D7A" w:rsidP="00D02D7A">
      <w:pPr>
        <w:rPr>
          <w:rFonts w:cs="Tahoma"/>
        </w:rPr>
      </w:pPr>
      <w:r w:rsidRPr="004B208C">
        <w:rPr>
          <w:rFonts w:cs="Tahoma"/>
        </w:rPr>
        <w:t>Gerenciamento de Ativos Móveis do Bing Maps (América do Norte) sem roteamento por Assinatura Mensal de Ativos</w:t>
      </w:r>
    </w:p>
    <w:p w:rsidR="00D02D7A" w:rsidRPr="004B208C" w:rsidRDefault="00D02D7A" w:rsidP="00D02D7A">
      <w:pPr>
        <w:rPr>
          <w:rFonts w:cs="Tahoma"/>
        </w:rPr>
      </w:pPr>
      <w:r w:rsidRPr="004B208C">
        <w:rPr>
          <w:rFonts w:cs="Tahoma"/>
        </w:rPr>
        <w:t>Gerenciamento de Ativos Móveis do Bing Maps (Europa) com roteamento por Assinatura Mensal de Ativos</w:t>
      </w:r>
    </w:p>
    <w:p w:rsidR="00D02D7A" w:rsidRPr="004B208C" w:rsidRDefault="00D02D7A" w:rsidP="00D02D7A">
      <w:pPr>
        <w:rPr>
          <w:rFonts w:cs="Tahoma"/>
        </w:rPr>
      </w:pPr>
      <w:r w:rsidRPr="004B208C">
        <w:rPr>
          <w:rFonts w:cs="Tahoma"/>
        </w:rPr>
        <w:t>Gerenciamento de Ativos Móveis do Bing Maps (Europa) sem roteamento por Assinatura Mensal de Ativos</w:t>
      </w:r>
    </w:p>
    <w:p w:rsidR="00D02D7A" w:rsidRPr="004B208C" w:rsidRDefault="00D02D7A" w:rsidP="00D02D7A">
      <w:pPr>
        <w:rPr>
          <w:rFonts w:cs="Tahoma"/>
        </w:rPr>
      </w:pPr>
      <w:r w:rsidRPr="004B208C">
        <w:rPr>
          <w:rFonts w:cs="Tahoma"/>
        </w:rPr>
        <w:t>Bing Maps Server</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2013 Enterprise Edition </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2013 Standard Edition </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2013 Branch</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2013 Branch IDC </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2013 Standard Edition IDC </w:t>
      </w:r>
    </w:p>
    <w:p w:rsidR="00D02D7A" w:rsidRPr="004B208C" w:rsidRDefault="00D02D7A" w:rsidP="00D02D7A">
      <w:pPr>
        <w:rPr>
          <w:rFonts w:cs="Tahoma"/>
        </w:rPr>
      </w:pPr>
      <w:r w:rsidRPr="004B208C">
        <w:rPr>
          <w:rFonts w:cs="Tahoma"/>
        </w:rPr>
        <w:t>Office 365 Enterprise E1 (SL de Usuário) (Pool de Aplicativos)</w:t>
      </w:r>
    </w:p>
    <w:p w:rsidR="00D02D7A" w:rsidRPr="004B208C" w:rsidRDefault="00D02D7A" w:rsidP="00D02D7A">
      <w:pPr>
        <w:rPr>
          <w:rFonts w:cs="Tahoma"/>
        </w:rPr>
      </w:pPr>
      <w:r w:rsidRPr="004B208C">
        <w:rPr>
          <w:rFonts w:cs="Tahoma"/>
        </w:rPr>
        <w:t>Office 365 Enterprise E2 (SL de Usuário) (Pool de Aplicativos)</w:t>
      </w:r>
    </w:p>
    <w:p w:rsidR="00D02D7A" w:rsidRPr="004B208C" w:rsidRDefault="00D02D7A" w:rsidP="00D02D7A">
      <w:pPr>
        <w:rPr>
          <w:rFonts w:cs="Tahoma"/>
        </w:rPr>
      </w:pPr>
      <w:r w:rsidRPr="004B208C">
        <w:rPr>
          <w:rFonts w:cs="Tahoma"/>
        </w:rPr>
        <w:t>Office 365 Enterprise E3 (SL de Usuário) (Pool de Aplicativos)</w:t>
      </w:r>
    </w:p>
    <w:p w:rsidR="00D02D7A" w:rsidRPr="004B208C" w:rsidRDefault="00D02D7A" w:rsidP="00D02D7A">
      <w:pPr>
        <w:rPr>
          <w:rFonts w:cs="Tahoma"/>
        </w:rPr>
      </w:pPr>
      <w:r w:rsidRPr="004B208C">
        <w:rPr>
          <w:rFonts w:cs="Tahoma"/>
        </w:rPr>
        <w:t>Office 365 Enterprise E4 (SL de Usuário) (Pool de Aplicativos)</w:t>
      </w:r>
    </w:p>
    <w:p w:rsidR="00D02D7A" w:rsidRPr="004B208C" w:rsidRDefault="00D02D7A" w:rsidP="00D02D7A">
      <w:pPr>
        <w:rPr>
          <w:rFonts w:cs="Tahoma"/>
        </w:rPr>
      </w:pPr>
      <w:r w:rsidRPr="004B208C">
        <w:rPr>
          <w:rFonts w:cs="Tahoma"/>
        </w:rPr>
        <w:t>Office 365 Education A2 (SL de Usuário) (Pool de Aplicativos)</w:t>
      </w:r>
    </w:p>
    <w:p w:rsidR="00D02D7A" w:rsidRPr="004B208C" w:rsidRDefault="00D02D7A" w:rsidP="00D02D7A">
      <w:pPr>
        <w:rPr>
          <w:rFonts w:cs="Tahoma"/>
        </w:rPr>
      </w:pPr>
      <w:r w:rsidRPr="004B208C">
        <w:rPr>
          <w:rFonts w:cs="Tahoma"/>
        </w:rPr>
        <w:t>Office 365 Education A3 (SL de Usuário) (Pool de Aplicativos)</w:t>
      </w:r>
    </w:p>
    <w:p w:rsidR="00D02D7A" w:rsidRPr="004B208C" w:rsidRDefault="00D02D7A" w:rsidP="00D02D7A">
      <w:pPr>
        <w:rPr>
          <w:rFonts w:cs="Tahoma"/>
        </w:rPr>
      </w:pPr>
      <w:r w:rsidRPr="004B208C">
        <w:rPr>
          <w:rFonts w:cs="Tahoma"/>
        </w:rPr>
        <w:t>Office 365 Education A4 (SL de Usuário) (Pool de Aplicativos)</w:t>
      </w:r>
    </w:p>
    <w:p w:rsidR="00D02D7A" w:rsidRPr="004B208C" w:rsidRDefault="00D02D7A" w:rsidP="00D02D7A">
      <w:pPr>
        <w:rPr>
          <w:rFonts w:cs="Tahoma"/>
        </w:rPr>
      </w:pPr>
      <w:r w:rsidRPr="004B208C">
        <w:rPr>
          <w:rFonts w:cs="Tahoma"/>
        </w:rPr>
        <w:t>Office 365 Enterprise E1 (SL de Usuário) (Pool de Servidores)</w:t>
      </w:r>
    </w:p>
    <w:p w:rsidR="00D02D7A" w:rsidRPr="004B208C" w:rsidRDefault="00D02D7A" w:rsidP="00D02D7A">
      <w:pPr>
        <w:rPr>
          <w:rFonts w:cs="Tahoma"/>
        </w:rPr>
      </w:pPr>
      <w:r w:rsidRPr="004B208C">
        <w:rPr>
          <w:rFonts w:cs="Tahoma"/>
        </w:rPr>
        <w:lastRenderedPageBreak/>
        <w:t>Office 365 Enterprise E2 (SL de Usuário) (Pool de Servidores)</w:t>
      </w:r>
    </w:p>
    <w:p w:rsidR="00D02D7A" w:rsidRPr="004B208C" w:rsidRDefault="00D02D7A" w:rsidP="00D02D7A">
      <w:pPr>
        <w:rPr>
          <w:rFonts w:cs="Tahoma"/>
        </w:rPr>
      </w:pPr>
      <w:r w:rsidRPr="004B208C">
        <w:rPr>
          <w:rFonts w:cs="Tahoma"/>
        </w:rPr>
        <w:t>Office 365 Enterprise E3 (SL de Usuário) (Pool de Servidores)</w:t>
      </w:r>
    </w:p>
    <w:p w:rsidR="00D02D7A" w:rsidRPr="004B208C" w:rsidRDefault="00D02D7A" w:rsidP="00D02D7A">
      <w:pPr>
        <w:rPr>
          <w:rFonts w:cs="Tahoma"/>
        </w:rPr>
      </w:pPr>
      <w:r w:rsidRPr="004B208C">
        <w:rPr>
          <w:rFonts w:cs="Tahoma"/>
        </w:rPr>
        <w:t>Office 365 Enterprise E4 (SL de Usuário) (Pool de Servidores)</w:t>
      </w:r>
    </w:p>
    <w:p w:rsidR="00D02D7A" w:rsidRPr="004B208C" w:rsidRDefault="00D02D7A" w:rsidP="00D02D7A">
      <w:pPr>
        <w:rPr>
          <w:rFonts w:cs="Tahoma"/>
        </w:rPr>
      </w:pPr>
      <w:r w:rsidRPr="004B208C">
        <w:rPr>
          <w:rFonts w:cs="Tahoma"/>
        </w:rPr>
        <w:t>Office 365 Government G1 (SL de Usuário) (Pool de Servidores)</w:t>
      </w:r>
    </w:p>
    <w:p w:rsidR="00D02D7A" w:rsidRPr="004B208C" w:rsidRDefault="00D02D7A" w:rsidP="00D02D7A">
      <w:pPr>
        <w:rPr>
          <w:rFonts w:cs="Tahoma"/>
        </w:rPr>
      </w:pPr>
      <w:r w:rsidRPr="004B208C">
        <w:rPr>
          <w:rFonts w:cs="Tahoma"/>
        </w:rPr>
        <w:t>Office 365 Government G2 (SL de Usuário) (Pool de Servidores)</w:t>
      </w:r>
    </w:p>
    <w:p w:rsidR="00D02D7A" w:rsidRPr="004B208C" w:rsidRDefault="00D02D7A" w:rsidP="00D02D7A">
      <w:pPr>
        <w:rPr>
          <w:rFonts w:cs="Tahoma"/>
        </w:rPr>
      </w:pPr>
      <w:r w:rsidRPr="004B208C">
        <w:rPr>
          <w:rFonts w:cs="Tahoma"/>
        </w:rPr>
        <w:t>Office 365 Government G3 (SL de Usuário) (Pool de Servidores)</w:t>
      </w:r>
    </w:p>
    <w:p w:rsidR="00D02D7A" w:rsidRPr="004B208C" w:rsidRDefault="00D02D7A" w:rsidP="00D02D7A">
      <w:pPr>
        <w:rPr>
          <w:rFonts w:cs="Tahoma"/>
        </w:rPr>
      </w:pPr>
      <w:r w:rsidRPr="004B208C">
        <w:rPr>
          <w:rFonts w:cs="Tahoma"/>
        </w:rPr>
        <w:t>Office 365 Government G4 (SL de Usuário) (Pool de Servidores)</w:t>
      </w:r>
    </w:p>
    <w:p w:rsidR="00D02D7A" w:rsidRPr="004B208C" w:rsidRDefault="00D02D7A" w:rsidP="00D02D7A">
      <w:pPr>
        <w:rPr>
          <w:rFonts w:cs="Tahoma"/>
        </w:rPr>
      </w:pPr>
      <w:r w:rsidRPr="004B208C">
        <w:rPr>
          <w:rFonts w:cs="Tahoma"/>
        </w:rPr>
        <w:t>Office 365 Enterprise K1 (SL de Usuário) (Pool de Servidores)</w:t>
      </w:r>
    </w:p>
    <w:p w:rsidR="00D02D7A" w:rsidRPr="004B208C" w:rsidRDefault="00D02D7A" w:rsidP="00D02D7A">
      <w:pPr>
        <w:rPr>
          <w:rFonts w:cs="Tahoma"/>
        </w:rPr>
      </w:pPr>
      <w:r w:rsidRPr="004B208C">
        <w:rPr>
          <w:rFonts w:cs="Tahoma"/>
        </w:rPr>
        <w:t>Office 365 Enterprise K2 (SL de Usuário) (Pool de Servidores)</w:t>
      </w:r>
    </w:p>
    <w:p w:rsidR="003418C5" w:rsidRPr="004B208C" w:rsidRDefault="003418C5" w:rsidP="003418C5">
      <w:pPr>
        <w:rPr>
          <w:rFonts w:cs="Tahoma"/>
        </w:rPr>
      </w:pPr>
      <w:r w:rsidRPr="004B208C">
        <w:rPr>
          <w:rFonts w:cs="Tahoma"/>
        </w:rPr>
        <w:t>Office 365 ProPlus SA Transition (SL de Usuário) (Pool de Aplicativos)</w:t>
      </w:r>
    </w:p>
    <w:p w:rsidR="00D02D7A" w:rsidRPr="004B208C" w:rsidRDefault="00D02D7A">
      <w:pPr>
        <w:rPr>
          <w:rFonts w:cs="Tahoma"/>
        </w:rPr>
      </w:pPr>
      <w:r w:rsidRPr="004B208C">
        <w:rPr>
          <w:rFonts w:cs="Tahoma"/>
        </w:rPr>
        <w:t>Microsoft Desktop Optimization Pack para Software Assurance 2013</w:t>
      </w:r>
    </w:p>
    <w:p w:rsidR="00D02D7A" w:rsidRPr="004B208C" w:rsidRDefault="00D02D7A" w:rsidP="007E466C">
      <w:pPr>
        <w:rPr>
          <w:rFonts w:cs="Tahoma"/>
        </w:rPr>
      </w:pPr>
      <w:r w:rsidRPr="004B208C">
        <w:rPr>
          <w:rFonts w:cs="Tahoma"/>
        </w:rPr>
        <w:t>System Center Global Service Monitor</w:t>
      </w:r>
    </w:p>
    <w:p w:rsidR="005F584F" w:rsidRPr="004B208C" w:rsidRDefault="005F584F" w:rsidP="005F584F">
      <w:pPr>
        <w:rPr>
          <w:rFonts w:cs="Tahoma"/>
        </w:rPr>
      </w:pPr>
      <w:r w:rsidRPr="004B208C">
        <w:rPr>
          <w:rFonts w:cs="Tahoma"/>
        </w:rPr>
        <w:t>Vexcel Desktop com Pacote de Conteúdo Aprimorado</w:t>
      </w:r>
    </w:p>
    <w:p w:rsidR="009C779A" w:rsidRPr="004B208C" w:rsidRDefault="00242B11">
      <w:pPr>
        <w:rPr>
          <w:rFonts w:cs="Tahoma"/>
        </w:rPr>
      </w:pPr>
      <w:r w:rsidRPr="004B208C">
        <w:rPr>
          <w:rFonts w:cs="Tahoma"/>
        </w:rPr>
        <w:t>Vexcel Server</w:t>
      </w:r>
    </w:p>
    <w:p w:rsidR="00242B11" w:rsidRPr="004B208C" w:rsidRDefault="00242B11">
      <w:pPr>
        <w:rPr>
          <w:rFonts w:cs="Tahoma"/>
        </w:rPr>
      </w:pPr>
      <w:r w:rsidRPr="004B208C">
        <w:rPr>
          <w:rFonts w:cs="Tahoma"/>
        </w:rPr>
        <w:t>Vexcel Server com Pacote de Conteúdo Aprimorado</w:t>
      </w:r>
    </w:p>
    <w:p w:rsidR="003F5594" w:rsidRPr="004B208C" w:rsidRDefault="003F5594" w:rsidP="00B65F35">
      <w:pPr>
        <w:spacing w:after="60"/>
        <w:rPr>
          <w:rFonts w:cs="Tahoma"/>
        </w:rPr>
      </w:pPr>
    </w:p>
    <w:p w:rsidR="00B65F35" w:rsidRPr="004B208C" w:rsidRDefault="00B65F35" w:rsidP="00B65F35">
      <w:pPr>
        <w:spacing w:after="60"/>
        <w:rPr>
          <w:rFonts w:cs="Tahoma"/>
        </w:rPr>
      </w:pPr>
      <w:r w:rsidRPr="004B208C">
        <w:rPr>
          <w:rFonts w:cs="Tahoma"/>
          <w:b/>
        </w:rPr>
        <w:t>Alterações</w:t>
      </w:r>
    </w:p>
    <w:p w:rsidR="00B65F35" w:rsidRPr="004B208C" w:rsidRDefault="009C779A" w:rsidP="009C779A">
      <w:pPr>
        <w:rPr>
          <w:rFonts w:cs="Tahoma"/>
        </w:rPr>
      </w:pPr>
      <w:r w:rsidRPr="004B208C">
        <w:rPr>
          <w:rFonts w:cs="Tahoma"/>
        </w:rPr>
        <w:t>Bing Maps Standard (SL de Usuário)</w:t>
      </w:r>
    </w:p>
    <w:p w:rsidR="009C779A" w:rsidRPr="004B208C" w:rsidRDefault="009C779A" w:rsidP="00D66F68">
      <w:pPr>
        <w:rPr>
          <w:rFonts w:cs="Tahoma"/>
        </w:rPr>
      </w:pPr>
      <w:r w:rsidRPr="004B208C">
        <w:rPr>
          <w:rFonts w:cs="Tahoma"/>
        </w:rPr>
        <w:t>Office 365 Plano E1 (SL de Usuário) (Pool de Aplicativos)</w:t>
      </w:r>
    </w:p>
    <w:p w:rsidR="009C779A" w:rsidRPr="004B208C" w:rsidRDefault="009C779A" w:rsidP="00D66F68">
      <w:pPr>
        <w:rPr>
          <w:rFonts w:cs="Tahoma"/>
        </w:rPr>
      </w:pPr>
      <w:r w:rsidRPr="004B208C">
        <w:rPr>
          <w:rFonts w:cs="Tahoma"/>
        </w:rPr>
        <w:t>Office 365 Plano E2 (SL de Usuário) (Pool de Aplicativos)</w:t>
      </w:r>
    </w:p>
    <w:p w:rsidR="009C779A" w:rsidRPr="004B208C" w:rsidRDefault="009C779A" w:rsidP="00D02D7A">
      <w:pPr>
        <w:rPr>
          <w:rFonts w:cs="Tahoma"/>
        </w:rPr>
      </w:pPr>
      <w:r w:rsidRPr="004B208C">
        <w:rPr>
          <w:rFonts w:cs="Tahoma"/>
        </w:rPr>
        <w:t>Office 365 Plano E3 (SL de Usuário) (Pool de Aplicativos)</w:t>
      </w:r>
    </w:p>
    <w:p w:rsidR="009C779A" w:rsidRPr="004B208C" w:rsidRDefault="009C779A" w:rsidP="00D02D7A">
      <w:pPr>
        <w:rPr>
          <w:rFonts w:cs="Tahoma"/>
        </w:rPr>
      </w:pPr>
      <w:r w:rsidRPr="004B208C">
        <w:rPr>
          <w:rFonts w:cs="Tahoma"/>
        </w:rPr>
        <w:t>Office 365 Plano E4 (SL de Usuário) (Pool de Aplicativos)</w:t>
      </w:r>
    </w:p>
    <w:p w:rsidR="009C779A" w:rsidRPr="004B208C" w:rsidRDefault="009C779A" w:rsidP="00242B11">
      <w:pPr>
        <w:rPr>
          <w:rFonts w:cs="Tahoma"/>
        </w:rPr>
      </w:pPr>
      <w:r w:rsidRPr="004B208C">
        <w:rPr>
          <w:rFonts w:cs="Tahoma"/>
        </w:rPr>
        <w:t>Office 365 Plano A2 (SL de Usuário) (Pool de Aplicativos)</w:t>
      </w:r>
    </w:p>
    <w:p w:rsidR="009C779A" w:rsidRPr="004B208C" w:rsidRDefault="009C779A" w:rsidP="00242B11">
      <w:pPr>
        <w:rPr>
          <w:rFonts w:cs="Tahoma"/>
        </w:rPr>
      </w:pPr>
      <w:r w:rsidRPr="004B208C">
        <w:rPr>
          <w:rFonts w:cs="Tahoma"/>
        </w:rPr>
        <w:t>Office 365 Plano A3 (SL de Usuário) (Pool de Aplicativos)</w:t>
      </w:r>
    </w:p>
    <w:p w:rsidR="009C779A" w:rsidRPr="004B208C" w:rsidRDefault="009C779A" w:rsidP="00EA31A6">
      <w:pPr>
        <w:rPr>
          <w:rFonts w:cs="Tahoma"/>
        </w:rPr>
      </w:pPr>
      <w:r w:rsidRPr="004B208C">
        <w:rPr>
          <w:rFonts w:cs="Tahoma"/>
        </w:rPr>
        <w:t>Office 365 Plano A4 (SL de Usuário) (Pool de Aplicativos)</w:t>
      </w:r>
    </w:p>
    <w:p w:rsidR="009C779A" w:rsidRPr="004B208C" w:rsidRDefault="009C779A" w:rsidP="00EA31A6">
      <w:pPr>
        <w:rPr>
          <w:rFonts w:cs="Tahoma"/>
        </w:rPr>
      </w:pPr>
      <w:r w:rsidRPr="004B208C">
        <w:rPr>
          <w:rFonts w:cs="Tahoma"/>
        </w:rPr>
        <w:t>Office 365 Plano E1 (SL de Usuário) (Pool de Servidores)</w:t>
      </w:r>
    </w:p>
    <w:p w:rsidR="009C779A" w:rsidRPr="004B208C" w:rsidRDefault="009C779A" w:rsidP="00EA31A6">
      <w:pPr>
        <w:rPr>
          <w:rFonts w:cs="Tahoma"/>
        </w:rPr>
      </w:pPr>
      <w:r w:rsidRPr="004B208C">
        <w:rPr>
          <w:rFonts w:cs="Tahoma"/>
        </w:rPr>
        <w:t>Office 365 Plano E2 - E4 (SL de Usuário) (Pool de Servidores)</w:t>
      </w:r>
    </w:p>
    <w:p w:rsidR="009C779A" w:rsidRPr="004B208C" w:rsidRDefault="009C779A" w:rsidP="00EA31A6">
      <w:pPr>
        <w:rPr>
          <w:rFonts w:cs="Tahoma"/>
        </w:rPr>
      </w:pPr>
      <w:r w:rsidRPr="004B208C">
        <w:rPr>
          <w:rFonts w:cs="Tahoma"/>
        </w:rPr>
        <w:t>Office 365 Plano G1 - G4 (SL de Usuário) (Pool de Servidores)</w:t>
      </w:r>
    </w:p>
    <w:p w:rsidR="009C779A" w:rsidRPr="004B208C" w:rsidRDefault="009C779A" w:rsidP="003537B9">
      <w:pPr>
        <w:rPr>
          <w:rFonts w:cs="Tahoma"/>
        </w:rPr>
      </w:pPr>
      <w:r w:rsidRPr="004B208C">
        <w:rPr>
          <w:rFonts w:cs="Tahoma"/>
        </w:rPr>
        <w:t>Office 365 Plano K1 (SL de Usuário) (Pool de Servidores)</w:t>
      </w:r>
    </w:p>
    <w:p w:rsidR="009C779A" w:rsidRPr="004B208C" w:rsidRDefault="009C779A" w:rsidP="003537B9">
      <w:pPr>
        <w:rPr>
          <w:rFonts w:cs="Tahoma"/>
        </w:rPr>
      </w:pPr>
      <w:r w:rsidRPr="004B208C">
        <w:rPr>
          <w:rFonts w:cs="Tahoma"/>
        </w:rPr>
        <w:t>Office 365 Plano K2 (SL de Usuário) (Pool de Servidores)</w:t>
      </w:r>
    </w:p>
    <w:p w:rsidR="003A31B1" w:rsidRPr="004B208C" w:rsidRDefault="003A31B1" w:rsidP="003A31B1">
      <w:pPr>
        <w:rPr>
          <w:rFonts w:cs="Tahoma"/>
        </w:rPr>
      </w:pPr>
      <w:r w:rsidRPr="004B208C">
        <w:rPr>
          <w:rFonts w:cs="Tahoma"/>
        </w:rPr>
        <w:t>System Center 2012 Endpoint Protection</w:t>
      </w:r>
    </w:p>
    <w:p w:rsidR="00242B11" w:rsidRPr="004B208C" w:rsidRDefault="00242B11" w:rsidP="00242B11">
      <w:pPr>
        <w:rPr>
          <w:rFonts w:cs="Tahoma"/>
        </w:rPr>
      </w:pPr>
      <w:r w:rsidRPr="004B208C">
        <w:rPr>
          <w:rFonts w:cs="Tahoma"/>
        </w:rPr>
        <w:t>O BizTalk Server mudou do modelo de licença “Proc” para “Core” na versão 2013</w:t>
      </w:r>
    </w:p>
    <w:p w:rsidR="00242B11" w:rsidRPr="004B208C" w:rsidRDefault="00242B11" w:rsidP="00242B11">
      <w:pPr>
        <w:rPr>
          <w:rFonts w:cs="Tahoma"/>
        </w:rPr>
      </w:pPr>
      <w:r w:rsidRPr="004B208C">
        <w:rPr>
          <w:rFonts w:cs="Tahoma"/>
        </w:rPr>
        <w:t>Produto Adicional (</w:t>
      </w:r>
      <w:r w:rsidR="00172F11">
        <w:rPr>
          <w:rFonts w:cs="Tahoma"/>
        </w:rPr>
        <w:t>“</w:t>
      </w:r>
      <w:r w:rsidRPr="004B208C">
        <w:rPr>
          <w:rFonts w:cs="Tahoma"/>
        </w:rPr>
        <w:t>A</w:t>
      </w:r>
      <w:r w:rsidR="00172F11">
        <w:rPr>
          <w:rFonts w:cs="Tahoma"/>
        </w:rPr>
        <w:t>”</w:t>
      </w:r>
      <w:r w:rsidRPr="004B208C">
        <w:rPr>
          <w:rFonts w:cs="Tahoma"/>
        </w:rPr>
        <w:t>) Removido do Sys Ctr Endpoint Protection</w:t>
      </w:r>
    </w:p>
    <w:p w:rsidR="00242B11" w:rsidRPr="004B208C" w:rsidRDefault="00242B11" w:rsidP="00242B11">
      <w:pPr>
        <w:rPr>
          <w:rFonts w:cs="Tahoma"/>
        </w:rPr>
      </w:pPr>
      <w:r w:rsidRPr="004B208C">
        <w:rPr>
          <w:rFonts w:cs="Tahoma"/>
        </w:rPr>
        <w:t>Entrada Professional Removida do Bing Maps Standard (SL de Usuário)</w:t>
      </w:r>
    </w:p>
    <w:p w:rsidR="009C779A" w:rsidRPr="004B208C" w:rsidRDefault="009C779A" w:rsidP="009C779A">
      <w:pPr>
        <w:rPr>
          <w:rFonts w:cs="Tahoma"/>
        </w:rPr>
      </w:pPr>
    </w:p>
    <w:p w:rsidR="00B65F35" w:rsidRPr="004B208C" w:rsidRDefault="00B65F35" w:rsidP="007E466C">
      <w:pPr>
        <w:spacing w:after="60"/>
        <w:rPr>
          <w:rFonts w:cs="Tahoma"/>
        </w:rPr>
      </w:pPr>
      <w:r w:rsidRPr="004B208C">
        <w:rPr>
          <w:rFonts w:cs="Tahoma"/>
          <w:b/>
        </w:rPr>
        <w:t>Exclusões</w:t>
      </w:r>
    </w:p>
    <w:p w:rsidR="00D02D7A" w:rsidRPr="004B208C" w:rsidRDefault="00D02D7A" w:rsidP="00D02D7A">
      <w:pPr>
        <w:rPr>
          <w:rFonts w:cs="Tahoma"/>
        </w:rPr>
      </w:pPr>
      <w:r w:rsidRPr="004B208C">
        <w:rPr>
          <w:rFonts w:cs="Tahoma"/>
        </w:rPr>
        <w:t>Bing Maps 25KTrx (SL Complementar)</w:t>
      </w:r>
    </w:p>
    <w:p w:rsidR="00D02D7A" w:rsidRPr="004B208C" w:rsidRDefault="00D02D7A" w:rsidP="00D02D7A">
      <w:pPr>
        <w:rPr>
          <w:rFonts w:cs="Tahoma"/>
        </w:rPr>
      </w:pPr>
      <w:r w:rsidRPr="004B208C">
        <w:rPr>
          <w:rFonts w:cs="Tahoma"/>
        </w:rPr>
        <w:t>Bing Maps 250KTrx (SL Complementar)</w:t>
      </w:r>
    </w:p>
    <w:p w:rsidR="00D02D7A" w:rsidRPr="004B208C" w:rsidRDefault="00D02D7A" w:rsidP="00D02D7A">
      <w:pPr>
        <w:rPr>
          <w:rFonts w:cs="Tahoma"/>
        </w:rPr>
      </w:pPr>
      <w:r w:rsidRPr="004B208C">
        <w:rPr>
          <w:rFonts w:cs="Tahoma"/>
        </w:rPr>
        <w:t>Bing Maps Professional (SL de Serviços)</w:t>
      </w:r>
    </w:p>
    <w:p w:rsidR="005F584F" w:rsidRPr="004B208C" w:rsidRDefault="005F584F" w:rsidP="005F584F">
      <w:pPr>
        <w:rPr>
          <w:rFonts w:cs="Tahoma"/>
        </w:rPr>
      </w:pPr>
      <w:r w:rsidRPr="004B208C">
        <w:rPr>
          <w:rFonts w:cs="Tahoma"/>
        </w:rPr>
        <w:t>Bing Maps Desktop com Pacote de Conteúdo Aprimorado</w:t>
      </w:r>
    </w:p>
    <w:p w:rsidR="005F584F" w:rsidRPr="004B208C" w:rsidRDefault="005F584F" w:rsidP="005F584F">
      <w:pPr>
        <w:rPr>
          <w:rFonts w:cs="Tahoma"/>
        </w:rPr>
      </w:pPr>
      <w:r w:rsidRPr="004B208C">
        <w:rPr>
          <w:rFonts w:cs="Tahoma"/>
        </w:rPr>
        <w:t>Bing Maps Server</w:t>
      </w:r>
    </w:p>
    <w:p w:rsidR="005F584F" w:rsidRPr="004B208C" w:rsidRDefault="005F584F" w:rsidP="005F584F">
      <w:pPr>
        <w:rPr>
          <w:rFonts w:cs="Tahoma"/>
        </w:rPr>
      </w:pPr>
      <w:r w:rsidRPr="004B208C">
        <w:rPr>
          <w:rFonts w:cs="Tahoma"/>
        </w:rPr>
        <w:t>Bing Maps com Pacote de Conteúdo Aprimorado</w:t>
      </w:r>
    </w:p>
    <w:p w:rsidR="00D02D7A" w:rsidRPr="004B208C" w:rsidRDefault="00D02D7A" w:rsidP="00D02D7A">
      <w:pPr>
        <w:rPr>
          <w:rFonts w:cs="Tahoma"/>
        </w:rPr>
      </w:pPr>
      <w:r w:rsidRPr="004B208C">
        <w:rPr>
          <w:rFonts w:cs="Tahoma"/>
        </w:rPr>
        <w:t>Bing Maps Unlimited Trx (SL Complementar)</w:t>
      </w:r>
    </w:p>
    <w:p w:rsidR="00242B11" w:rsidRPr="004B208C" w:rsidRDefault="00242B11" w:rsidP="00D02D7A">
      <w:pPr>
        <w:rPr>
          <w:rFonts w:cs="Tahoma"/>
        </w:rPr>
      </w:pPr>
      <w:r w:rsidRPr="004B208C">
        <w:rPr>
          <w:rFonts w:cs="Tahoma"/>
        </w:rPr>
        <w:t>Bing Server</w:t>
      </w:r>
    </w:p>
    <w:p w:rsidR="00242B11" w:rsidRPr="004B208C" w:rsidRDefault="00242B11" w:rsidP="00D02D7A">
      <w:pPr>
        <w:rPr>
          <w:rFonts w:cs="Tahoma"/>
        </w:rPr>
      </w:pPr>
      <w:r w:rsidRPr="004B208C">
        <w:rPr>
          <w:rFonts w:cs="Tahoma"/>
        </w:rPr>
        <w:t>Bing Server com Pacote de Conteúdo Aprimorado</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2010 Branch Edition </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2010 Enterprise Edition</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2010 Enterprise RFID</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2010 Standard Edition </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2010 Developer IDC </w:t>
      </w:r>
    </w:p>
    <w:p w:rsidR="00D02D7A" w:rsidRPr="004B208C" w:rsidRDefault="00D02D7A" w:rsidP="00D02D7A">
      <w:pPr>
        <w:rPr>
          <w:rFonts w:cs="Tahoma"/>
        </w:rPr>
      </w:pPr>
      <w:r w:rsidRPr="004B208C">
        <w:rPr>
          <w:rFonts w:cs="Tahoma"/>
        </w:rPr>
        <w:t>BizTalk</w:t>
      </w:r>
      <w:r w:rsidR="00172F11" w:rsidRPr="00172F11">
        <w:rPr>
          <w:rFonts w:cs="Tahoma"/>
          <w:vertAlign w:val="superscript"/>
        </w:rPr>
        <w:t>®</w:t>
      </w:r>
      <w:r w:rsidRPr="004B208C">
        <w:rPr>
          <w:rFonts w:cs="Tahoma"/>
        </w:rPr>
        <w:t xml:space="preserve"> Server 2010 Branch IDC </w:t>
      </w:r>
    </w:p>
    <w:p w:rsidR="00D02D7A" w:rsidRPr="004B208C" w:rsidRDefault="00D02D7A" w:rsidP="00D02D7A">
      <w:pPr>
        <w:rPr>
          <w:rFonts w:cs="Tahoma"/>
        </w:rPr>
      </w:pPr>
      <w:r w:rsidRPr="004B208C">
        <w:rPr>
          <w:rFonts w:cs="Tahoma"/>
        </w:rPr>
        <w:t>Data Warehouse Appliance 2012</w:t>
      </w:r>
    </w:p>
    <w:p w:rsidR="00D02D7A" w:rsidRPr="004B208C" w:rsidRDefault="00D02D7A" w:rsidP="00D02D7A">
      <w:pPr>
        <w:rPr>
          <w:rFonts w:cs="Tahoma"/>
        </w:rPr>
      </w:pPr>
      <w:r w:rsidRPr="004B208C">
        <w:rPr>
          <w:rFonts w:cs="Tahoma"/>
        </w:rPr>
        <w:t>Office 365 Plano E1 (SL de Usuário) (Pool de Aplicativos)</w:t>
      </w:r>
    </w:p>
    <w:p w:rsidR="00D02D7A" w:rsidRPr="004B208C" w:rsidRDefault="00D02D7A" w:rsidP="00D02D7A">
      <w:pPr>
        <w:rPr>
          <w:rFonts w:cs="Tahoma"/>
        </w:rPr>
      </w:pPr>
      <w:r w:rsidRPr="004B208C">
        <w:rPr>
          <w:rFonts w:cs="Tahoma"/>
        </w:rPr>
        <w:t>Office 365 Plano E2 (SL de Usuário) (Pool de Aplicativos)</w:t>
      </w:r>
    </w:p>
    <w:p w:rsidR="00D02D7A" w:rsidRPr="004B208C" w:rsidRDefault="00D02D7A" w:rsidP="00D02D7A">
      <w:pPr>
        <w:rPr>
          <w:rFonts w:cs="Tahoma"/>
        </w:rPr>
      </w:pPr>
      <w:r w:rsidRPr="004B208C">
        <w:rPr>
          <w:rFonts w:cs="Tahoma"/>
        </w:rPr>
        <w:t>Office 365 Plano E3 (SL de Usuário) (Pool de Aplicativos)</w:t>
      </w:r>
    </w:p>
    <w:p w:rsidR="00D02D7A" w:rsidRPr="004B208C" w:rsidRDefault="00D02D7A" w:rsidP="00D02D7A">
      <w:pPr>
        <w:rPr>
          <w:rFonts w:cs="Tahoma"/>
        </w:rPr>
      </w:pPr>
      <w:r w:rsidRPr="004B208C">
        <w:rPr>
          <w:rFonts w:cs="Tahoma"/>
        </w:rPr>
        <w:t>Office 365 Plano E4 (SL de Usuário) (Pool de Aplicativos)</w:t>
      </w:r>
    </w:p>
    <w:p w:rsidR="00D02D7A" w:rsidRPr="004B208C" w:rsidRDefault="00D02D7A" w:rsidP="00D02D7A">
      <w:pPr>
        <w:rPr>
          <w:rFonts w:cs="Tahoma"/>
        </w:rPr>
      </w:pPr>
      <w:r w:rsidRPr="004B208C">
        <w:rPr>
          <w:rFonts w:cs="Tahoma"/>
        </w:rPr>
        <w:t>Office 365 Plano A2 (SL de Usuário) (Pool de Aplicativos)</w:t>
      </w:r>
    </w:p>
    <w:p w:rsidR="00D02D7A" w:rsidRPr="004B208C" w:rsidRDefault="00D02D7A" w:rsidP="00D02D7A">
      <w:pPr>
        <w:rPr>
          <w:rFonts w:cs="Tahoma"/>
        </w:rPr>
      </w:pPr>
      <w:r w:rsidRPr="004B208C">
        <w:rPr>
          <w:rFonts w:cs="Tahoma"/>
        </w:rPr>
        <w:t>Office 365 Plano A3 (SL de Usuário) (Pool de Aplicativos)</w:t>
      </w:r>
    </w:p>
    <w:p w:rsidR="00D02D7A" w:rsidRPr="004B208C" w:rsidRDefault="00D02D7A" w:rsidP="00D02D7A">
      <w:pPr>
        <w:rPr>
          <w:rFonts w:cs="Tahoma"/>
        </w:rPr>
      </w:pPr>
      <w:r w:rsidRPr="004B208C">
        <w:rPr>
          <w:rFonts w:cs="Tahoma"/>
        </w:rPr>
        <w:lastRenderedPageBreak/>
        <w:t>Office 365 Plano A4 (SL de Usuário) (Pool de Aplicativos)</w:t>
      </w:r>
    </w:p>
    <w:p w:rsidR="00D02D7A" w:rsidRPr="004B208C" w:rsidRDefault="00D02D7A" w:rsidP="00D02D7A">
      <w:pPr>
        <w:rPr>
          <w:rFonts w:cs="Tahoma"/>
        </w:rPr>
      </w:pPr>
      <w:r w:rsidRPr="004B208C">
        <w:rPr>
          <w:rFonts w:cs="Tahoma"/>
        </w:rPr>
        <w:t>Office 365 Plano E1 (SL de Usuário) (Pool de Servidores)</w:t>
      </w:r>
    </w:p>
    <w:p w:rsidR="00D02D7A" w:rsidRPr="004B208C" w:rsidRDefault="00D02D7A" w:rsidP="00D02D7A">
      <w:pPr>
        <w:rPr>
          <w:rFonts w:cs="Tahoma"/>
        </w:rPr>
      </w:pPr>
      <w:r w:rsidRPr="004B208C">
        <w:rPr>
          <w:rFonts w:cs="Tahoma"/>
        </w:rPr>
        <w:t>Office 365 Plano E2 (SL de Usuário) (Pool de Servidores)</w:t>
      </w:r>
    </w:p>
    <w:p w:rsidR="00D02D7A" w:rsidRPr="004B208C" w:rsidRDefault="00D02D7A" w:rsidP="00D02D7A">
      <w:pPr>
        <w:rPr>
          <w:rFonts w:cs="Tahoma"/>
        </w:rPr>
      </w:pPr>
      <w:r w:rsidRPr="004B208C">
        <w:rPr>
          <w:rFonts w:cs="Tahoma"/>
        </w:rPr>
        <w:t>Office 365 Plano E3 (SL de Usuário) (Pool de Servidores)</w:t>
      </w:r>
    </w:p>
    <w:p w:rsidR="00D02D7A" w:rsidRPr="004B208C" w:rsidRDefault="00D02D7A" w:rsidP="00D02D7A">
      <w:pPr>
        <w:rPr>
          <w:rFonts w:cs="Tahoma"/>
        </w:rPr>
      </w:pPr>
      <w:r w:rsidRPr="004B208C">
        <w:rPr>
          <w:rFonts w:cs="Tahoma"/>
        </w:rPr>
        <w:t>Office 365 Plano E4 (SL de Usuário) (Pool de Servidores)</w:t>
      </w:r>
    </w:p>
    <w:p w:rsidR="00D02D7A" w:rsidRPr="004B208C" w:rsidRDefault="00D02D7A" w:rsidP="00D02D7A">
      <w:pPr>
        <w:rPr>
          <w:rFonts w:cs="Tahoma"/>
        </w:rPr>
      </w:pPr>
      <w:r w:rsidRPr="004B208C">
        <w:rPr>
          <w:rFonts w:cs="Tahoma"/>
        </w:rPr>
        <w:t>Office 365 Plano G1 (SL de Usuário) (Pool de Servidores)</w:t>
      </w:r>
    </w:p>
    <w:p w:rsidR="00D02D7A" w:rsidRPr="004B208C" w:rsidRDefault="00D02D7A" w:rsidP="00D02D7A">
      <w:pPr>
        <w:rPr>
          <w:rFonts w:cs="Tahoma"/>
        </w:rPr>
      </w:pPr>
      <w:r w:rsidRPr="004B208C">
        <w:rPr>
          <w:rFonts w:cs="Tahoma"/>
        </w:rPr>
        <w:t>Office 365 Plano G2 (SL de Usuário) (Pool de Servidores)</w:t>
      </w:r>
    </w:p>
    <w:p w:rsidR="00D02D7A" w:rsidRPr="004B208C" w:rsidRDefault="00D02D7A" w:rsidP="00D02D7A">
      <w:pPr>
        <w:rPr>
          <w:rFonts w:cs="Tahoma"/>
        </w:rPr>
      </w:pPr>
      <w:r w:rsidRPr="004B208C">
        <w:rPr>
          <w:rFonts w:cs="Tahoma"/>
        </w:rPr>
        <w:t>Office 365 Plano G3 (SL de Usuário) (Pool de Servidores)</w:t>
      </w:r>
    </w:p>
    <w:p w:rsidR="00D02D7A" w:rsidRPr="004B208C" w:rsidRDefault="00D02D7A" w:rsidP="00D02D7A">
      <w:pPr>
        <w:rPr>
          <w:rFonts w:cs="Tahoma"/>
        </w:rPr>
      </w:pPr>
      <w:r w:rsidRPr="004B208C">
        <w:rPr>
          <w:rFonts w:cs="Tahoma"/>
        </w:rPr>
        <w:t>Office 365 Plano G4 (SL de Usuário) (Pool de Servidores)</w:t>
      </w:r>
    </w:p>
    <w:p w:rsidR="00D02D7A" w:rsidRPr="004B208C" w:rsidRDefault="00D02D7A" w:rsidP="00D02D7A">
      <w:pPr>
        <w:rPr>
          <w:rFonts w:cs="Tahoma"/>
        </w:rPr>
      </w:pPr>
      <w:r w:rsidRPr="004B208C">
        <w:rPr>
          <w:rFonts w:cs="Tahoma"/>
        </w:rPr>
        <w:t>Office 365 Plano K1 (SL de Usuário) (Pool de Servidores)</w:t>
      </w:r>
    </w:p>
    <w:p w:rsidR="00D02D7A" w:rsidRPr="004B208C" w:rsidRDefault="00D02D7A" w:rsidP="00D02D7A">
      <w:pPr>
        <w:rPr>
          <w:rFonts w:cs="Tahoma"/>
        </w:rPr>
      </w:pPr>
      <w:r w:rsidRPr="004B208C">
        <w:rPr>
          <w:rFonts w:cs="Tahoma"/>
        </w:rPr>
        <w:t>Office 365 Plano K2 (SL de Usuário) (Pool de Servidores)</w:t>
      </w:r>
    </w:p>
    <w:p w:rsidR="00D02D7A" w:rsidRPr="004B208C" w:rsidRDefault="00D02D7A" w:rsidP="00D02D7A">
      <w:pPr>
        <w:rPr>
          <w:rFonts w:cs="Tahoma"/>
        </w:rPr>
      </w:pPr>
      <w:r w:rsidRPr="004B208C">
        <w:rPr>
          <w:rFonts w:cs="Tahoma"/>
        </w:rPr>
        <w:t>System Center 2012 Endpoint Protection</w:t>
      </w:r>
    </w:p>
    <w:p w:rsidR="00D02D7A" w:rsidRPr="004B208C" w:rsidRDefault="00D02D7A" w:rsidP="00D02D7A">
      <w:pPr>
        <w:rPr>
          <w:rFonts w:cs="Tahoma"/>
        </w:rPr>
      </w:pPr>
      <w:r w:rsidRPr="004B208C">
        <w:rPr>
          <w:rFonts w:cs="Tahoma"/>
        </w:rPr>
        <w:t>Forefront Online Protection for Exchange (SL de Dispositivo e Usuário)</w:t>
      </w:r>
    </w:p>
    <w:p w:rsidR="00D02D7A" w:rsidRPr="004B208C" w:rsidRDefault="00D02D7A" w:rsidP="00D02D7A">
      <w:pPr>
        <w:rPr>
          <w:rFonts w:cs="Tahoma"/>
        </w:rPr>
      </w:pPr>
      <w:r w:rsidRPr="004B208C">
        <w:rPr>
          <w:rFonts w:cs="Tahoma"/>
        </w:rPr>
        <w:t>Microsoft Desktop Optimization Pack para Software Assurance 2012</w:t>
      </w:r>
    </w:p>
    <w:p w:rsidR="00B65F35" w:rsidRPr="004B208C" w:rsidRDefault="00B65F35" w:rsidP="007E466C">
      <w:pPr>
        <w:rPr>
          <w:rFonts w:cs="Tahoma"/>
        </w:rPr>
      </w:pPr>
    </w:p>
    <w:p w:rsidR="00D57D2B" w:rsidRPr="004B208C" w:rsidRDefault="00D57D2B" w:rsidP="007E466C">
      <w:pPr>
        <w:rPr>
          <w:rFonts w:cs="Tahoma"/>
        </w:rPr>
      </w:pPr>
    </w:p>
    <w:p w:rsidR="004759C6" w:rsidRPr="004B208C" w:rsidRDefault="004759C6" w:rsidP="004759C6">
      <w:pPr>
        <w:pStyle w:val="Heading2"/>
        <w:ind w:left="0"/>
        <w:jc w:val="both"/>
        <w:rPr>
          <w:rFonts w:ascii="Tahoma" w:hAnsi="Tahoma" w:cs="Tahoma"/>
        </w:rPr>
      </w:pPr>
      <w:bookmarkStart w:id="576" w:name="_Toc370981291"/>
      <w:r w:rsidRPr="004B208C">
        <w:rPr>
          <w:rFonts w:ascii="Tahoma" w:hAnsi="Tahoma" w:cs="Tahoma"/>
          <w:color w:val="FF6600"/>
        </w:rPr>
        <w:t>ALTERAÇÕES EM MARÇO DE 2013</w:t>
      </w:r>
      <w:bookmarkEnd w:id="576"/>
    </w:p>
    <w:p w:rsidR="004759C6" w:rsidRPr="00A578AF" w:rsidRDefault="004759C6" w:rsidP="004759C6">
      <w:pPr>
        <w:pStyle w:val="Heading2"/>
        <w:ind w:left="0"/>
        <w:jc w:val="both"/>
        <w:rPr>
          <w:rFonts w:ascii="Tahoma" w:hAnsi="Tahoma" w:cs="Tahoma"/>
          <w:sz w:val="18"/>
          <w:szCs w:val="18"/>
        </w:rPr>
      </w:pPr>
    </w:p>
    <w:p w:rsidR="0064651F" w:rsidRPr="004B208C" w:rsidRDefault="004759C6" w:rsidP="0064651F">
      <w:pPr>
        <w:spacing w:after="60"/>
        <w:rPr>
          <w:rFonts w:cs="Tahoma"/>
        </w:rPr>
      </w:pPr>
      <w:r w:rsidRPr="004B208C">
        <w:rPr>
          <w:rFonts w:cs="Tahoma"/>
          <w:b/>
        </w:rPr>
        <w:t>Adições</w:t>
      </w:r>
    </w:p>
    <w:p w:rsidR="006D5B20" w:rsidRPr="004B208C" w:rsidRDefault="006D5B20" w:rsidP="006D5B20">
      <w:pPr>
        <w:rPr>
          <w:rFonts w:cs="Tahoma"/>
        </w:rPr>
      </w:pPr>
      <w:r w:rsidRPr="004B208C">
        <w:rPr>
          <w:rFonts w:cs="Tahoma"/>
          <w:color w:val="000000"/>
          <w:szCs w:val="18"/>
        </w:rPr>
        <w:t>Arquivamento do Exchange Online para Exchange Online</w:t>
      </w:r>
    </w:p>
    <w:p w:rsidR="006D5B20" w:rsidRPr="004B208C" w:rsidRDefault="006D5B20" w:rsidP="006D5B20">
      <w:pPr>
        <w:rPr>
          <w:rFonts w:cs="Tahoma"/>
        </w:rPr>
      </w:pPr>
      <w:r w:rsidRPr="004B208C">
        <w:rPr>
          <w:rFonts w:cs="Tahoma"/>
          <w:color w:val="000000"/>
          <w:szCs w:val="18"/>
        </w:rPr>
        <w:t xml:space="preserve">Arquivamento do Exchange Online para Exchange Online A </w:t>
      </w:r>
    </w:p>
    <w:p w:rsidR="006D5B20" w:rsidRPr="004B208C" w:rsidRDefault="006D5B20" w:rsidP="006D5B20">
      <w:pPr>
        <w:rPr>
          <w:rFonts w:cs="Tahoma"/>
        </w:rPr>
      </w:pPr>
      <w:r w:rsidRPr="004B208C">
        <w:rPr>
          <w:rFonts w:cs="Tahoma"/>
          <w:color w:val="000000"/>
          <w:szCs w:val="18"/>
        </w:rPr>
        <w:t>Exchange Online Protection (SL de Usuário)</w:t>
      </w:r>
    </w:p>
    <w:p w:rsidR="00140B67" w:rsidRPr="004B208C" w:rsidRDefault="00140B67" w:rsidP="006D6A83">
      <w:pPr>
        <w:rPr>
          <w:rFonts w:cs="Tahoma"/>
        </w:rPr>
      </w:pPr>
      <w:r w:rsidRPr="004B208C">
        <w:rPr>
          <w:rFonts w:cs="Tahoma"/>
          <w:color w:val="000000"/>
          <w:szCs w:val="18"/>
        </w:rPr>
        <w:t>Office 365 Midsize Business (SL de Usuário)</w:t>
      </w:r>
    </w:p>
    <w:p w:rsidR="00170CFB" w:rsidRPr="004B208C" w:rsidRDefault="006D5B20" w:rsidP="006D6A83">
      <w:pPr>
        <w:rPr>
          <w:rFonts w:cs="Tahoma"/>
        </w:rPr>
      </w:pPr>
      <w:r w:rsidRPr="004B208C">
        <w:rPr>
          <w:rFonts w:cs="Tahoma"/>
          <w:color w:val="000000"/>
          <w:szCs w:val="18"/>
        </w:rPr>
        <w:t>Office 365 Plano E1 (SL de Usuário) SQL Server</w:t>
      </w:r>
      <w:r w:rsidR="00172F11" w:rsidRPr="00172F11">
        <w:rPr>
          <w:rFonts w:cs="Tahoma"/>
          <w:color w:val="000000"/>
          <w:szCs w:val="18"/>
          <w:vertAlign w:val="superscript"/>
        </w:rPr>
        <w:t>®</w:t>
      </w:r>
      <w:r w:rsidRPr="004B208C">
        <w:rPr>
          <w:rFonts w:cs="Tahoma"/>
          <w:color w:val="000000"/>
          <w:szCs w:val="18"/>
        </w:rPr>
        <w:t xml:space="preserve"> 2012 Parallel Data Warehouse</w:t>
      </w:r>
    </w:p>
    <w:p w:rsidR="006D5B20" w:rsidRPr="004B208C" w:rsidRDefault="006D5B20" w:rsidP="006D5B20">
      <w:pPr>
        <w:rPr>
          <w:rFonts w:cs="Tahoma"/>
        </w:rPr>
      </w:pPr>
      <w:r w:rsidRPr="004B208C">
        <w:rPr>
          <w:rFonts w:cs="Tahoma"/>
          <w:color w:val="000000"/>
          <w:szCs w:val="18"/>
        </w:rPr>
        <w:t xml:space="preserve">Project Online </w:t>
      </w:r>
    </w:p>
    <w:p w:rsidR="006D5B20" w:rsidRPr="004B208C" w:rsidRDefault="006D5B20" w:rsidP="006D5B20">
      <w:pPr>
        <w:rPr>
          <w:rFonts w:cs="Tahoma"/>
        </w:rPr>
      </w:pPr>
      <w:r w:rsidRPr="004B208C">
        <w:rPr>
          <w:rFonts w:cs="Tahoma"/>
          <w:color w:val="000000"/>
          <w:szCs w:val="18"/>
        </w:rPr>
        <w:t>Project Online A</w:t>
      </w:r>
      <w:r w:rsidR="00172F11">
        <w:rPr>
          <w:rFonts w:cs="Tahoma"/>
          <w:color w:val="000000"/>
          <w:szCs w:val="18"/>
        </w:rPr>
        <w:t xml:space="preserve"> </w:t>
      </w:r>
    </w:p>
    <w:p w:rsidR="006D5B20" w:rsidRPr="004B208C" w:rsidRDefault="006D5B20" w:rsidP="006D5B20">
      <w:pPr>
        <w:rPr>
          <w:rFonts w:cs="Tahoma"/>
        </w:rPr>
      </w:pPr>
      <w:r w:rsidRPr="004B208C">
        <w:rPr>
          <w:rFonts w:cs="Tahoma"/>
          <w:color w:val="000000"/>
          <w:szCs w:val="18"/>
        </w:rPr>
        <w:t xml:space="preserve">Project Pro para Office 365 </w:t>
      </w:r>
    </w:p>
    <w:p w:rsidR="006D5B20" w:rsidRPr="004B208C" w:rsidRDefault="006D5B20" w:rsidP="006D5B20">
      <w:pPr>
        <w:rPr>
          <w:rFonts w:cs="Tahoma"/>
        </w:rPr>
      </w:pPr>
      <w:r w:rsidRPr="004B208C">
        <w:rPr>
          <w:rFonts w:cs="Tahoma"/>
          <w:color w:val="000000"/>
          <w:szCs w:val="18"/>
        </w:rPr>
        <w:t>Project Pro para Office 365 A</w:t>
      </w:r>
      <w:r w:rsidR="00172F11">
        <w:rPr>
          <w:rFonts w:cs="Tahoma"/>
          <w:color w:val="000000"/>
          <w:szCs w:val="18"/>
        </w:rPr>
        <w:t xml:space="preserve"> </w:t>
      </w:r>
    </w:p>
    <w:p w:rsidR="00170CFB" w:rsidRPr="004B208C" w:rsidRDefault="00170CFB" w:rsidP="006D6A83">
      <w:pPr>
        <w:rPr>
          <w:rFonts w:cs="Tahoma"/>
        </w:rPr>
      </w:pPr>
      <w:r w:rsidRPr="004B208C">
        <w:rPr>
          <w:rFonts w:cs="Tahoma"/>
          <w:color w:val="000000"/>
          <w:szCs w:val="18"/>
        </w:rPr>
        <w:t>SQL Server</w:t>
      </w:r>
      <w:r w:rsidR="00172F11" w:rsidRPr="00172F11">
        <w:rPr>
          <w:rFonts w:cs="Tahoma"/>
          <w:color w:val="000000"/>
          <w:szCs w:val="18"/>
          <w:vertAlign w:val="superscript"/>
        </w:rPr>
        <w:t>®</w:t>
      </w:r>
      <w:r w:rsidRPr="004B208C">
        <w:rPr>
          <w:rFonts w:cs="Tahoma"/>
          <w:color w:val="000000"/>
          <w:szCs w:val="18"/>
        </w:rPr>
        <w:t xml:space="preserve"> 2012 Parallel Data Warehouse Developer</w:t>
      </w:r>
    </w:p>
    <w:p w:rsidR="00170CFB" w:rsidRPr="004B208C" w:rsidRDefault="00170CFB" w:rsidP="006D6A83">
      <w:pPr>
        <w:rPr>
          <w:rFonts w:cs="Tahoma"/>
        </w:rPr>
      </w:pPr>
      <w:r w:rsidRPr="004B208C">
        <w:rPr>
          <w:rFonts w:cs="Tahoma"/>
          <w:color w:val="000000"/>
          <w:szCs w:val="18"/>
        </w:rPr>
        <w:t>Visio Pro para Office 365 A</w:t>
      </w:r>
      <w:r w:rsidR="00172F11">
        <w:rPr>
          <w:rFonts w:cs="Tahoma"/>
          <w:color w:val="000000"/>
          <w:szCs w:val="18"/>
        </w:rPr>
        <w:t xml:space="preserve"> </w:t>
      </w:r>
    </w:p>
    <w:p w:rsidR="00170CFB" w:rsidRPr="004B208C" w:rsidRDefault="00170CFB" w:rsidP="006D6A83">
      <w:pPr>
        <w:rPr>
          <w:rFonts w:cs="Tahoma"/>
        </w:rPr>
      </w:pPr>
      <w:r w:rsidRPr="004B208C">
        <w:rPr>
          <w:rFonts w:cs="Tahoma"/>
          <w:color w:val="000000"/>
          <w:szCs w:val="18"/>
        </w:rPr>
        <w:t xml:space="preserve">Visio Pro para Office 365 </w:t>
      </w:r>
    </w:p>
    <w:p w:rsidR="00170CFB" w:rsidRPr="004B208C" w:rsidRDefault="00170CFB" w:rsidP="006D6A83">
      <w:pPr>
        <w:rPr>
          <w:rFonts w:cs="Tahoma"/>
        </w:rPr>
      </w:pPr>
      <w:r w:rsidRPr="004B208C">
        <w:rPr>
          <w:rFonts w:cs="Tahoma"/>
          <w:color w:val="000000"/>
          <w:szCs w:val="18"/>
        </w:rPr>
        <w:t xml:space="preserve">Yammer Enterprise </w:t>
      </w:r>
    </w:p>
    <w:p w:rsidR="004759C6" w:rsidRPr="004B208C" w:rsidRDefault="004759C6" w:rsidP="004759C6">
      <w:pPr>
        <w:keepNext/>
        <w:tabs>
          <w:tab w:val="num" w:pos="720"/>
        </w:tabs>
        <w:outlineLvl w:val="3"/>
        <w:rPr>
          <w:rFonts w:cs="Tahoma"/>
        </w:rPr>
      </w:pPr>
    </w:p>
    <w:p w:rsidR="004759C6" w:rsidRPr="004B208C" w:rsidRDefault="004759C6" w:rsidP="004759C6">
      <w:pPr>
        <w:spacing w:after="60"/>
        <w:rPr>
          <w:rFonts w:cs="Tahoma"/>
        </w:rPr>
      </w:pPr>
      <w:r w:rsidRPr="004B208C">
        <w:rPr>
          <w:rFonts w:cs="Tahoma"/>
          <w:b/>
        </w:rPr>
        <w:t>Alterações</w:t>
      </w:r>
    </w:p>
    <w:p w:rsidR="00497ADA" w:rsidRPr="004B208C" w:rsidRDefault="001B413E" w:rsidP="006D5B20">
      <w:pPr>
        <w:rPr>
          <w:rFonts w:cs="Tahoma"/>
        </w:rPr>
      </w:pPr>
      <w:r w:rsidRPr="004B208C">
        <w:rPr>
          <w:rFonts w:cs="Tahoma"/>
          <w:color w:val="000000"/>
          <w:szCs w:val="18"/>
        </w:rPr>
        <w:t>Microsoft Dynamics CRM Online</w:t>
      </w:r>
    </w:p>
    <w:p w:rsidR="006D5B20" w:rsidRPr="004B208C" w:rsidRDefault="006D5B20" w:rsidP="006D5B20">
      <w:pPr>
        <w:rPr>
          <w:rFonts w:cs="Tahoma"/>
        </w:rPr>
      </w:pPr>
      <w:r w:rsidRPr="004B208C">
        <w:rPr>
          <w:rFonts w:cs="Tahoma"/>
          <w:color w:val="000000"/>
          <w:szCs w:val="18"/>
        </w:rPr>
        <w:t>Arquivamento do Exchange Online para Exchange Server</w:t>
      </w:r>
    </w:p>
    <w:p w:rsidR="006D5B20" w:rsidRPr="004B208C" w:rsidRDefault="006D5B20" w:rsidP="006D5B20">
      <w:pPr>
        <w:rPr>
          <w:rFonts w:cs="Tahoma"/>
        </w:rPr>
      </w:pPr>
      <w:r w:rsidRPr="004B208C">
        <w:rPr>
          <w:rFonts w:cs="Tahoma"/>
          <w:color w:val="000000"/>
          <w:szCs w:val="18"/>
        </w:rPr>
        <w:t>Exchange Online Plano 1 (SL de Usuário)</w:t>
      </w:r>
    </w:p>
    <w:p w:rsidR="006D5B20" w:rsidRPr="004B208C" w:rsidRDefault="006D5B20" w:rsidP="006D5B20">
      <w:pPr>
        <w:rPr>
          <w:rFonts w:cs="Tahoma"/>
        </w:rPr>
      </w:pPr>
      <w:r w:rsidRPr="004B208C">
        <w:rPr>
          <w:rFonts w:cs="Tahoma"/>
          <w:color w:val="000000"/>
          <w:szCs w:val="18"/>
        </w:rPr>
        <w:t>Exchange Online Plano 2 (SL de Usuário)</w:t>
      </w:r>
    </w:p>
    <w:p w:rsidR="006D5B20" w:rsidRPr="004B208C" w:rsidRDefault="006D5B20" w:rsidP="006D5B20">
      <w:pPr>
        <w:rPr>
          <w:rFonts w:cs="Tahoma"/>
        </w:rPr>
      </w:pPr>
      <w:r w:rsidRPr="004B208C">
        <w:rPr>
          <w:rFonts w:cs="Tahoma"/>
          <w:color w:val="000000"/>
          <w:szCs w:val="18"/>
        </w:rPr>
        <w:t>Exchange Online Plano 1A para Alunos (SL do Usuário)</w:t>
      </w:r>
    </w:p>
    <w:p w:rsidR="006D5B20" w:rsidRPr="004B208C" w:rsidRDefault="006D5B20" w:rsidP="006D5B20">
      <w:pPr>
        <w:rPr>
          <w:rFonts w:cs="Tahoma"/>
        </w:rPr>
      </w:pPr>
      <w:r w:rsidRPr="004B208C">
        <w:rPr>
          <w:rFonts w:cs="Tahoma"/>
          <w:color w:val="000000"/>
          <w:szCs w:val="18"/>
        </w:rPr>
        <w:t>Exchange Online Plano 2A (SL de Usuário)</w:t>
      </w:r>
    </w:p>
    <w:p w:rsidR="006D5B20" w:rsidRPr="004B208C" w:rsidRDefault="006D5B20" w:rsidP="006D5B20">
      <w:pPr>
        <w:rPr>
          <w:rFonts w:cs="Tahoma"/>
        </w:rPr>
      </w:pPr>
      <w:r w:rsidRPr="004B208C">
        <w:rPr>
          <w:rFonts w:cs="Tahoma"/>
          <w:color w:val="000000"/>
          <w:szCs w:val="18"/>
        </w:rPr>
        <w:t>Lync Online Plano 3A (SL de Usuário)</w:t>
      </w:r>
    </w:p>
    <w:p w:rsidR="00497ADA" w:rsidRPr="004B208C" w:rsidRDefault="00497ADA" w:rsidP="006D5B20">
      <w:pPr>
        <w:rPr>
          <w:rFonts w:cs="Tahoma"/>
        </w:rPr>
      </w:pPr>
      <w:r w:rsidRPr="004B208C">
        <w:rPr>
          <w:rFonts w:cs="Tahoma"/>
          <w:color w:val="000000"/>
          <w:szCs w:val="18"/>
        </w:rPr>
        <w:t>Microsoft Dynamics CRM 2011 Server</w:t>
      </w:r>
    </w:p>
    <w:p w:rsidR="006D5B20" w:rsidRPr="004B208C" w:rsidRDefault="006D5B20" w:rsidP="006D5B20">
      <w:pPr>
        <w:rPr>
          <w:rFonts w:cs="Tahoma"/>
        </w:rPr>
      </w:pPr>
      <w:r w:rsidRPr="004B208C">
        <w:rPr>
          <w:rFonts w:cs="Tahoma"/>
          <w:color w:val="000000"/>
          <w:szCs w:val="18"/>
        </w:rPr>
        <w:t>Ofertas de Suporte do Microsoft Windows Azure</w:t>
      </w:r>
    </w:p>
    <w:p w:rsidR="006D5B20" w:rsidRPr="004B208C" w:rsidRDefault="006D5B20" w:rsidP="006D5B20">
      <w:pPr>
        <w:rPr>
          <w:rFonts w:cs="Tahoma"/>
        </w:rPr>
      </w:pPr>
      <w:r w:rsidRPr="004B208C">
        <w:rPr>
          <w:rFonts w:cs="Tahoma"/>
          <w:color w:val="000000"/>
          <w:szCs w:val="18"/>
        </w:rPr>
        <w:t>Office 365 A2 (SL de Usuário)</w:t>
      </w:r>
    </w:p>
    <w:p w:rsidR="006D5B20" w:rsidRPr="004B208C" w:rsidRDefault="006D5B20" w:rsidP="006D5B20">
      <w:pPr>
        <w:rPr>
          <w:rFonts w:cs="Tahoma"/>
        </w:rPr>
      </w:pPr>
      <w:r w:rsidRPr="004B208C">
        <w:rPr>
          <w:rFonts w:cs="Tahoma"/>
          <w:color w:val="000000"/>
          <w:szCs w:val="18"/>
        </w:rPr>
        <w:t>Office 365 A3 (SL de Usuário)</w:t>
      </w:r>
    </w:p>
    <w:p w:rsidR="006D5B20" w:rsidRPr="004B208C" w:rsidRDefault="006D5B20" w:rsidP="006D5B20">
      <w:pPr>
        <w:rPr>
          <w:rFonts w:cs="Tahoma"/>
        </w:rPr>
      </w:pPr>
      <w:r w:rsidRPr="004B208C">
        <w:rPr>
          <w:rFonts w:cs="Tahoma"/>
          <w:color w:val="000000"/>
          <w:szCs w:val="18"/>
        </w:rPr>
        <w:t>Office 365 A4 (SL de Usuário)</w:t>
      </w:r>
    </w:p>
    <w:p w:rsidR="006D5B20" w:rsidRPr="004B208C" w:rsidRDefault="006D5B20" w:rsidP="006D5B20">
      <w:pPr>
        <w:rPr>
          <w:rFonts w:cs="Tahoma"/>
        </w:rPr>
      </w:pPr>
      <w:r w:rsidRPr="004B208C">
        <w:rPr>
          <w:rFonts w:cs="Tahoma"/>
          <w:color w:val="000000"/>
          <w:szCs w:val="18"/>
        </w:rPr>
        <w:t>Assinatura A do Office Professional Plus (SL de Usuário)</w:t>
      </w:r>
    </w:p>
    <w:p w:rsidR="006D5B20" w:rsidRPr="004B208C" w:rsidRDefault="006D5B20" w:rsidP="006D5B20">
      <w:pPr>
        <w:rPr>
          <w:rFonts w:cs="Tahoma"/>
        </w:rPr>
      </w:pPr>
      <w:r w:rsidRPr="004B208C">
        <w:rPr>
          <w:rFonts w:cs="Tahoma"/>
          <w:color w:val="000000"/>
          <w:szCs w:val="18"/>
        </w:rPr>
        <w:t>Aplicativos da Web do Office com SharePoint Plano 2A (SL do Usuário)</w:t>
      </w:r>
    </w:p>
    <w:p w:rsidR="006D5B20" w:rsidRPr="004B208C" w:rsidRDefault="006D5B20" w:rsidP="006D6A83">
      <w:pPr>
        <w:rPr>
          <w:rFonts w:cs="Tahoma"/>
        </w:rPr>
      </w:pPr>
      <w:r w:rsidRPr="004B208C">
        <w:rPr>
          <w:rFonts w:cs="Tahoma"/>
          <w:color w:val="000000"/>
          <w:szCs w:val="18"/>
        </w:rPr>
        <w:t>Armazenamento Extra do SharePoint™ Online de A 1 GB (SL Complementar)</w:t>
      </w:r>
    </w:p>
    <w:p w:rsidR="00170CFB" w:rsidRPr="004B208C" w:rsidRDefault="00170CFB" w:rsidP="006D6A83">
      <w:pPr>
        <w:rPr>
          <w:rFonts w:cs="Tahoma"/>
        </w:rPr>
      </w:pPr>
      <w:r w:rsidRPr="004B208C">
        <w:rPr>
          <w:rFonts w:cs="Tahoma"/>
          <w:color w:val="000000"/>
          <w:szCs w:val="18"/>
        </w:rPr>
        <w:t>Licença de Gerenciamento de Servidor Enterprise do System Center Configuration Manager 2007 R3</w:t>
      </w:r>
    </w:p>
    <w:p w:rsidR="00170CFB" w:rsidRPr="004B208C" w:rsidRDefault="00170CFB" w:rsidP="006D6A83">
      <w:pPr>
        <w:rPr>
          <w:rFonts w:cs="Tahoma"/>
        </w:rPr>
      </w:pPr>
      <w:r w:rsidRPr="004B208C">
        <w:rPr>
          <w:rFonts w:cs="Tahoma"/>
          <w:color w:val="000000"/>
          <w:szCs w:val="18"/>
        </w:rPr>
        <w:t>Licença de Gerenciamento de Servidor Standard (ML de Servidor Standard) do System Center Configuration Manager</w:t>
      </w:r>
      <w:r w:rsidR="00A578AF">
        <w:rPr>
          <w:rFonts w:cs="Tahoma"/>
          <w:color w:val="000000"/>
          <w:szCs w:val="18"/>
        </w:rPr>
        <w:t> </w:t>
      </w:r>
      <w:r w:rsidRPr="004B208C">
        <w:rPr>
          <w:rFonts w:cs="Tahoma"/>
          <w:color w:val="000000"/>
          <w:szCs w:val="18"/>
        </w:rPr>
        <w:t>2007 R3</w:t>
      </w:r>
    </w:p>
    <w:p w:rsidR="00170CFB" w:rsidRPr="004B208C" w:rsidRDefault="00170CFB" w:rsidP="006D6A83">
      <w:pPr>
        <w:rPr>
          <w:rFonts w:cs="Tahoma"/>
        </w:rPr>
      </w:pPr>
      <w:r w:rsidRPr="004B208C">
        <w:rPr>
          <w:rFonts w:cs="Tahoma"/>
          <w:color w:val="000000"/>
          <w:szCs w:val="18"/>
        </w:rPr>
        <w:t>Licença de Gerenciamento de Servidor Enterprise do System Center Data Protection Manager 2010</w:t>
      </w:r>
    </w:p>
    <w:p w:rsidR="00170CFB" w:rsidRPr="004B208C" w:rsidRDefault="00170CFB" w:rsidP="006D6A83">
      <w:pPr>
        <w:rPr>
          <w:rFonts w:cs="Tahoma"/>
        </w:rPr>
      </w:pPr>
      <w:r w:rsidRPr="004B208C">
        <w:rPr>
          <w:rFonts w:cs="Tahoma"/>
          <w:color w:val="000000"/>
          <w:szCs w:val="18"/>
        </w:rPr>
        <w:t>Licença de Gerenciamento de Servidor Standard do System Center Data Protection Manager 2010</w:t>
      </w:r>
    </w:p>
    <w:p w:rsidR="00170CFB" w:rsidRPr="004B208C" w:rsidRDefault="00170CFB" w:rsidP="006D6A83">
      <w:pPr>
        <w:rPr>
          <w:rFonts w:cs="Tahoma"/>
        </w:rPr>
      </w:pPr>
      <w:r w:rsidRPr="004B208C">
        <w:rPr>
          <w:rFonts w:cs="Tahoma"/>
          <w:color w:val="000000"/>
          <w:szCs w:val="18"/>
        </w:rPr>
        <w:t>Licença de Gerenciamento de Cliente do System Center Operations Manager 2007 R2 por Usuário</w:t>
      </w:r>
    </w:p>
    <w:p w:rsidR="00170CFB" w:rsidRPr="004B208C" w:rsidRDefault="00170CFB" w:rsidP="006D6A83">
      <w:pPr>
        <w:rPr>
          <w:rFonts w:cs="Tahoma"/>
        </w:rPr>
      </w:pPr>
      <w:r w:rsidRPr="004B208C">
        <w:rPr>
          <w:rFonts w:cs="Tahoma"/>
          <w:color w:val="000000"/>
          <w:szCs w:val="18"/>
        </w:rPr>
        <w:t>Licença de Gerenciamento de Cliente do System Center Operations Manager 2007 R2 por OSE</w:t>
      </w:r>
    </w:p>
    <w:p w:rsidR="00170CFB" w:rsidRPr="004B208C" w:rsidRDefault="00170CFB" w:rsidP="006D6A83">
      <w:pPr>
        <w:rPr>
          <w:rFonts w:cs="Tahoma"/>
        </w:rPr>
      </w:pPr>
      <w:r w:rsidRPr="004B208C">
        <w:rPr>
          <w:rFonts w:cs="Tahoma"/>
          <w:color w:val="000000"/>
          <w:szCs w:val="18"/>
        </w:rPr>
        <w:t>Licença de Gerenciamento de Servidor Enterprise do System Center Operations Manager 2007 R2</w:t>
      </w:r>
    </w:p>
    <w:p w:rsidR="00170CFB" w:rsidRPr="004B208C" w:rsidRDefault="00170CFB" w:rsidP="006D6A83">
      <w:pPr>
        <w:rPr>
          <w:rFonts w:cs="Tahoma"/>
        </w:rPr>
      </w:pPr>
      <w:r w:rsidRPr="004B208C">
        <w:rPr>
          <w:rFonts w:cs="Tahoma"/>
          <w:color w:val="000000"/>
          <w:szCs w:val="18"/>
        </w:rPr>
        <w:t>Licença de Gerenciamento de Servidor Standard do System Center Operations Manager 2007 R2</w:t>
      </w:r>
    </w:p>
    <w:p w:rsidR="00170CFB" w:rsidRPr="004B208C" w:rsidRDefault="00170CFB" w:rsidP="006D6A83">
      <w:pPr>
        <w:rPr>
          <w:rFonts w:cs="Tahoma"/>
        </w:rPr>
      </w:pPr>
      <w:r w:rsidRPr="004B208C">
        <w:rPr>
          <w:rFonts w:cs="Tahoma"/>
          <w:color w:val="000000"/>
          <w:szCs w:val="18"/>
        </w:rPr>
        <w:lastRenderedPageBreak/>
        <w:t>Licença de Gerenciamento de Cliente (ML de Cliente) do System Center Service Manager 2010 por Usuário</w:t>
      </w:r>
    </w:p>
    <w:p w:rsidR="00170CFB" w:rsidRPr="004B208C" w:rsidRDefault="00170CFB" w:rsidP="006D6A83">
      <w:pPr>
        <w:rPr>
          <w:rFonts w:cs="Tahoma"/>
        </w:rPr>
      </w:pPr>
      <w:r w:rsidRPr="004B208C">
        <w:rPr>
          <w:rFonts w:cs="Tahoma"/>
          <w:color w:val="000000"/>
          <w:szCs w:val="18"/>
        </w:rPr>
        <w:t>Licença de Gerenciamento de Cliente (ML de Cliente) do System Center Service Manager 2010 por OSE</w:t>
      </w:r>
    </w:p>
    <w:p w:rsidR="00170CFB" w:rsidRPr="004B208C" w:rsidRDefault="00170CFB" w:rsidP="006D6A83">
      <w:pPr>
        <w:rPr>
          <w:rFonts w:cs="Tahoma"/>
        </w:rPr>
      </w:pPr>
      <w:r w:rsidRPr="004B208C">
        <w:rPr>
          <w:rFonts w:cs="Tahoma"/>
          <w:color w:val="000000"/>
          <w:szCs w:val="18"/>
        </w:rPr>
        <w:t>Licença de Gerenciamento de Servidor (ML de Servidor) do System Center Service Manager 2010 por OSE</w:t>
      </w:r>
    </w:p>
    <w:p w:rsidR="00170CFB" w:rsidRPr="004B208C" w:rsidRDefault="00170CFB" w:rsidP="006D6A83">
      <w:pPr>
        <w:rPr>
          <w:rFonts w:cs="Tahoma"/>
        </w:rPr>
      </w:pPr>
      <w:r w:rsidRPr="004B208C">
        <w:rPr>
          <w:rFonts w:cs="Tahoma"/>
          <w:color w:val="000000"/>
          <w:szCs w:val="18"/>
        </w:rPr>
        <w:t>Licença de Gerenciamento de Cliente do System Center Virtual Machine Manager 2008 R2 por Usuário</w:t>
      </w:r>
    </w:p>
    <w:p w:rsidR="00170CFB" w:rsidRPr="004B208C" w:rsidRDefault="00170CFB" w:rsidP="006D6A83">
      <w:pPr>
        <w:rPr>
          <w:rFonts w:cs="Tahoma"/>
        </w:rPr>
      </w:pPr>
      <w:r w:rsidRPr="004B208C">
        <w:rPr>
          <w:rFonts w:cs="Tahoma"/>
          <w:color w:val="000000"/>
          <w:szCs w:val="18"/>
        </w:rPr>
        <w:t>Licença de Gerenciamento de Cliente do System Center Virtual Machine Manager 2008 R2 por OSE</w:t>
      </w:r>
    </w:p>
    <w:p w:rsidR="00170CFB" w:rsidRPr="004B208C" w:rsidRDefault="00170CFB" w:rsidP="006D6A83">
      <w:pPr>
        <w:rPr>
          <w:rFonts w:cs="Tahoma"/>
        </w:rPr>
      </w:pPr>
      <w:r w:rsidRPr="004B208C">
        <w:rPr>
          <w:rFonts w:cs="Tahoma"/>
          <w:color w:val="000000"/>
          <w:szCs w:val="18"/>
        </w:rPr>
        <w:t>Licença de Gerenciamento de Servidor Enterprise do System Center Virtual Machine Manager 2008 R2</w:t>
      </w:r>
    </w:p>
    <w:p w:rsidR="0064651F" w:rsidRPr="004B208C" w:rsidRDefault="00497ADA">
      <w:pPr>
        <w:rPr>
          <w:rFonts w:cs="Tahoma"/>
        </w:rPr>
      </w:pPr>
      <w:r w:rsidRPr="004B208C">
        <w:rPr>
          <w:rFonts w:cs="Tahoma"/>
          <w:color w:val="000000"/>
          <w:szCs w:val="18"/>
        </w:rPr>
        <w:t>SL de Usuário do Windows Intune</w:t>
      </w:r>
    </w:p>
    <w:p w:rsidR="0064651F" w:rsidRPr="004B208C" w:rsidRDefault="0064651F">
      <w:pPr>
        <w:rPr>
          <w:rFonts w:cs="Tahoma"/>
        </w:rPr>
      </w:pPr>
    </w:p>
    <w:p w:rsidR="004759C6" w:rsidRPr="004B208C" w:rsidRDefault="004759C6" w:rsidP="0064651F">
      <w:pPr>
        <w:keepNext/>
        <w:tabs>
          <w:tab w:val="num" w:pos="720"/>
        </w:tabs>
        <w:spacing w:after="60"/>
        <w:outlineLvl w:val="3"/>
        <w:rPr>
          <w:rFonts w:cs="Tahoma"/>
        </w:rPr>
      </w:pPr>
      <w:r w:rsidRPr="004B208C">
        <w:rPr>
          <w:rFonts w:cs="Tahoma"/>
          <w:b/>
        </w:rPr>
        <w:t>Exclusões</w:t>
      </w:r>
    </w:p>
    <w:p w:rsidR="006D5B20" w:rsidRPr="004B208C" w:rsidRDefault="006D5B20" w:rsidP="006D5B20">
      <w:pPr>
        <w:rPr>
          <w:rFonts w:cs="Tahoma"/>
        </w:rPr>
      </w:pPr>
      <w:r w:rsidRPr="004B208C">
        <w:rPr>
          <w:rFonts w:cs="Tahoma"/>
          <w:color w:val="000000"/>
          <w:szCs w:val="18"/>
        </w:rPr>
        <w:t>Expression Studio Professional 4</w:t>
      </w:r>
    </w:p>
    <w:p w:rsidR="006D5B20" w:rsidRPr="004B208C" w:rsidRDefault="006D5B20" w:rsidP="006D5B20">
      <w:pPr>
        <w:rPr>
          <w:rFonts w:cs="Tahoma"/>
        </w:rPr>
      </w:pPr>
      <w:r w:rsidRPr="004B208C">
        <w:rPr>
          <w:rFonts w:cs="Tahoma"/>
          <w:color w:val="000000"/>
          <w:szCs w:val="18"/>
        </w:rPr>
        <w:t>Expression Studio Ultimate 4</w:t>
      </w:r>
    </w:p>
    <w:p w:rsidR="006D5B20" w:rsidRPr="004B208C" w:rsidRDefault="006D5B20" w:rsidP="006D5B20">
      <w:pPr>
        <w:rPr>
          <w:rFonts w:cs="Tahoma"/>
        </w:rPr>
      </w:pPr>
      <w:r w:rsidRPr="004B208C">
        <w:rPr>
          <w:rFonts w:cs="Tahoma"/>
          <w:color w:val="000000"/>
          <w:szCs w:val="18"/>
        </w:rPr>
        <w:t>Aplicativos da Web do Office A (SL do Usuário)</w:t>
      </w:r>
    </w:p>
    <w:p w:rsidR="006D5B20" w:rsidRPr="004B208C" w:rsidRDefault="006D5B20" w:rsidP="006D5B20">
      <w:pPr>
        <w:rPr>
          <w:rFonts w:cs="Tahoma"/>
        </w:rPr>
      </w:pPr>
      <w:r w:rsidRPr="004B208C">
        <w:rPr>
          <w:rFonts w:cs="Tahoma"/>
          <w:color w:val="000000"/>
          <w:szCs w:val="18"/>
        </w:rPr>
        <w:t>SQL Server</w:t>
      </w:r>
      <w:r w:rsidR="00172F11" w:rsidRPr="00172F11">
        <w:rPr>
          <w:rFonts w:cs="Tahoma"/>
          <w:color w:val="000000"/>
          <w:szCs w:val="18"/>
          <w:vertAlign w:val="superscript"/>
        </w:rPr>
        <w:t>®</w:t>
      </w:r>
      <w:r w:rsidRPr="004B208C">
        <w:rPr>
          <w:rFonts w:cs="Tahoma"/>
          <w:color w:val="000000"/>
          <w:szCs w:val="18"/>
        </w:rPr>
        <w:t xml:space="preserve"> 2008 R2 Parallel Data Warehouse</w:t>
      </w:r>
    </w:p>
    <w:p w:rsidR="006D5B20" w:rsidRPr="004B208C" w:rsidRDefault="006D5B20" w:rsidP="006D5B20">
      <w:pPr>
        <w:rPr>
          <w:rFonts w:cs="Tahoma"/>
        </w:rPr>
      </w:pPr>
      <w:r w:rsidRPr="004B208C">
        <w:rPr>
          <w:rFonts w:cs="Tahoma"/>
          <w:color w:val="000000"/>
          <w:szCs w:val="18"/>
        </w:rPr>
        <w:t>SQL Server</w:t>
      </w:r>
      <w:r w:rsidR="00172F11" w:rsidRPr="00172F11">
        <w:rPr>
          <w:rFonts w:cs="Tahoma"/>
          <w:color w:val="000000"/>
          <w:szCs w:val="18"/>
          <w:vertAlign w:val="superscript"/>
        </w:rPr>
        <w:t>®</w:t>
      </w:r>
      <w:r w:rsidRPr="004B208C">
        <w:rPr>
          <w:rFonts w:cs="Tahoma"/>
          <w:color w:val="000000"/>
          <w:szCs w:val="18"/>
        </w:rPr>
        <w:t xml:space="preserve"> 2008 R2 Parallel Data Warehouse Developer</w:t>
      </w:r>
    </w:p>
    <w:p w:rsidR="00170CFB" w:rsidRPr="004B208C" w:rsidRDefault="00170CFB" w:rsidP="006D6A83">
      <w:pPr>
        <w:rPr>
          <w:rFonts w:cs="Tahoma"/>
        </w:rPr>
      </w:pPr>
      <w:r w:rsidRPr="004B208C">
        <w:rPr>
          <w:rFonts w:cs="Tahoma"/>
          <w:color w:val="000000"/>
          <w:szCs w:val="18"/>
        </w:rPr>
        <w:t>System Center Configuration Manager 2007 R3</w:t>
      </w:r>
    </w:p>
    <w:p w:rsidR="00170CFB" w:rsidRPr="004B208C" w:rsidRDefault="00170CFB" w:rsidP="006D6A83">
      <w:pPr>
        <w:rPr>
          <w:rFonts w:cs="Tahoma"/>
        </w:rPr>
      </w:pPr>
      <w:r w:rsidRPr="004B208C">
        <w:rPr>
          <w:rFonts w:cs="Tahoma"/>
          <w:color w:val="000000"/>
          <w:szCs w:val="18"/>
        </w:rPr>
        <w:t>System Center Configuration Manager 2007 R3 com Tecnologia SQL Server 2008</w:t>
      </w:r>
    </w:p>
    <w:p w:rsidR="00170CFB" w:rsidRPr="004B208C" w:rsidRDefault="00170CFB" w:rsidP="006D6A83">
      <w:pPr>
        <w:rPr>
          <w:rFonts w:cs="Tahoma"/>
        </w:rPr>
      </w:pPr>
      <w:r w:rsidRPr="004B208C">
        <w:rPr>
          <w:rFonts w:cs="Tahoma"/>
          <w:color w:val="000000"/>
          <w:szCs w:val="18"/>
        </w:rPr>
        <w:t>Licença de Gerenciamento de Cliente do System Center Data Protection Manager 2010 por Usuário</w:t>
      </w:r>
    </w:p>
    <w:p w:rsidR="00170CFB" w:rsidRPr="004B208C" w:rsidRDefault="00170CFB" w:rsidP="006D6A83">
      <w:pPr>
        <w:rPr>
          <w:rFonts w:cs="Tahoma"/>
        </w:rPr>
      </w:pPr>
      <w:r w:rsidRPr="004B208C">
        <w:rPr>
          <w:rFonts w:cs="Tahoma"/>
          <w:color w:val="000000"/>
          <w:szCs w:val="18"/>
        </w:rPr>
        <w:t>Licença de Gerenciamento de Cliente do System Center Data Protection Manager 2010 por OSE</w:t>
      </w:r>
    </w:p>
    <w:p w:rsidR="00170CFB" w:rsidRPr="004B208C" w:rsidRDefault="00170CFB" w:rsidP="006D6A83">
      <w:pPr>
        <w:rPr>
          <w:rFonts w:cs="Tahoma"/>
        </w:rPr>
      </w:pPr>
      <w:r w:rsidRPr="004B208C">
        <w:rPr>
          <w:rFonts w:cs="Tahoma"/>
          <w:color w:val="000000"/>
          <w:szCs w:val="18"/>
        </w:rPr>
        <w:t>System Center Operations Manager 2007 R2</w:t>
      </w:r>
    </w:p>
    <w:p w:rsidR="00170CFB" w:rsidRPr="004B208C" w:rsidRDefault="00170CFB" w:rsidP="006D6A83">
      <w:pPr>
        <w:rPr>
          <w:rFonts w:cs="Tahoma"/>
        </w:rPr>
      </w:pPr>
      <w:r w:rsidRPr="004B208C">
        <w:rPr>
          <w:rFonts w:cs="Tahoma"/>
          <w:color w:val="000000"/>
          <w:szCs w:val="18"/>
        </w:rPr>
        <w:t>System Center Operations Manager 2007 R2 com Tecnologia SQL Server 2008</w:t>
      </w:r>
    </w:p>
    <w:p w:rsidR="00170CFB" w:rsidRPr="004B208C" w:rsidRDefault="00170CFB" w:rsidP="006D6A83">
      <w:pPr>
        <w:rPr>
          <w:rFonts w:cs="Tahoma"/>
        </w:rPr>
      </w:pPr>
      <w:r w:rsidRPr="004B208C">
        <w:rPr>
          <w:rFonts w:cs="Tahoma"/>
          <w:color w:val="000000"/>
          <w:szCs w:val="18"/>
        </w:rPr>
        <w:t>System Center Service Manager 2010</w:t>
      </w:r>
    </w:p>
    <w:p w:rsidR="00170CFB" w:rsidRPr="004B208C" w:rsidRDefault="00170CFB" w:rsidP="006D6A83">
      <w:pPr>
        <w:rPr>
          <w:rFonts w:cs="Tahoma"/>
        </w:rPr>
      </w:pPr>
      <w:r w:rsidRPr="004B208C">
        <w:rPr>
          <w:rFonts w:cs="Tahoma"/>
          <w:color w:val="000000"/>
          <w:szCs w:val="18"/>
        </w:rPr>
        <w:t>System Center Service Manager 2010 com Tecnologia SQL Server 2008</w:t>
      </w:r>
    </w:p>
    <w:p w:rsidR="00170CFB" w:rsidRPr="004B208C" w:rsidRDefault="00170CFB" w:rsidP="006D6A83">
      <w:pPr>
        <w:rPr>
          <w:rFonts w:cs="Tahoma"/>
        </w:rPr>
      </w:pPr>
      <w:r w:rsidRPr="004B208C">
        <w:rPr>
          <w:rFonts w:cs="Tahoma"/>
          <w:color w:val="000000"/>
          <w:szCs w:val="18"/>
        </w:rPr>
        <w:t>System Center Essentials 2010</w:t>
      </w:r>
    </w:p>
    <w:p w:rsidR="00170CFB" w:rsidRPr="004B208C" w:rsidRDefault="00170CFB" w:rsidP="006D6A83">
      <w:pPr>
        <w:rPr>
          <w:rFonts w:cs="Tahoma"/>
        </w:rPr>
      </w:pPr>
      <w:r w:rsidRPr="004B208C">
        <w:rPr>
          <w:rFonts w:cs="Tahoma"/>
          <w:color w:val="000000"/>
          <w:szCs w:val="18"/>
        </w:rPr>
        <w:t>ML de Cliente do System Center Essentials 2010</w:t>
      </w:r>
    </w:p>
    <w:p w:rsidR="00170CFB" w:rsidRPr="004B208C" w:rsidRDefault="00170CFB" w:rsidP="006D6A83">
      <w:pPr>
        <w:rPr>
          <w:rFonts w:cs="Tahoma"/>
        </w:rPr>
      </w:pPr>
      <w:r w:rsidRPr="004B208C">
        <w:rPr>
          <w:rFonts w:cs="Tahoma"/>
          <w:color w:val="000000"/>
          <w:szCs w:val="18"/>
        </w:rPr>
        <w:t>ML de Servidor do System Center Essentials 2010</w:t>
      </w:r>
    </w:p>
    <w:p w:rsidR="00170CFB" w:rsidRPr="004B208C" w:rsidRDefault="00170CFB" w:rsidP="006D6A83">
      <w:pPr>
        <w:rPr>
          <w:rFonts w:cs="Tahoma"/>
        </w:rPr>
      </w:pPr>
      <w:r w:rsidRPr="004B208C">
        <w:rPr>
          <w:rFonts w:cs="Tahoma"/>
          <w:color w:val="000000"/>
          <w:szCs w:val="18"/>
        </w:rPr>
        <w:t xml:space="preserve">System Center Essentials 2010 com Tecnologia SQL Server 2008 </w:t>
      </w:r>
    </w:p>
    <w:p w:rsidR="00170CFB" w:rsidRPr="004B208C" w:rsidRDefault="00170CFB" w:rsidP="006D6A83">
      <w:pPr>
        <w:rPr>
          <w:rFonts w:cs="Tahoma"/>
        </w:rPr>
      </w:pPr>
      <w:r w:rsidRPr="004B208C">
        <w:rPr>
          <w:rFonts w:cs="Tahoma"/>
          <w:color w:val="000000"/>
          <w:szCs w:val="18"/>
        </w:rPr>
        <w:t>Management License Suite do System Center Essentials Plus 2010 Client</w:t>
      </w:r>
    </w:p>
    <w:p w:rsidR="00170CFB" w:rsidRPr="004B208C" w:rsidRDefault="00170CFB" w:rsidP="006D6A83">
      <w:pPr>
        <w:rPr>
          <w:rFonts w:cs="Tahoma"/>
        </w:rPr>
      </w:pPr>
      <w:r w:rsidRPr="004B208C">
        <w:rPr>
          <w:rFonts w:cs="Tahoma"/>
          <w:color w:val="000000"/>
          <w:szCs w:val="18"/>
        </w:rPr>
        <w:t>Management License Suite do System Center Essentials Plus 2010 Server</w:t>
      </w:r>
    </w:p>
    <w:p w:rsidR="00170CFB" w:rsidRPr="004B208C" w:rsidRDefault="00170CFB" w:rsidP="006D6A83">
      <w:pPr>
        <w:rPr>
          <w:rFonts w:cs="Tahoma"/>
        </w:rPr>
      </w:pPr>
      <w:r w:rsidRPr="004B208C">
        <w:rPr>
          <w:rFonts w:cs="Tahoma"/>
          <w:color w:val="000000"/>
          <w:szCs w:val="18"/>
        </w:rPr>
        <w:t>System Center Virtual Machine Manager 2008 R2 Workgroup Edition</w:t>
      </w:r>
    </w:p>
    <w:p w:rsidR="00170CFB" w:rsidRPr="004B208C" w:rsidRDefault="00170CFB" w:rsidP="006D6A83">
      <w:pPr>
        <w:rPr>
          <w:rFonts w:cs="Tahoma"/>
        </w:rPr>
      </w:pPr>
      <w:r w:rsidRPr="004B208C">
        <w:rPr>
          <w:rFonts w:cs="Tahoma"/>
          <w:color w:val="000000"/>
          <w:szCs w:val="18"/>
        </w:rPr>
        <w:t>External Connector do Visual Studio</w:t>
      </w:r>
      <w:r w:rsidR="00172F11" w:rsidRPr="00172F11">
        <w:rPr>
          <w:rFonts w:cs="Tahoma"/>
          <w:color w:val="000000"/>
          <w:szCs w:val="18"/>
          <w:vertAlign w:val="superscript"/>
        </w:rPr>
        <w:t>®</w:t>
      </w:r>
      <w:r w:rsidRPr="004B208C">
        <w:rPr>
          <w:rFonts w:cs="Tahoma"/>
          <w:color w:val="000000"/>
          <w:szCs w:val="18"/>
        </w:rPr>
        <w:t xml:space="preserve"> Team Foundation Server 2012</w:t>
      </w:r>
    </w:p>
    <w:p w:rsidR="004759C6" w:rsidRPr="004B208C" w:rsidRDefault="004759C6" w:rsidP="007E466C">
      <w:pPr>
        <w:rPr>
          <w:rFonts w:cs="Tahoma"/>
        </w:rPr>
      </w:pPr>
    </w:p>
    <w:p w:rsidR="0064651F" w:rsidRPr="004B208C" w:rsidRDefault="0064651F" w:rsidP="0064651F">
      <w:pPr>
        <w:rPr>
          <w:rFonts w:cs="Tahoma"/>
        </w:rPr>
      </w:pPr>
    </w:p>
    <w:p w:rsidR="00243B33" w:rsidRPr="004B208C" w:rsidRDefault="000225E7" w:rsidP="00243B33">
      <w:pPr>
        <w:pStyle w:val="Heading2"/>
        <w:ind w:left="0"/>
        <w:jc w:val="both"/>
        <w:rPr>
          <w:rFonts w:ascii="Tahoma" w:hAnsi="Tahoma" w:cs="Tahoma"/>
        </w:rPr>
      </w:pPr>
      <w:bookmarkStart w:id="577" w:name="_Toc370981292"/>
      <w:r w:rsidRPr="004B208C">
        <w:rPr>
          <w:rFonts w:ascii="Tahoma" w:hAnsi="Tahoma" w:cs="Tahoma"/>
          <w:color w:val="FF6600"/>
        </w:rPr>
        <w:t>ALTERAÇÕES EM FEVEREIRO DE 2013</w:t>
      </w:r>
      <w:bookmarkEnd w:id="577"/>
    </w:p>
    <w:p w:rsidR="00243B33" w:rsidRPr="00A578AF" w:rsidRDefault="00243B33" w:rsidP="00E06050">
      <w:pPr>
        <w:pStyle w:val="Heading2"/>
        <w:ind w:left="0"/>
        <w:jc w:val="both"/>
        <w:rPr>
          <w:rFonts w:ascii="Tahoma" w:hAnsi="Tahoma" w:cs="Tahoma"/>
          <w:sz w:val="18"/>
          <w:szCs w:val="18"/>
        </w:rPr>
      </w:pPr>
    </w:p>
    <w:p w:rsidR="00662A44" w:rsidRPr="004B208C" w:rsidRDefault="00662A44" w:rsidP="00662A44">
      <w:pPr>
        <w:spacing w:after="60"/>
        <w:rPr>
          <w:rFonts w:cs="Tahoma"/>
        </w:rPr>
      </w:pPr>
      <w:r w:rsidRPr="004B208C">
        <w:rPr>
          <w:rFonts w:cs="Tahoma"/>
          <w:b/>
        </w:rPr>
        <w:t>Adições</w:t>
      </w:r>
    </w:p>
    <w:p w:rsidR="00662A44" w:rsidRPr="004B208C" w:rsidRDefault="00662A44" w:rsidP="00662A44">
      <w:pPr>
        <w:rPr>
          <w:rFonts w:cs="Tahoma"/>
        </w:rPr>
      </w:pPr>
      <w:r w:rsidRPr="004B208C">
        <w:rPr>
          <w:rFonts w:cs="Tahoma"/>
          <w:color w:val="000000"/>
          <w:szCs w:val="18"/>
        </w:rPr>
        <w:t xml:space="preserve">CAL Empresarial Aditiva do Microsoft </w:t>
      </w:r>
      <w:r w:rsidRPr="004B208C">
        <w:rPr>
          <w:rFonts w:cs="Tahoma"/>
          <w:color w:val="000000"/>
          <w:szCs w:val="20"/>
        </w:rPr>
        <w:t>Dynamics AX 2012 R2 (Usuário e Dispositivo)</w:t>
      </w:r>
    </w:p>
    <w:p w:rsidR="00662A44" w:rsidRPr="004B208C" w:rsidRDefault="00662A44" w:rsidP="00662A44">
      <w:pPr>
        <w:rPr>
          <w:rFonts w:cs="Tahoma"/>
        </w:rPr>
      </w:pPr>
      <w:r w:rsidRPr="004B208C">
        <w:rPr>
          <w:rFonts w:cs="Tahoma"/>
          <w:color w:val="000000"/>
          <w:szCs w:val="18"/>
        </w:rPr>
        <w:t xml:space="preserve">CAL Empresarial do Microsoft </w:t>
      </w:r>
      <w:r w:rsidRPr="004B208C">
        <w:rPr>
          <w:rFonts w:cs="Tahoma"/>
          <w:color w:val="000000"/>
          <w:szCs w:val="20"/>
        </w:rPr>
        <w:t>Dynamics AX 2012 R2 (Usuário e Dispositivo)</w:t>
      </w:r>
    </w:p>
    <w:p w:rsidR="00662A44" w:rsidRPr="004B208C" w:rsidRDefault="00662A44" w:rsidP="00662A44">
      <w:pPr>
        <w:rPr>
          <w:rFonts w:cs="Tahoma"/>
        </w:rPr>
      </w:pPr>
      <w:r w:rsidRPr="004B208C">
        <w:rPr>
          <w:rFonts w:cs="Tahoma"/>
          <w:color w:val="000000"/>
          <w:szCs w:val="18"/>
        </w:rPr>
        <w:t xml:space="preserve">CAL Aditiva Funcional do Microsoft </w:t>
      </w:r>
      <w:r w:rsidRPr="004B208C">
        <w:rPr>
          <w:rFonts w:cs="Tahoma"/>
          <w:color w:val="000000"/>
          <w:szCs w:val="20"/>
        </w:rPr>
        <w:t>Dynamics AX 2012 R2 (Usuário e Dispositivo)</w:t>
      </w:r>
    </w:p>
    <w:p w:rsidR="00662A44" w:rsidRPr="004B208C" w:rsidRDefault="00662A44" w:rsidP="00662A44">
      <w:pPr>
        <w:rPr>
          <w:rFonts w:cs="Tahoma"/>
        </w:rPr>
      </w:pPr>
      <w:r w:rsidRPr="004B208C">
        <w:rPr>
          <w:rFonts w:cs="Tahoma"/>
          <w:color w:val="000000"/>
          <w:szCs w:val="18"/>
        </w:rPr>
        <w:t xml:space="preserve">CAL Funcional do Microsoft </w:t>
      </w:r>
      <w:r w:rsidRPr="004B208C">
        <w:rPr>
          <w:rFonts w:cs="Tahoma"/>
          <w:color w:val="000000"/>
          <w:szCs w:val="20"/>
        </w:rPr>
        <w:t>Dynamics AX 2012 R2 (Usuário e Dispositivo)</w:t>
      </w:r>
    </w:p>
    <w:p w:rsidR="00662A44" w:rsidRPr="004B208C" w:rsidRDefault="00662A44" w:rsidP="00662A44">
      <w:pPr>
        <w:rPr>
          <w:rFonts w:cs="Tahoma"/>
        </w:rPr>
      </w:pPr>
      <w:r w:rsidRPr="004B208C">
        <w:rPr>
          <w:rFonts w:cs="Tahoma"/>
          <w:color w:val="000000"/>
          <w:szCs w:val="18"/>
        </w:rPr>
        <w:t xml:space="preserve">CAL de Autoatendimento do Microsoft </w:t>
      </w:r>
      <w:r w:rsidRPr="004B208C">
        <w:rPr>
          <w:rFonts w:cs="Tahoma"/>
          <w:color w:val="000000"/>
          <w:szCs w:val="20"/>
        </w:rPr>
        <w:t>Dynamics AX 2012 R2 (Usuário e Dispositivo)</w:t>
      </w:r>
    </w:p>
    <w:p w:rsidR="00662A44" w:rsidRPr="004B208C" w:rsidRDefault="00662A44" w:rsidP="00662A44">
      <w:pPr>
        <w:rPr>
          <w:rFonts w:cs="Tahoma"/>
        </w:rPr>
      </w:pPr>
      <w:r w:rsidRPr="004B208C">
        <w:rPr>
          <w:rFonts w:cs="Tahoma"/>
          <w:color w:val="000000"/>
          <w:szCs w:val="18"/>
        </w:rPr>
        <w:t xml:space="preserve">Microsoft </w:t>
      </w:r>
      <w:r w:rsidRPr="004B208C">
        <w:rPr>
          <w:rFonts w:cs="Tahoma"/>
          <w:color w:val="000000"/>
          <w:szCs w:val="20"/>
        </w:rPr>
        <w:t>Dynamics AX 2012 R2 Server</w:t>
      </w:r>
    </w:p>
    <w:p w:rsidR="00662A44" w:rsidRPr="004B208C" w:rsidRDefault="00662A44" w:rsidP="00662A44">
      <w:pPr>
        <w:rPr>
          <w:rFonts w:cs="Tahoma"/>
        </w:rPr>
      </w:pPr>
      <w:r w:rsidRPr="004B208C">
        <w:rPr>
          <w:rFonts w:cs="Tahoma"/>
          <w:color w:val="000000"/>
          <w:szCs w:val="18"/>
        </w:rPr>
        <w:t xml:space="preserve">CAL Aditiva de Tarefa do Microsoft </w:t>
      </w:r>
      <w:r w:rsidRPr="004B208C">
        <w:rPr>
          <w:rFonts w:cs="Tahoma"/>
          <w:color w:val="000000"/>
          <w:szCs w:val="20"/>
        </w:rPr>
        <w:t>Dynamics AX 2012 R2 (Usuário e Dispositivo)</w:t>
      </w:r>
    </w:p>
    <w:p w:rsidR="00662A44" w:rsidRPr="004B208C" w:rsidRDefault="00662A44" w:rsidP="00662A44">
      <w:pPr>
        <w:keepNext/>
        <w:tabs>
          <w:tab w:val="num" w:pos="720"/>
        </w:tabs>
        <w:outlineLvl w:val="3"/>
        <w:rPr>
          <w:rFonts w:cs="Tahoma"/>
        </w:rPr>
      </w:pPr>
      <w:r w:rsidRPr="004B208C">
        <w:rPr>
          <w:rFonts w:cs="Tahoma"/>
          <w:color w:val="000000"/>
          <w:szCs w:val="18"/>
        </w:rPr>
        <w:t xml:space="preserve">CAL de Tarefa do Microsoft </w:t>
      </w:r>
      <w:r w:rsidRPr="004B208C">
        <w:rPr>
          <w:rFonts w:cs="Tahoma"/>
          <w:color w:val="000000"/>
          <w:szCs w:val="20"/>
        </w:rPr>
        <w:t>Dynamics AX 2012 R2 (Usuário e Dispositivo)</w:t>
      </w:r>
    </w:p>
    <w:p w:rsidR="00662A44" w:rsidRPr="004B208C" w:rsidRDefault="00662A44" w:rsidP="00662A44">
      <w:pPr>
        <w:keepNext/>
        <w:tabs>
          <w:tab w:val="num" w:pos="720"/>
        </w:tabs>
        <w:outlineLvl w:val="3"/>
        <w:rPr>
          <w:rFonts w:cs="Tahoma"/>
        </w:rPr>
      </w:pPr>
    </w:p>
    <w:p w:rsidR="00662A44" w:rsidRPr="004B208C" w:rsidRDefault="00662A44" w:rsidP="00662A44">
      <w:pPr>
        <w:spacing w:after="60"/>
        <w:rPr>
          <w:rFonts w:cs="Tahoma"/>
        </w:rPr>
      </w:pPr>
      <w:r w:rsidRPr="004B208C">
        <w:rPr>
          <w:rFonts w:cs="Tahoma"/>
          <w:b/>
        </w:rPr>
        <w:t>Alterações</w:t>
      </w:r>
    </w:p>
    <w:p w:rsidR="00662A44" w:rsidRPr="004B208C" w:rsidRDefault="00662A44" w:rsidP="00662A44">
      <w:pPr>
        <w:keepNext/>
        <w:tabs>
          <w:tab w:val="num" w:pos="720"/>
        </w:tabs>
        <w:outlineLvl w:val="3"/>
        <w:rPr>
          <w:rFonts w:cs="Tahoma"/>
        </w:rPr>
      </w:pPr>
      <w:r w:rsidRPr="004B208C">
        <w:rPr>
          <w:rFonts w:cs="Tahoma"/>
          <w:color w:val="000000"/>
          <w:szCs w:val="20"/>
        </w:rPr>
        <w:t>Visio 2013 Professional</w:t>
      </w:r>
    </w:p>
    <w:p w:rsidR="00662A44" w:rsidRPr="004B208C" w:rsidRDefault="00662A44" w:rsidP="00662A44">
      <w:pPr>
        <w:keepNext/>
        <w:tabs>
          <w:tab w:val="num" w:pos="720"/>
        </w:tabs>
        <w:outlineLvl w:val="3"/>
        <w:rPr>
          <w:rFonts w:cs="Tahoma"/>
        </w:rPr>
      </w:pPr>
    </w:p>
    <w:p w:rsidR="00662A44" w:rsidRPr="004B208C" w:rsidRDefault="00662A44" w:rsidP="0064651F">
      <w:pPr>
        <w:keepNext/>
        <w:tabs>
          <w:tab w:val="num" w:pos="720"/>
        </w:tabs>
        <w:spacing w:after="60"/>
        <w:outlineLvl w:val="3"/>
        <w:rPr>
          <w:rFonts w:cs="Tahoma"/>
        </w:rPr>
      </w:pPr>
      <w:r w:rsidRPr="004B208C">
        <w:rPr>
          <w:rFonts w:cs="Tahoma"/>
          <w:b/>
        </w:rPr>
        <w:t>Exclusões</w:t>
      </w:r>
    </w:p>
    <w:p w:rsidR="00662A44" w:rsidRPr="004B208C" w:rsidRDefault="00662A44" w:rsidP="00662A44">
      <w:pPr>
        <w:rPr>
          <w:rFonts w:cs="Tahoma"/>
        </w:rPr>
      </w:pPr>
      <w:r w:rsidRPr="004B208C">
        <w:rPr>
          <w:rFonts w:cs="Tahoma"/>
          <w:color w:val="000000"/>
          <w:szCs w:val="18"/>
        </w:rPr>
        <w:t xml:space="preserve">CAL Aditiva Empresarial do Microsoft </w:t>
      </w:r>
      <w:r w:rsidRPr="004B208C">
        <w:rPr>
          <w:rFonts w:cs="Tahoma"/>
          <w:color w:val="000000"/>
          <w:szCs w:val="20"/>
        </w:rPr>
        <w:t>Dynamics AX 2012 (Usuário e Dispositivo)</w:t>
      </w:r>
    </w:p>
    <w:p w:rsidR="00662A44" w:rsidRPr="004B208C" w:rsidRDefault="00662A44" w:rsidP="00662A44">
      <w:pPr>
        <w:rPr>
          <w:rFonts w:cs="Tahoma"/>
        </w:rPr>
      </w:pPr>
      <w:r w:rsidRPr="004B208C">
        <w:rPr>
          <w:rFonts w:cs="Tahoma"/>
          <w:color w:val="000000"/>
          <w:szCs w:val="18"/>
        </w:rPr>
        <w:t xml:space="preserve">CAL Empresarial do Microsoft </w:t>
      </w:r>
      <w:r w:rsidRPr="004B208C">
        <w:rPr>
          <w:rFonts w:cs="Tahoma"/>
          <w:color w:val="000000"/>
          <w:szCs w:val="20"/>
        </w:rPr>
        <w:t>Dynamics AX 2012 (Usuário e Dispositivo)</w:t>
      </w:r>
    </w:p>
    <w:p w:rsidR="00662A44" w:rsidRPr="004B208C" w:rsidRDefault="00662A44" w:rsidP="00662A44">
      <w:pPr>
        <w:rPr>
          <w:rFonts w:cs="Tahoma"/>
        </w:rPr>
      </w:pPr>
      <w:r w:rsidRPr="004B208C">
        <w:rPr>
          <w:rFonts w:cs="Tahoma"/>
          <w:color w:val="000000"/>
          <w:szCs w:val="18"/>
        </w:rPr>
        <w:t xml:space="preserve">CAL Aditiva Funcional do Microsoft </w:t>
      </w:r>
      <w:r w:rsidRPr="004B208C">
        <w:rPr>
          <w:rFonts w:cs="Tahoma"/>
          <w:color w:val="000000"/>
          <w:szCs w:val="20"/>
        </w:rPr>
        <w:t>Dynamics AX 2012 (Usuário e Dispositivo)</w:t>
      </w:r>
    </w:p>
    <w:p w:rsidR="00662A44" w:rsidRPr="004B208C" w:rsidRDefault="00662A44" w:rsidP="00662A44">
      <w:pPr>
        <w:rPr>
          <w:rFonts w:cs="Tahoma"/>
        </w:rPr>
      </w:pPr>
      <w:r w:rsidRPr="004B208C">
        <w:rPr>
          <w:rFonts w:cs="Tahoma"/>
          <w:color w:val="000000"/>
          <w:szCs w:val="18"/>
        </w:rPr>
        <w:t xml:space="preserve">CAL Funcional do Microsoft </w:t>
      </w:r>
      <w:r w:rsidRPr="004B208C">
        <w:rPr>
          <w:rFonts w:cs="Tahoma"/>
          <w:color w:val="000000"/>
          <w:szCs w:val="20"/>
        </w:rPr>
        <w:t>Dynamics AX 2012 (Usuário e Dispositivo)</w:t>
      </w:r>
    </w:p>
    <w:p w:rsidR="00662A44" w:rsidRPr="004B208C" w:rsidRDefault="00662A44" w:rsidP="00662A44">
      <w:pPr>
        <w:rPr>
          <w:rFonts w:cs="Tahoma"/>
        </w:rPr>
      </w:pPr>
      <w:r w:rsidRPr="004B208C">
        <w:rPr>
          <w:rFonts w:cs="Tahoma"/>
          <w:color w:val="000000"/>
          <w:szCs w:val="18"/>
        </w:rPr>
        <w:t xml:space="preserve">CAL de Autoatendimento do Microsoft </w:t>
      </w:r>
      <w:r w:rsidRPr="004B208C">
        <w:rPr>
          <w:rFonts w:cs="Tahoma"/>
          <w:color w:val="000000"/>
          <w:szCs w:val="20"/>
        </w:rPr>
        <w:t>Dynamics AX 2012 (Usuário e Dispositivo)</w:t>
      </w:r>
    </w:p>
    <w:p w:rsidR="00662A44" w:rsidRPr="004B208C" w:rsidRDefault="00662A44" w:rsidP="00662A44">
      <w:pPr>
        <w:rPr>
          <w:rFonts w:cs="Tahoma"/>
        </w:rPr>
      </w:pPr>
      <w:r w:rsidRPr="004B208C">
        <w:rPr>
          <w:rFonts w:cs="Tahoma"/>
          <w:color w:val="000000"/>
          <w:szCs w:val="18"/>
        </w:rPr>
        <w:t xml:space="preserve">Microsoft </w:t>
      </w:r>
      <w:r w:rsidRPr="004B208C">
        <w:rPr>
          <w:rFonts w:cs="Tahoma"/>
          <w:color w:val="000000"/>
          <w:szCs w:val="20"/>
        </w:rPr>
        <w:t>Dynamics AX 2012 Server</w:t>
      </w:r>
    </w:p>
    <w:p w:rsidR="00662A44" w:rsidRPr="004B208C" w:rsidRDefault="00662A44" w:rsidP="00662A44">
      <w:pPr>
        <w:rPr>
          <w:rFonts w:cs="Tahoma"/>
        </w:rPr>
      </w:pPr>
      <w:r w:rsidRPr="004B208C">
        <w:rPr>
          <w:rFonts w:cs="Tahoma"/>
          <w:color w:val="000000"/>
          <w:szCs w:val="18"/>
        </w:rPr>
        <w:t xml:space="preserve">CAL Aditiva de Tarefa do Microsoft </w:t>
      </w:r>
      <w:r w:rsidRPr="004B208C">
        <w:rPr>
          <w:rFonts w:cs="Tahoma"/>
          <w:color w:val="000000"/>
          <w:szCs w:val="20"/>
        </w:rPr>
        <w:t>Dynamics AX 2012 (Usuário e Dispositivo)</w:t>
      </w:r>
    </w:p>
    <w:p w:rsidR="00662A44" w:rsidRPr="004B208C" w:rsidRDefault="00662A44" w:rsidP="00662A44">
      <w:pPr>
        <w:rPr>
          <w:rFonts w:cs="Tahoma"/>
        </w:rPr>
      </w:pPr>
      <w:r w:rsidRPr="004B208C">
        <w:rPr>
          <w:rFonts w:cs="Tahoma"/>
          <w:color w:val="000000"/>
          <w:szCs w:val="18"/>
        </w:rPr>
        <w:t xml:space="preserve">CAL de Tarefa do Microsoft </w:t>
      </w:r>
      <w:r w:rsidRPr="004B208C">
        <w:rPr>
          <w:rFonts w:cs="Tahoma"/>
          <w:color w:val="000000"/>
          <w:szCs w:val="20"/>
        </w:rPr>
        <w:t>Dynamics AX 2012 (Usuário e Dispositivo)</w:t>
      </w:r>
    </w:p>
    <w:p w:rsidR="00243B33" w:rsidRPr="004B208C" w:rsidRDefault="00243B33" w:rsidP="00B50A5B">
      <w:pPr>
        <w:rPr>
          <w:rFonts w:cs="Tahoma"/>
        </w:rPr>
      </w:pPr>
    </w:p>
    <w:p w:rsidR="001C1727" w:rsidRPr="004B208C" w:rsidRDefault="001C1727" w:rsidP="00292088">
      <w:pPr>
        <w:rPr>
          <w:rFonts w:cs="Tahoma"/>
        </w:rPr>
      </w:pPr>
    </w:p>
    <w:p w:rsidR="00E06050" w:rsidRPr="004B208C" w:rsidRDefault="00E06050" w:rsidP="00E06050">
      <w:pPr>
        <w:pStyle w:val="Heading2"/>
        <w:ind w:left="0"/>
        <w:jc w:val="both"/>
        <w:rPr>
          <w:rFonts w:ascii="Tahoma" w:hAnsi="Tahoma" w:cs="Tahoma"/>
        </w:rPr>
      </w:pPr>
      <w:bookmarkStart w:id="578" w:name="_Toc370981293"/>
      <w:r w:rsidRPr="004B208C">
        <w:rPr>
          <w:rFonts w:ascii="Tahoma" w:hAnsi="Tahoma" w:cs="Tahoma"/>
          <w:color w:val="FF6600"/>
        </w:rPr>
        <w:lastRenderedPageBreak/>
        <w:t>ALTERAÇÕES EM JANEIRO DE 2013</w:t>
      </w:r>
      <w:bookmarkEnd w:id="578"/>
    </w:p>
    <w:p w:rsidR="00E06050" w:rsidRPr="004B208C" w:rsidRDefault="00E06050" w:rsidP="00E06050">
      <w:pPr>
        <w:rPr>
          <w:rFonts w:cs="Tahoma"/>
        </w:rPr>
      </w:pPr>
    </w:p>
    <w:p w:rsidR="00E06050" w:rsidRPr="004B208C" w:rsidRDefault="00E06050" w:rsidP="003E606C">
      <w:pPr>
        <w:spacing w:after="60"/>
        <w:rPr>
          <w:rFonts w:cs="Tahoma"/>
        </w:rPr>
      </w:pPr>
      <w:r w:rsidRPr="004B208C">
        <w:rPr>
          <w:rFonts w:cs="Tahoma"/>
          <w:b/>
        </w:rPr>
        <w:t>Adições</w:t>
      </w:r>
    </w:p>
    <w:p w:rsidR="00CC66A0" w:rsidRPr="004B208C" w:rsidRDefault="00CC66A0" w:rsidP="00737831">
      <w:pPr>
        <w:keepNext/>
        <w:tabs>
          <w:tab w:val="num" w:pos="720"/>
        </w:tabs>
        <w:outlineLvl w:val="3"/>
        <w:rPr>
          <w:rFonts w:cs="Tahoma"/>
        </w:rPr>
      </w:pPr>
      <w:r w:rsidRPr="004B208C">
        <w:rPr>
          <w:rFonts w:cs="Tahoma"/>
          <w:color w:val="000000"/>
          <w:szCs w:val="20"/>
        </w:rPr>
        <w:t>Windows MultiPoint Server 2012 Premium com Windows MultiPoint Server 2012 (CAL) (5 Clientes)</w:t>
      </w:r>
    </w:p>
    <w:p w:rsidR="00E06050" w:rsidRPr="004B208C" w:rsidRDefault="00CC66A0" w:rsidP="00862623">
      <w:pPr>
        <w:keepNext/>
        <w:tabs>
          <w:tab w:val="num" w:pos="720"/>
        </w:tabs>
        <w:outlineLvl w:val="3"/>
        <w:rPr>
          <w:rFonts w:cs="Tahoma"/>
        </w:rPr>
      </w:pPr>
      <w:r w:rsidRPr="004B208C">
        <w:rPr>
          <w:rFonts w:cs="Tahoma"/>
          <w:color w:val="000000"/>
          <w:szCs w:val="20"/>
        </w:rPr>
        <w:t>Windows MultiPoint Server 2012 Premium com Windows MultiPoint Server 2012 (CAL) (5 Clientes) com Windows</w:t>
      </w:r>
    </w:p>
    <w:p w:rsidR="00140B67" w:rsidRPr="004B208C" w:rsidRDefault="00140B67" w:rsidP="003E606C">
      <w:pPr>
        <w:spacing w:after="60"/>
        <w:rPr>
          <w:rFonts w:cs="Tahoma"/>
        </w:rPr>
      </w:pPr>
    </w:p>
    <w:p w:rsidR="001D63C2" w:rsidRPr="004B208C" w:rsidRDefault="001D63C2" w:rsidP="003E606C">
      <w:pPr>
        <w:spacing w:after="60"/>
        <w:rPr>
          <w:rFonts w:cs="Tahoma"/>
        </w:rPr>
      </w:pPr>
      <w:r w:rsidRPr="004B208C">
        <w:rPr>
          <w:rFonts w:cs="Tahoma"/>
          <w:b/>
        </w:rPr>
        <w:t>Alterações</w:t>
      </w:r>
    </w:p>
    <w:p w:rsidR="001D63C2" w:rsidRPr="004B208C" w:rsidRDefault="001D63C2" w:rsidP="00E06050">
      <w:pPr>
        <w:rPr>
          <w:rFonts w:cs="Tahoma"/>
        </w:rPr>
      </w:pPr>
      <w:r w:rsidRPr="004B208C">
        <w:rPr>
          <w:rFonts w:cs="Tahoma"/>
          <w:color w:val="000000"/>
        </w:rPr>
        <w:t>Windows Small Business Server 2008 CAL Suite para Usuários ou Dispositivos Premium</w:t>
      </w:r>
    </w:p>
    <w:p w:rsidR="001D63C2" w:rsidRPr="004B208C" w:rsidRDefault="001D63C2" w:rsidP="00E06050">
      <w:pPr>
        <w:rPr>
          <w:rFonts w:cs="Tahoma"/>
        </w:rPr>
      </w:pPr>
      <w:r w:rsidRPr="004B208C">
        <w:rPr>
          <w:rFonts w:cs="Tahoma"/>
          <w:color w:val="000000"/>
        </w:rPr>
        <w:t>Windows Small Business Server 2008 CAL Suite para Usuários ou Dispositivos Premium (5 Clientes)</w:t>
      </w:r>
    </w:p>
    <w:p w:rsidR="001D63C2" w:rsidRPr="004B208C" w:rsidRDefault="001D63C2" w:rsidP="00E06050">
      <w:pPr>
        <w:rPr>
          <w:rFonts w:cs="Tahoma"/>
        </w:rPr>
      </w:pPr>
      <w:r w:rsidRPr="004B208C">
        <w:rPr>
          <w:rFonts w:cs="Tahoma"/>
          <w:color w:val="000000"/>
        </w:rPr>
        <w:t>Windows Small Business Server 2008 CAL Suite para Usuários ou Dispositivos Premium (20 Clientes)</w:t>
      </w:r>
    </w:p>
    <w:p w:rsidR="001D63C2" w:rsidRPr="004B208C" w:rsidRDefault="001D63C2" w:rsidP="00E06050">
      <w:pPr>
        <w:rPr>
          <w:rFonts w:cs="Tahoma"/>
        </w:rPr>
      </w:pPr>
      <w:r w:rsidRPr="004B208C">
        <w:rPr>
          <w:rFonts w:cs="Tahoma"/>
          <w:color w:val="000000"/>
        </w:rPr>
        <w:t>Windows Small Business Server 2011 CAL Suite (1 Cliente)</w:t>
      </w:r>
    </w:p>
    <w:p w:rsidR="001D63C2" w:rsidRPr="004B208C" w:rsidRDefault="001D63C2" w:rsidP="001D63C2">
      <w:pPr>
        <w:rPr>
          <w:rFonts w:cs="Tahoma"/>
        </w:rPr>
      </w:pPr>
      <w:r w:rsidRPr="004B208C">
        <w:rPr>
          <w:rFonts w:cs="Tahoma"/>
          <w:color w:val="000000"/>
        </w:rPr>
        <w:t>Windows Small Business Server 2011 CAL Suite (5 Clientes)</w:t>
      </w:r>
    </w:p>
    <w:p w:rsidR="001D63C2" w:rsidRPr="004B208C" w:rsidRDefault="001D63C2" w:rsidP="00E06050">
      <w:pPr>
        <w:rPr>
          <w:rFonts w:cs="Tahoma"/>
        </w:rPr>
      </w:pPr>
      <w:r w:rsidRPr="004B208C">
        <w:rPr>
          <w:rFonts w:cs="Tahoma"/>
          <w:color w:val="000000"/>
        </w:rPr>
        <w:t>Windows Small Business Server 2011 CAL Suite (20 Clientes)</w:t>
      </w:r>
    </w:p>
    <w:p w:rsidR="001D63C2" w:rsidRPr="004B208C" w:rsidRDefault="001D63C2" w:rsidP="001D63C2">
      <w:pPr>
        <w:rPr>
          <w:rFonts w:cs="Tahoma"/>
        </w:rPr>
      </w:pPr>
      <w:r w:rsidRPr="004B208C">
        <w:rPr>
          <w:rFonts w:cs="Tahoma"/>
          <w:color w:val="000000"/>
        </w:rPr>
        <w:t>Windows Small Business Server 2011 Standard (5 Clientes)</w:t>
      </w:r>
    </w:p>
    <w:p w:rsidR="001D63C2" w:rsidRPr="004B208C" w:rsidRDefault="001D63C2" w:rsidP="00E06050">
      <w:pPr>
        <w:rPr>
          <w:rFonts w:cs="Tahoma"/>
        </w:rPr>
      </w:pPr>
      <w:r w:rsidRPr="004B208C">
        <w:rPr>
          <w:rFonts w:cs="Tahoma"/>
          <w:color w:val="000000"/>
        </w:rPr>
        <w:t>Complemento do Windows Small Business Server 2011 Premium (5 Clientes)</w:t>
      </w:r>
    </w:p>
    <w:p w:rsidR="001D63C2" w:rsidRPr="004B208C" w:rsidRDefault="001D63C2" w:rsidP="00E06050">
      <w:pPr>
        <w:rPr>
          <w:rFonts w:cs="Tahoma"/>
        </w:rPr>
      </w:pPr>
    </w:p>
    <w:p w:rsidR="00E06050" w:rsidRPr="004B208C" w:rsidRDefault="00E06050" w:rsidP="003E606C">
      <w:pPr>
        <w:spacing w:after="60"/>
        <w:rPr>
          <w:rFonts w:cs="Tahoma"/>
        </w:rPr>
      </w:pPr>
      <w:r w:rsidRPr="004B208C">
        <w:rPr>
          <w:rFonts w:cs="Tahoma"/>
          <w:b/>
        </w:rPr>
        <w:t>Exclusões</w:t>
      </w:r>
    </w:p>
    <w:p w:rsidR="00E06050" w:rsidRPr="004B208C" w:rsidRDefault="00E06050" w:rsidP="00E06050">
      <w:pPr>
        <w:rPr>
          <w:rFonts w:cs="Tahoma"/>
        </w:rPr>
      </w:pPr>
      <w:r w:rsidRPr="004B208C">
        <w:rPr>
          <w:rFonts w:cs="Tahoma"/>
          <w:color w:val="000000"/>
        </w:rPr>
        <w:t>Licença de Gerenciamento de Cliente do Windows Embedded Device Manager 2011 por OSE</w:t>
      </w:r>
    </w:p>
    <w:p w:rsidR="00E06050" w:rsidRPr="004B208C" w:rsidRDefault="00E06050" w:rsidP="00E06050">
      <w:pPr>
        <w:rPr>
          <w:rFonts w:cs="Tahoma"/>
        </w:rPr>
      </w:pPr>
      <w:r w:rsidRPr="004B208C">
        <w:rPr>
          <w:rFonts w:cs="Tahoma"/>
          <w:color w:val="000000"/>
        </w:rPr>
        <w:t>Licença de Gerenciamento de Cliente do Windows Embedded Device Manager 2011 por Usuário</w:t>
      </w:r>
    </w:p>
    <w:p w:rsidR="00844BAF" w:rsidRPr="004B208C" w:rsidRDefault="00844BAF" w:rsidP="00E06050">
      <w:pPr>
        <w:rPr>
          <w:rFonts w:cs="Tahoma"/>
        </w:rPr>
      </w:pPr>
      <w:r w:rsidRPr="004B208C">
        <w:rPr>
          <w:rFonts w:cs="Tahoma"/>
          <w:color w:val="000000"/>
          <w:szCs w:val="20"/>
        </w:rPr>
        <w:t>CAL do Dispositivo do Windows Server 2008 para Windows Essential Server Solutions (5 Clientes)</w:t>
      </w:r>
    </w:p>
    <w:p w:rsidR="00844BAF" w:rsidRPr="004B208C" w:rsidRDefault="00844BAF" w:rsidP="00E06050">
      <w:pPr>
        <w:rPr>
          <w:rFonts w:cs="Tahoma"/>
        </w:rPr>
      </w:pPr>
      <w:r w:rsidRPr="004B208C">
        <w:rPr>
          <w:rFonts w:cs="Tahoma"/>
          <w:color w:val="000000"/>
          <w:szCs w:val="20"/>
        </w:rPr>
        <w:t>CAL do Usuário do Windows Server 2008 para Windows Essential Server Solutions (5 Clientes)</w:t>
      </w:r>
    </w:p>
    <w:p w:rsidR="00844BAF" w:rsidRPr="004B208C" w:rsidRDefault="00844BAF" w:rsidP="00844BAF">
      <w:pPr>
        <w:keepNext/>
        <w:tabs>
          <w:tab w:val="num" w:pos="720"/>
        </w:tabs>
        <w:outlineLvl w:val="3"/>
        <w:rPr>
          <w:rFonts w:cs="Tahoma"/>
        </w:rPr>
      </w:pPr>
      <w:r w:rsidRPr="004B208C">
        <w:rPr>
          <w:rFonts w:cs="Tahoma"/>
          <w:color w:val="000000"/>
          <w:szCs w:val="20"/>
        </w:rPr>
        <w:t>Windows MultiPoint Server 2011 Premium com Windows MultiPoint Server 2011 (CAL) (5 Clientes)</w:t>
      </w:r>
    </w:p>
    <w:p w:rsidR="00E06050" w:rsidRPr="004B208C" w:rsidRDefault="00844BAF" w:rsidP="00E06050">
      <w:pPr>
        <w:rPr>
          <w:rFonts w:cs="Tahoma"/>
        </w:rPr>
      </w:pPr>
      <w:r w:rsidRPr="004B208C">
        <w:rPr>
          <w:rFonts w:cs="Tahoma"/>
          <w:color w:val="000000"/>
          <w:szCs w:val="20"/>
        </w:rPr>
        <w:t>Windows MultiPoint Server 2011 Premium com Windows MultiPoint Server 2011 (CAL) (5 Clientes) com Windows</w:t>
      </w:r>
    </w:p>
    <w:p w:rsidR="00A12176" w:rsidRPr="00A578AF" w:rsidRDefault="00A12176" w:rsidP="00BA756F">
      <w:pPr>
        <w:pStyle w:val="Heading2"/>
        <w:ind w:left="0"/>
        <w:jc w:val="both"/>
        <w:rPr>
          <w:rFonts w:ascii="Tahoma" w:hAnsi="Tahoma" w:cs="Tahoma"/>
          <w:sz w:val="18"/>
          <w:szCs w:val="18"/>
        </w:rPr>
      </w:pPr>
    </w:p>
    <w:p w:rsidR="001C1727" w:rsidRPr="004B208C" w:rsidRDefault="001C1727">
      <w:pPr>
        <w:rPr>
          <w:rFonts w:cs="Tahoma"/>
        </w:rPr>
      </w:pPr>
    </w:p>
    <w:p w:rsidR="00173A20" w:rsidRPr="004B208C" w:rsidRDefault="00173A20" w:rsidP="00BA756F">
      <w:pPr>
        <w:pStyle w:val="Heading2"/>
        <w:ind w:left="0"/>
        <w:jc w:val="both"/>
        <w:rPr>
          <w:rFonts w:ascii="Tahoma" w:hAnsi="Tahoma" w:cs="Tahoma"/>
        </w:rPr>
      </w:pPr>
      <w:bookmarkStart w:id="579" w:name="_Toc370981294"/>
      <w:r w:rsidRPr="004B208C">
        <w:rPr>
          <w:rFonts w:ascii="Tahoma" w:hAnsi="Tahoma" w:cs="Tahoma"/>
          <w:color w:val="FF6600"/>
        </w:rPr>
        <w:t>ALTERAÇÕES EM DEZEMBRO DE 2012</w:t>
      </w:r>
      <w:bookmarkEnd w:id="567"/>
      <w:bookmarkEnd w:id="579"/>
    </w:p>
    <w:p w:rsidR="00173A20" w:rsidRPr="004B208C" w:rsidRDefault="00173A20" w:rsidP="00173A20">
      <w:pPr>
        <w:jc w:val="both"/>
        <w:outlineLvl w:val="1"/>
        <w:rPr>
          <w:rFonts w:cs="Tahoma"/>
        </w:rPr>
      </w:pPr>
    </w:p>
    <w:p w:rsidR="00173A20" w:rsidRPr="004B208C" w:rsidRDefault="00173A20" w:rsidP="003E606C">
      <w:pPr>
        <w:spacing w:after="60"/>
        <w:rPr>
          <w:rFonts w:cs="Tahoma"/>
        </w:rPr>
      </w:pPr>
      <w:r w:rsidRPr="004B208C">
        <w:rPr>
          <w:rFonts w:cs="Tahoma"/>
          <w:b/>
        </w:rPr>
        <w:t>Adições</w:t>
      </w:r>
    </w:p>
    <w:p w:rsidR="00173A20" w:rsidRPr="004B208C" w:rsidRDefault="00BA756F" w:rsidP="00173A20">
      <w:pPr>
        <w:rPr>
          <w:rFonts w:cs="Tahoma"/>
        </w:rPr>
      </w:pPr>
      <w:r w:rsidRPr="004B208C">
        <w:rPr>
          <w:rFonts w:cs="Tahoma"/>
          <w:color w:val="000000"/>
        </w:rPr>
        <w:t>Access 2013</w:t>
      </w:r>
    </w:p>
    <w:p w:rsidR="00BA756F" w:rsidRPr="004B208C" w:rsidRDefault="00BA756F" w:rsidP="00173A20">
      <w:pPr>
        <w:rPr>
          <w:rFonts w:cs="Tahoma"/>
        </w:rPr>
      </w:pPr>
      <w:r w:rsidRPr="004B208C">
        <w:rPr>
          <w:rFonts w:cs="Tahoma"/>
          <w:color w:val="000000"/>
        </w:rPr>
        <w:t>Excel 2013</w:t>
      </w:r>
    </w:p>
    <w:p w:rsidR="00BA756F" w:rsidRPr="004B208C" w:rsidRDefault="00BA756F" w:rsidP="00173A20">
      <w:pPr>
        <w:rPr>
          <w:rFonts w:cs="Tahoma"/>
        </w:rPr>
      </w:pPr>
      <w:r w:rsidRPr="004B208C">
        <w:rPr>
          <w:rFonts w:cs="Tahoma"/>
          <w:color w:val="000000"/>
        </w:rPr>
        <w:t>CAL Empresarial do Exchange com Serviços 2013</w:t>
      </w:r>
    </w:p>
    <w:p w:rsidR="00BA756F" w:rsidRPr="004B208C" w:rsidRDefault="00BA756F" w:rsidP="00173A20">
      <w:pPr>
        <w:rPr>
          <w:rFonts w:cs="Tahoma"/>
        </w:rPr>
      </w:pPr>
      <w:r w:rsidRPr="004B208C">
        <w:rPr>
          <w:rFonts w:cs="Tahoma"/>
          <w:color w:val="000000"/>
        </w:rPr>
        <w:t>CAL Empresarial do Exchange sem Serviços 2013</w:t>
      </w:r>
    </w:p>
    <w:p w:rsidR="00BA756F" w:rsidRPr="004B208C" w:rsidRDefault="00BA756F" w:rsidP="00173A20">
      <w:pPr>
        <w:rPr>
          <w:rFonts w:cs="Tahoma"/>
        </w:rPr>
      </w:pPr>
      <w:r w:rsidRPr="004B208C">
        <w:rPr>
          <w:rFonts w:cs="Tahoma"/>
          <w:color w:val="000000"/>
        </w:rPr>
        <w:t>Exchange Server Enterprise 2013</w:t>
      </w:r>
    </w:p>
    <w:p w:rsidR="00BA756F" w:rsidRPr="004B208C" w:rsidRDefault="00BA756F" w:rsidP="00173A20">
      <w:pPr>
        <w:rPr>
          <w:rFonts w:cs="Tahoma"/>
        </w:rPr>
      </w:pPr>
      <w:r w:rsidRPr="004B208C">
        <w:rPr>
          <w:rFonts w:cs="Tahoma"/>
          <w:color w:val="000000"/>
        </w:rPr>
        <w:t>Exchange Server Standard 2013</w:t>
      </w:r>
    </w:p>
    <w:p w:rsidR="00BA756F" w:rsidRPr="004B208C" w:rsidRDefault="00BA756F" w:rsidP="00173A20">
      <w:pPr>
        <w:rPr>
          <w:rFonts w:cs="Tahoma"/>
        </w:rPr>
      </w:pPr>
      <w:r w:rsidRPr="004B208C">
        <w:rPr>
          <w:rFonts w:cs="Tahoma"/>
          <w:color w:val="000000"/>
        </w:rPr>
        <w:t>CAL do Exchange Standard 2013</w:t>
      </w:r>
    </w:p>
    <w:p w:rsidR="00BA756F" w:rsidRPr="004B208C" w:rsidRDefault="00BA756F" w:rsidP="00173A20">
      <w:pPr>
        <w:rPr>
          <w:rFonts w:cs="Tahoma"/>
        </w:rPr>
      </w:pPr>
      <w:r w:rsidRPr="004B208C">
        <w:rPr>
          <w:rFonts w:cs="Tahoma"/>
          <w:color w:val="000000"/>
        </w:rPr>
        <w:t>InfoPath 2013</w:t>
      </w:r>
    </w:p>
    <w:p w:rsidR="00BA756F" w:rsidRPr="004B208C" w:rsidRDefault="00BA756F" w:rsidP="00173A20">
      <w:pPr>
        <w:rPr>
          <w:rFonts w:cs="Tahoma"/>
        </w:rPr>
      </w:pPr>
      <w:r w:rsidRPr="004B208C">
        <w:rPr>
          <w:rFonts w:cs="Tahoma"/>
          <w:color w:val="000000"/>
        </w:rPr>
        <w:t>Lync 2013</w:t>
      </w:r>
    </w:p>
    <w:p w:rsidR="00BA756F" w:rsidRPr="004B208C" w:rsidRDefault="00BA756F" w:rsidP="00173A20">
      <w:pPr>
        <w:rPr>
          <w:rFonts w:cs="Tahoma"/>
        </w:rPr>
      </w:pPr>
      <w:r w:rsidRPr="004B208C">
        <w:rPr>
          <w:rFonts w:cs="Tahoma"/>
          <w:color w:val="000000"/>
        </w:rPr>
        <w:t>Lync Server 2013</w:t>
      </w:r>
    </w:p>
    <w:p w:rsidR="00BA756F" w:rsidRPr="004B208C" w:rsidRDefault="00BA756F" w:rsidP="00173A20">
      <w:pPr>
        <w:rPr>
          <w:rFonts w:cs="Tahoma"/>
        </w:rPr>
      </w:pPr>
      <w:r w:rsidRPr="004B208C">
        <w:rPr>
          <w:rFonts w:cs="Tahoma"/>
          <w:color w:val="000000"/>
        </w:rPr>
        <w:t>CAL Empresarial do Lync Server 2013</w:t>
      </w:r>
    </w:p>
    <w:p w:rsidR="00BA756F" w:rsidRPr="004B208C" w:rsidRDefault="00BA756F" w:rsidP="00173A20">
      <w:pPr>
        <w:rPr>
          <w:rFonts w:cs="Tahoma"/>
        </w:rPr>
      </w:pPr>
      <w:r w:rsidRPr="004B208C">
        <w:rPr>
          <w:rFonts w:cs="Tahoma"/>
          <w:color w:val="000000"/>
        </w:rPr>
        <w:t>CAL do Lync Server Plus 2013</w:t>
      </w:r>
    </w:p>
    <w:p w:rsidR="00BA756F" w:rsidRPr="004B208C" w:rsidRDefault="00BA756F" w:rsidP="00173A20">
      <w:pPr>
        <w:rPr>
          <w:rFonts w:cs="Tahoma"/>
        </w:rPr>
      </w:pPr>
      <w:r w:rsidRPr="004B208C">
        <w:rPr>
          <w:rFonts w:cs="Tahoma"/>
          <w:color w:val="000000"/>
        </w:rPr>
        <w:t>CAL Padrão do Lync Server 2013</w:t>
      </w:r>
    </w:p>
    <w:p w:rsidR="00BA756F" w:rsidRPr="004B208C" w:rsidRDefault="00BA756F" w:rsidP="00173A20">
      <w:pPr>
        <w:rPr>
          <w:rFonts w:cs="Tahoma"/>
        </w:rPr>
      </w:pPr>
      <w:r w:rsidRPr="004B208C">
        <w:rPr>
          <w:rFonts w:cs="Tahoma"/>
          <w:color w:val="000000"/>
        </w:rPr>
        <w:t>Office Home and Student RT 2013</w:t>
      </w:r>
    </w:p>
    <w:p w:rsidR="00BA756F" w:rsidRPr="004B208C" w:rsidRDefault="00BA756F" w:rsidP="00173A20">
      <w:pPr>
        <w:rPr>
          <w:rFonts w:cs="Tahoma"/>
        </w:rPr>
      </w:pPr>
      <w:r w:rsidRPr="004B208C">
        <w:rPr>
          <w:rFonts w:cs="Tahoma"/>
          <w:color w:val="000000"/>
        </w:rPr>
        <w:t>Pacote Multilíngue do Office 2013</w:t>
      </w:r>
    </w:p>
    <w:p w:rsidR="00BA756F" w:rsidRPr="004B208C" w:rsidRDefault="00BA756F" w:rsidP="00173A20">
      <w:pPr>
        <w:rPr>
          <w:rFonts w:cs="Tahoma"/>
        </w:rPr>
      </w:pPr>
      <w:r w:rsidRPr="004B208C">
        <w:rPr>
          <w:rFonts w:cs="Tahoma"/>
          <w:color w:val="000000"/>
        </w:rPr>
        <w:t>Office Professional Plus 2013</w:t>
      </w:r>
    </w:p>
    <w:p w:rsidR="00BA756F" w:rsidRPr="004B208C" w:rsidRDefault="00BA756F" w:rsidP="00173A20">
      <w:pPr>
        <w:rPr>
          <w:rFonts w:cs="Tahoma"/>
        </w:rPr>
      </w:pPr>
      <w:r w:rsidRPr="004B208C">
        <w:rPr>
          <w:rFonts w:cs="Tahoma"/>
          <w:color w:val="000000"/>
        </w:rPr>
        <w:t>Office Standard 2013</w:t>
      </w:r>
    </w:p>
    <w:p w:rsidR="00BA756F" w:rsidRPr="004B208C" w:rsidRDefault="00BA756F" w:rsidP="00173A20">
      <w:pPr>
        <w:rPr>
          <w:rFonts w:cs="Tahoma"/>
        </w:rPr>
      </w:pPr>
      <w:r w:rsidRPr="004B208C">
        <w:rPr>
          <w:rFonts w:cs="Tahoma"/>
          <w:color w:val="000000"/>
        </w:rPr>
        <w:t>OneNote 2013</w:t>
      </w:r>
    </w:p>
    <w:p w:rsidR="00BA756F" w:rsidRPr="004B208C" w:rsidRDefault="00BA756F" w:rsidP="00173A20">
      <w:pPr>
        <w:rPr>
          <w:rFonts w:cs="Tahoma"/>
        </w:rPr>
      </w:pPr>
      <w:r w:rsidRPr="004B208C">
        <w:rPr>
          <w:rFonts w:cs="Tahoma"/>
          <w:color w:val="000000"/>
        </w:rPr>
        <w:t>Outlook 2013</w:t>
      </w:r>
    </w:p>
    <w:p w:rsidR="00BA756F" w:rsidRPr="004B208C" w:rsidRDefault="00BA756F" w:rsidP="00173A20">
      <w:pPr>
        <w:rPr>
          <w:rFonts w:cs="Tahoma"/>
        </w:rPr>
      </w:pPr>
      <w:r w:rsidRPr="004B208C">
        <w:rPr>
          <w:rFonts w:cs="Tahoma"/>
          <w:color w:val="000000"/>
        </w:rPr>
        <w:t>PowerPoint 2013</w:t>
      </w:r>
    </w:p>
    <w:p w:rsidR="00BA756F" w:rsidRPr="004B208C" w:rsidRDefault="00BA756F" w:rsidP="00173A20">
      <w:pPr>
        <w:rPr>
          <w:rFonts w:cs="Tahoma"/>
        </w:rPr>
      </w:pPr>
      <w:r w:rsidRPr="004B208C">
        <w:rPr>
          <w:rFonts w:cs="Tahoma"/>
          <w:color w:val="000000"/>
        </w:rPr>
        <w:t>Project Standard 2013</w:t>
      </w:r>
    </w:p>
    <w:p w:rsidR="00BA756F" w:rsidRPr="004B208C" w:rsidRDefault="00BA756F" w:rsidP="00173A20">
      <w:pPr>
        <w:rPr>
          <w:rFonts w:cs="Tahoma"/>
        </w:rPr>
      </w:pPr>
      <w:r w:rsidRPr="004B208C">
        <w:rPr>
          <w:rFonts w:cs="Tahoma"/>
          <w:color w:val="000000"/>
        </w:rPr>
        <w:t>Project Professional 2013</w:t>
      </w:r>
    </w:p>
    <w:p w:rsidR="00BA756F" w:rsidRPr="004B208C" w:rsidRDefault="00BA756F" w:rsidP="00173A20">
      <w:pPr>
        <w:rPr>
          <w:rFonts w:cs="Tahoma"/>
        </w:rPr>
      </w:pPr>
      <w:r w:rsidRPr="004B208C">
        <w:rPr>
          <w:rFonts w:cs="Tahoma"/>
          <w:color w:val="000000"/>
        </w:rPr>
        <w:t>Project Server 2013</w:t>
      </w:r>
    </w:p>
    <w:p w:rsidR="00BA756F" w:rsidRPr="004B208C" w:rsidRDefault="00BA756F" w:rsidP="00173A20">
      <w:pPr>
        <w:rPr>
          <w:rFonts w:cs="Tahoma"/>
        </w:rPr>
      </w:pPr>
      <w:r w:rsidRPr="004B208C">
        <w:rPr>
          <w:rFonts w:cs="Tahoma"/>
          <w:color w:val="000000"/>
        </w:rPr>
        <w:t>CAL do Project Server 2013</w:t>
      </w:r>
    </w:p>
    <w:p w:rsidR="00BA756F" w:rsidRPr="004B208C" w:rsidRDefault="00FE3510" w:rsidP="00173A20">
      <w:pPr>
        <w:rPr>
          <w:rFonts w:cs="Tahoma"/>
        </w:rPr>
      </w:pPr>
      <w:r w:rsidRPr="004B208C">
        <w:rPr>
          <w:rFonts w:cs="Tahoma"/>
          <w:color w:val="000000"/>
        </w:rPr>
        <w:t>Publisher 2013</w:t>
      </w:r>
    </w:p>
    <w:p w:rsidR="00FE3510" w:rsidRPr="004B208C" w:rsidRDefault="00FE3510" w:rsidP="00173A20">
      <w:pPr>
        <w:rPr>
          <w:rFonts w:cs="Tahoma"/>
        </w:rPr>
      </w:pPr>
      <w:r w:rsidRPr="004B208C">
        <w:rPr>
          <w:rFonts w:cs="Tahoma"/>
          <w:color w:val="000000"/>
        </w:rPr>
        <w:t>CAL Empresarial do SharePoint 2013</w:t>
      </w:r>
    </w:p>
    <w:p w:rsidR="00FE3510" w:rsidRPr="004B208C" w:rsidRDefault="00FE3510" w:rsidP="00173A20">
      <w:pPr>
        <w:rPr>
          <w:rFonts w:cs="Tahoma"/>
        </w:rPr>
      </w:pPr>
      <w:r w:rsidRPr="004B208C">
        <w:rPr>
          <w:rFonts w:cs="Tahoma"/>
          <w:color w:val="000000"/>
        </w:rPr>
        <w:t>SharePoint Server 2013</w:t>
      </w:r>
    </w:p>
    <w:p w:rsidR="00FE3510" w:rsidRPr="004B208C" w:rsidRDefault="00FE3510" w:rsidP="00173A20">
      <w:pPr>
        <w:rPr>
          <w:rFonts w:cs="Tahoma"/>
        </w:rPr>
      </w:pPr>
      <w:r w:rsidRPr="004B208C">
        <w:rPr>
          <w:rFonts w:cs="Tahoma"/>
          <w:color w:val="000000"/>
        </w:rPr>
        <w:t>CAL Padrão do SharePoint 2013</w:t>
      </w:r>
    </w:p>
    <w:p w:rsidR="00FE3510" w:rsidRPr="004B208C" w:rsidRDefault="00FE3510" w:rsidP="00173A20">
      <w:pPr>
        <w:rPr>
          <w:rFonts w:cs="Tahoma"/>
        </w:rPr>
      </w:pPr>
      <w:r w:rsidRPr="004B208C">
        <w:rPr>
          <w:rFonts w:cs="Tahoma"/>
          <w:color w:val="000000"/>
        </w:rPr>
        <w:t>Visio Professional 2013</w:t>
      </w:r>
    </w:p>
    <w:p w:rsidR="00FE3510" w:rsidRPr="004B208C" w:rsidRDefault="00FE3510" w:rsidP="00173A20">
      <w:pPr>
        <w:rPr>
          <w:rFonts w:cs="Tahoma"/>
        </w:rPr>
      </w:pPr>
      <w:r w:rsidRPr="004B208C">
        <w:rPr>
          <w:rFonts w:cs="Tahoma"/>
          <w:color w:val="000000"/>
        </w:rPr>
        <w:lastRenderedPageBreak/>
        <w:t>Visio Standard 2013</w:t>
      </w:r>
    </w:p>
    <w:p w:rsidR="00FE3510" w:rsidRPr="004B208C" w:rsidRDefault="00FE3510" w:rsidP="00173A20">
      <w:pPr>
        <w:rPr>
          <w:rFonts w:cs="Tahoma"/>
        </w:rPr>
      </w:pPr>
      <w:r w:rsidRPr="004B208C">
        <w:rPr>
          <w:rFonts w:cs="Tahoma"/>
          <w:color w:val="000000"/>
        </w:rPr>
        <w:t>Word 2013</w:t>
      </w:r>
    </w:p>
    <w:p w:rsidR="00FE3510" w:rsidRPr="004B208C" w:rsidRDefault="00FE3510" w:rsidP="00173A20">
      <w:pPr>
        <w:rPr>
          <w:rFonts w:cs="Tahoma"/>
        </w:rPr>
      </w:pPr>
      <w:r w:rsidRPr="004B208C">
        <w:rPr>
          <w:rFonts w:cs="Tahoma"/>
          <w:color w:val="000000"/>
        </w:rPr>
        <w:t>Windows MultiPoint Server Standard 2012</w:t>
      </w:r>
    </w:p>
    <w:p w:rsidR="00FE3510" w:rsidRPr="004B208C" w:rsidRDefault="00FE3510" w:rsidP="00173A20">
      <w:pPr>
        <w:rPr>
          <w:rFonts w:cs="Tahoma"/>
        </w:rPr>
      </w:pPr>
      <w:r w:rsidRPr="004B208C">
        <w:rPr>
          <w:rFonts w:cs="Tahoma"/>
          <w:color w:val="000000"/>
        </w:rPr>
        <w:t>Windows MultiPoint Server Premium 2012</w:t>
      </w:r>
    </w:p>
    <w:p w:rsidR="00FE3510" w:rsidRPr="004B208C" w:rsidRDefault="00FE3510" w:rsidP="00173A20">
      <w:pPr>
        <w:rPr>
          <w:rFonts w:cs="Tahoma"/>
        </w:rPr>
      </w:pPr>
      <w:r w:rsidRPr="004B208C">
        <w:rPr>
          <w:rFonts w:cs="Tahoma"/>
          <w:color w:val="000000"/>
        </w:rPr>
        <w:t>CAL do Windows MultiPoint Server 2012</w:t>
      </w:r>
    </w:p>
    <w:p w:rsidR="00FE3510" w:rsidRPr="004B208C" w:rsidRDefault="00FE3510" w:rsidP="00173A20">
      <w:pPr>
        <w:rPr>
          <w:rFonts w:cs="Tahoma"/>
        </w:rPr>
      </w:pPr>
      <w:r w:rsidRPr="004B208C">
        <w:rPr>
          <w:rFonts w:cs="Tahoma"/>
          <w:color w:val="000000"/>
        </w:rPr>
        <w:t>CAL do Windows MultiPoint Server com CAL do Windows Server 2012</w:t>
      </w:r>
    </w:p>
    <w:p w:rsidR="006F741C" w:rsidRPr="004B208C" w:rsidRDefault="006F741C" w:rsidP="006F741C">
      <w:pPr>
        <w:rPr>
          <w:rFonts w:cs="Tahoma"/>
        </w:rPr>
      </w:pPr>
      <w:r w:rsidRPr="004B208C">
        <w:rPr>
          <w:rFonts w:cs="Tahoma"/>
          <w:color w:val="000000"/>
        </w:rPr>
        <w:t>Windows Intune (Por Usuário)</w:t>
      </w:r>
    </w:p>
    <w:p w:rsidR="006F741C" w:rsidRPr="004B208C" w:rsidRDefault="006F741C" w:rsidP="006F741C">
      <w:pPr>
        <w:rPr>
          <w:rFonts w:cs="Tahoma"/>
        </w:rPr>
      </w:pPr>
      <w:r w:rsidRPr="004B208C">
        <w:rPr>
          <w:rFonts w:cs="Tahoma"/>
          <w:color w:val="000000"/>
        </w:rPr>
        <w:t>Complemento do Windows Intune para System Center Configuration Manager e System Center EndPoint Protection (por usuário)</w:t>
      </w:r>
    </w:p>
    <w:p w:rsidR="00FE3510" w:rsidRPr="004B208C" w:rsidRDefault="00FE3510" w:rsidP="00173A20">
      <w:pPr>
        <w:rPr>
          <w:rFonts w:cs="Tahoma"/>
        </w:rPr>
      </w:pPr>
      <w:r w:rsidRPr="004B208C">
        <w:rPr>
          <w:rFonts w:cs="Tahoma"/>
          <w:color w:val="000000"/>
        </w:rPr>
        <w:t>SL de Usuário do Windows Intune</w:t>
      </w:r>
    </w:p>
    <w:p w:rsidR="00FE3510" w:rsidRPr="004B208C" w:rsidRDefault="00FE3510" w:rsidP="00173A20">
      <w:pPr>
        <w:rPr>
          <w:rFonts w:cs="Tahoma"/>
        </w:rPr>
      </w:pPr>
      <w:r w:rsidRPr="004B208C">
        <w:rPr>
          <w:rFonts w:cs="Tahoma"/>
          <w:color w:val="000000"/>
        </w:rPr>
        <w:t>SL de Usuário do Complemento do Windows Intune</w:t>
      </w:r>
    </w:p>
    <w:p w:rsidR="00FE3510" w:rsidRPr="004B208C" w:rsidRDefault="00FE3510" w:rsidP="00173A20">
      <w:pPr>
        <w:rPr>
          <w:rFonts w:cs="Tahoma"/>
        </w:rPr>
      </w:pPr>
      <w:r w:rsidRPr="004B208C">
        <w:rPr>
          <w:rFonts w:cs="Tahoma"/>
          <w:color w:val="000000"/>
        </w:rPr>
        <w:t>Armazenamento Extra Complementar de 1 GB de SL de Usuário do Windows Intune</w:t>
      </w:r>
    </w:p>
    <w:p w:rsidR="00FE3510" w:rsidRPr="004B208C" w:rsidRDefault="00FE3510" w:rsidP="00173A20">
      <w:pPr>
        <w:rPr>
          <w:rFonts w:cs="Tahoma"/>
        </w:rPr>
      </w:pPr>
      <w:r w:rsidRPr="004B208C">
        <w:rPr>
          <w:rFonts w:cs="Tahoma"/>
          <w:color w:val="000000"/>
        </w:rPr>
        <w:t>Win Pro com MDOP 8</w:t>
      </w:r>
    </w:p>
    <w:p w:rsidR="00173A20" w:rsidRPr="004B208C" w:rsidRDefault="00173A20" w:rsidP="00173A20">
      <w:pPr>
        <w:keepNext/>
        <w:tabs>
          <w:tab w:val="num" w:pos="720"/>
        </w:tabs>
        <w:spacing w:before="60"/>
        <w:outlineLvl w:val="3"/>
        <w:rPr>
          <w:rFonts w:cs="Tahoma"/>
        </w:rPr>
      </w:pPr>
    </w:p>
    <w:p w:rsidR="00173A20" w:rsidRPr="004B208C" w:rsidRDefault="00173A20" w:rsidP="003E606C">
      <w:pPr>
        <w:spacing w:after="60"/>
        <w:rPr>
          <w:rFonts w:cs="Tahoma"/>
        </w:rPr>
      </w:pPr>
      <w:r w:rsidRPr="004B208C">
        <w:rPr>
          <w:rFonts w:cs="Tahoma"/>
          <w:b/>
        </w:rPr>
        <w:t xml:space="preserve">Promoções </w:t>
      </w:r>
    </w:p>
    <w:p w:rsidR="00173A20" w:rsidRPr="004B208C" w:rsidRDefault="00FE3510" w:rsidP="00173A20">
      <w:pPr>
        <w:outlineLvl w:val="1"/>
        <w:rPr>
          <w:rFonts w:cs="Tahoma"/>
        </w:rPr>
      </w:pPr>
      <w:r w:rsidRPr="004B208C">
        <w:rPr>
          <w:rFonts w:cs="Tahoma"/>
          <w:color w:val="000000"/>
          <w:szCs w:val="18"/>
        </w:rPr>
        <w:t>As seguintes promoções foram adicionadas:</w:t>
      </w:r>
    </w:p>
    <w:p w:rsidR="00FE3510" w:rsidRPr="004B208C" w:rsidRDefault="00A4121E" w:rsidP="00173A20">
      <w:pPr>
        <w:outlineLvl w:val="1"/>
        <w:rPr>
          <w:rFonts w:cs="Tahoma"/>
        </w:rPr>
      </w:pPr>
      <w:r w:rsidRPr="004B208C">
        <w:rPr>
          <w:rFonts w:cs="Tahoma"/>
          <w:color w:val="000000"/>
          <w:szCs w:val="18"/>
        </w:rPr>
        <w:t xml:space="preserve">Microsoft Dynamics AX 2012 R2 - Promoção </w:t>
      </w:r>
      <w:r w:rsidR="00172F11">
        <w:rPr>
          <w:rFonts w:cs="Tahoma"/>
          <w:color w:val="000000"/>
          <w:szCs w:val="18"/>
        </w:rPr>
        <w:t>“</w:t>
      </w:r>
      <w:r w:rsidRPr="004B208C">
        <w:rPr>
          <w:rFonts w:cs="Tahoma"/>
          <w:color w:val="000000"/>
          <w:szCs w:val="18"/>
        </w:rPr>
        <w:t>Compre Uma CAL Empresarial Ganhe outra CAL Funcional</w:t>
      </w:r>
      <w:r w:rsidR="00172F11">
        <w:rPr>
          <w:rFonts w:cs="Tahoma"/>
          <w:color w:val="000000"/>
          <w:szCs w:val="18"/>
        </w:rPr>
        <w:t>”</w:t>
      </w:r>
    </w:p>
    <w:p w:rsidR="00A4121E" w:rsidRPr="004B208C" w:rsidRDefault="00A4121E" w:rsidP="00173A20">
      <w:pPr>
        <w:outlineLvl w:val="1"/>
        <w:rPr>
          <w:rFonts w:cs="Tahoma"/>
        </w:rPr>
      </w:pPr>
      <w:r w:rsidRPr="004B208C">
        <w:rPr>
          <w:rFonts w:cs="Tahoma"/>
          <w:color w:val="000000"/>
          <w:szCs w:val="18"/>
        </w:rPr>
        <w:t>Microsoft Dynamics AX 2012 R2 - Promoção de Introdução ao EA</w:t>
      </w:r>
    </w:p>
    <w:p w:rsidR="00A4121E" w:rsidRPr="004B208C" w:rsidRDefault="00A4121E" w:rsidP="00173A20">
      <w:pPr>
        <w:outlineLvl w:val="1"/>
        <w:rPr>
          <w:rFonts w:cs="Tahoma"/>
        </w:rPr>
      </w:pPr>
      <w:r w:rsidRPr="004B208C">
        <w:rPr>
          <w:rFonts w:cs="Tahoma"/>
          <w:color w:val="000000"/>
          <w:szCs w:val="18"/>
        </w:rPr>
        <w:t>Promoção de 20% de Desconto para Novos Computadores com Windows Intune</w:t>
      </w:r>
    </w:p>
    <w:p w:rsidR="00FE3510" w:rsidRPr="004B208C" w:rsidRDefault="00FE3510" w:rsidP="00173A20">
      <w:pPr>
        <w:outlineLvl w:val="1"/>
        <w:rPr>
          <w:rFonts w:cs="Tahoma"/>
        </w:rPr>
      </w:pPr>
    </w:p>
    <w:p w:rsidR="00FE3510" w:rsidRPr="004B208C" w:rsidRDefault="00FE3510" w:rsidP="00173A20">
      <w:pPr>
        <w:outlineLvl w:val="1"/>
        <w:rPr>
          <w:rFonts w:cs="Tahoma"/>
        </w:rPr>
      </w:pPr>
      <w:r w:rsidRPr="004B208C">
        <w:rPr>
          <w:rFonts w:cs="Tahoma"/>
          <w:color w:val="000000"/>
          <w:szCs w:val="18"/>
        </w:rPr>
        <w:t>As seguintes promoções foram excluídas:</w:t>
      </w:r>
    </w:p>
    <w:p w:rsidR="00FE3510" w:rsidRPr="004B208C" w:rsidRDefault="00FE3510" w:rsidP="00173A20">
      <w:pPr>
        <w:outlineLvl w:val="1"/>
        <w:rPr>
          <w:rFonts w:cs="Tahoma"/>
        </w:rPr>
      </w:pPr>
      <w:r w:rsidRPr="004B208C">
        <w:rPr>
          <w:rFonts w:cs="Tahoma"/>
        </w:rPr>
        <w:t>Promoção de 20% de Desconto para Novos Computadores com Windows Intune</w:t>
      </w:r>
    </w:p>
    <w:p w:rsidR="00173A20" w:rsidRPr="004B208C" w:rsidRDefault="00173A20" w:rsidP="00173A20">
      <w:pPr>
        <w:outlineLvl w:val="1"/>
        <w:rPr>
          <w:rFonts w:cs="Tahoma"/>
        </w:rPr>
      </w:pPr>
    </w:p>
    <w:p w:rsidR="00CD7EA6" w:rsidRPr="004B208C" w:rsidRDefault="00173A20" w:rsidP="003E606C">
      <w:pPr>
        <w:spacing w:after="60"/>
        <w:rPr>
          <w:rFonts w:cs="Tahoma"/>
        </w:rPr>
      </w:pPr>
      <w:r w:rsidRPr="004B208C">
        <w:rPr>
          <w:rFonts w:cs="Tahoma"/>
          <w:b/>
        </w:rPr>
        <w:t>Exclusões</w:t>
      </w:r>
    </w:p>
    <w:p w:rsidR="00685009" w:rsidRPr="004B208C" w:rsidRDefault="00685009" w:rsidP="00685009">
      <w:pPr>
        <w:rPr>
          <w:rFonts w:cs="Tahoma"/>
        </w:rPr>
      </w:pPr>
      <w:r w:rsidRPr="004B208C">
        <w:rPr>
          <w:rFonts w:cs="Tahoma"/>
          <w:color w:val="000000"/>
        </w:rPr>
        <w:t>Access 2010</w:t>
      </w:r>
    </w:p>
    <w:p w:rsidR="00685009" w:rsidRPr="004B208C" w:rsidRDefault="00685009" w:rsidP="00685009">
      <w:pPr>
        <w:rPr>
          <w:rFonts w:cs="Tahoma"/>
        </w:rPr>
      </w:pPr>
      <w:r w:rsidRPr="004B208C">
        <w:rPr>
          <w:rFonts w:cs="Tahoma"/>
          <w:color w:val="000000"/>
        </w:rPr>
        <w:t>Duet Enterprise para Microsoft SharePoint e SAP 1.0</w:t>
      </w:r>
    </w:p>
    <w:p w:rsidR="00685009" w:rsidRPr="004B208C" w:rsidRDefault="00685009" w:rsidP="00685009">
      <w:pPr>
        <w:rPr>
          <w:rFonts w:cs="Tahoma"/>
        </w:rPr>
      </w:pPr>
      <w:r w:rsidRPr="004B208C">
        <w:rPr>
          <w:rFonts w:cs="Tahoma"/>
          <w:color w:val="000000"/>
        </w:rPr>
        <w:t>Dynamics CRM Onprem Mobile</w:t>
      </w:r>
    </w:p>
    <w:p w:rsidR="00685009" w:rsidRPr="004B208C" w:rsidRDefault="00685009" w:rsidP="00685009">
      <w:pPr>
        <w:rPr>
          <w:rFonts w:cs="Tahoma"/>
        </w:rPr>
      </w:pPr>
      <w:r w:rsidRPr="004B208C">
        <w:rPr>
          <w:rFonts w:cs="Tahoma"/>
          <w:color w:val="000000"/>
        </w:rPr>
        <w:t>Dynamics CRM Mobile</w:t>
      </w:r>
    </w:p>
    <w:p w:rsidR="00685009" w:rsidRPr="004B208C" w:rsidRDefault="00685009" w:rsidP="00685009">
      <w:pPr>
        <w:rPr>
          <w:rFonts w:cs="Tahoma"/>
        </w:rPr>
      </w:pPr>
      <w:r w:rsidRPr="004B208C">
        <w:rPr>
          <w:rFonts w:cs="Tahoma"/>
          <w:color w:val="000000"/>
        </w:rPr>
        <w:t>Excel 2010</w:t>
      </w:r>
    </w:p>
    <w:p w:rsidR="00685009" w:rsidRPr="004B208C" w:rsidRDefault="00685009" w:rsidP="00685009">
      <w:pPr>
        <w:rPr>
          <w:rFonts w:cs="Tahoma"/>
        </w:rPr>
      </w:pPr>
      <w:r w:rsidRPr="004B208C">
        <w:rPr>
          <w:rFonts w:cs="Tahoma"/>
          <w:color w:val="000000"/>
        </w:rPr>
        <w:t>External Connector do Exchange Server 2010</w:t>
      </w:r>
    </w:p>
    <w:p w:rsidR="00685009" w:rsidRPr="004B208C" w:rsidRDefault="00685009" w:rsidP="00685009">
      <w:pPr>
        <w:rPr>
          <w:rFonts w:cs="Tahoma"/>
        </w:rPr>
      </w:pPr>
      <w:r w:rsidRPr="004B208C">
        <w:rPr>
          <w:rFonts w:cs="Tahoma"/>
          <w:color w:val="000000"/>
        </w:rPr>
        <w:t>FAST SearchServer SharePoint</w:t>
      </w:r>
    </w:p>
    <w:p w:rsidR="00685009" w:rsidRPr="004B208C" w:rsidRDefault="00685009" w:rsidP="00685009">
      <w:pPr>
        <w:rPr>
          <w:rFonts w:cs="Tahoma"/>
        </w:rPr>
      </w:pPr>
      <w:r w:rsidRPr="004B208C">
        <w:rPr>
          <w:rFonts w:cs="Tahoma"/>
          <w:color w:val="000000"/>
        </w:rPr>
        <w:t>Forefront Protection Suite</w:t>
      </w:r>
    </w:p>
    <w:p w:rsidR="00685009" w:rsidRPr="004B208C" w:rsidRDefault="00685009" w:rsidP="00685009">
      <w:pPr>
        <w:rPr>
          <w:rFonts w:cs="Tahoma"/>
        </w:rPr>
      </w:pPr>
      <w:r w:rsidRPr="004B208C">
        <w:rPr>
          <w:rFonts w:cs="Tahoma"/>
          <w:color w:val="000000"/>
        </w:rPr>
        <w:t>Forefront Security para Exchange Server</w:t>
      </w:r>
    </w:p>
    <w:p w:rsidR="00685009" w:rsidRPr="004B208C" w:rsidRDefault="00685009" w:rsidP="00685009">
      <w:pPr>
        <w:rPr>
          <w:rFonts w:cs="Tahoma"/>
        </w:rPr>
      </w:pPr>
      <w:r w:rsidRPr="004B208C">
        <w:rPr>
          <w:rFonts w:cs="Tahoma"/>
          <w:color w:val="000000"/>
        </w:rPr>
        <w:t>Forefront Security Office Communication Server</w:t>
      </w:r>
    </w:p>
    <w:p w:rsidR="00685009" w:rsidRPr="004B208C" w:rsidRDefault="00685009" w:rsidP="00685009">
      <w:pPr>
        <w:rPr>
          <w:rFonts w:cs="Tahoma"/>
        </w:rPr>
      </w:pPr>
      <w:r w:rsidRPr="004B208C">
        <w:rPr>
          <w:rFonts w:cs="Tahoma"/>
          <w:color w:val="000000"/>
        </w:rPr>
        <w:t>Forefront Security SharePoint</w:t>
      </w:r>
    </w:p>
    <w:p w:rsidR="00685009" w:rsidRPr="004B208C" w:rsidRDefault="00685009" w:rsidP="00685009">
      <w:pPr>
        <w:rPr>
          <w:rFonts w:cs="Tahoma"/>
        </w:rPr>
      </w:pPr>
      <w:r w:rsidRPr="004B208C">
        <w:rPr>
          <w:rFonts w:cs="Tahoma"/>
          <w:color w:val="000000"/>
        </w:rPr>
        <w:t>Console de Gerenciamento do Forefront Security Server</w:t>
      </w:r>
    </w:p>
    <w:p w:rsidR="00685009" w:rsidRPr="004B208C" w:rsidRDefault="00685009" w:rsidP="00685009">
      <w:pPr>
        <w:rPr>
          <w:rFonts w:cs="Tahoma"/>
        </w:rPr>
      </w:pPr>
      <w:r w:rsidRPr="004B208C">
        <w:rPr>
          <w:rFonts w:cs="Tahoma"/>
          <w:color w:val="000000"/>
        </w:rPr>
        <w:t>Forefront Security Web</w:t>
      </w:r>
    </w:p>
    <w:p w:rsidR="00685009" w:rsidRPr="004B208C" w:rsidRDefault="00685009" w:rsidP="00685009">
      <w:pPr>
        <w:rPr>
          <w:rFonts w:cs="Tahoma"/>
        </w:rPr>
      </w:pPr>
      <w:r w:rsidRPr="004B208C">
        <w:rPr>
          <w:rFonts w:cs="Tahoma"/>
          <w:color w:val="000000"/>
        </w:rPr>
        <w:t>Forefront Threat Management Gateway Enterprise</w:t>
      </w:r>
    </w:p>
    <w:p w:rsidR="00685009" w:rsidRPr="004B208C" w:rsidRDefault="00685009" w:rsidP="00685009">
      <w:pPr>
        <w:rPr>
          <w:rFonts w:cs="Tahoma"/>
        </w:rPr>
      </w:pPr>
      <w:r w:rsidRPr="004B208C">
        <w:rPr>
          <w:rFonts w:cs="Tahoma"/>
          <w:color w:val="000000"/>
        </w:rPr>
        <w:t>Forefront Threat Management Gateway Medium Business</w:t>
      </w:r>
    </w:p>
    <w:p w:rsidR="00685009" w:rsidRPr="004B208C" w:rsidRDefault="00685009" w:rsidP="00685009">
      <w:pPr>
        <w:rPr>
          <w:rFonts w:cs="Tahoma"/>
        </w:rPr>
      </w:pPr>
      <w:r w:rsidRPr="004B208C">
        <w:rPr>
          <w:rFonts w:cs="Tahoma"/>
          <w:color w:val="000000"/>
        </w:rPr>
        <w:t>Forefront Threat Management Gateway Standard</w:t>
      </w:r>
    </w:p>
    <w:p w:rsidR="00685009" w:rsidRPr="004B208C" w:rsidRDefault="00685009" w:rsidP="00685009">
      <w:pPr>
        <w:rPr>
          <w:rFonts w:cs="Tahoma"/>
        </w:rPr>
      </w:pPr>
      <w:r w:rsidRPr="004B208C">
        <w:rPr>
          <w:rFonts w:cs="Tahoma"/>
          <w:color w:val="000000"/>
        </w:rPr>
        <w:t>Forefront Threat Management Gateway Web Protection Service</w:t>
      </w:r>
    </w:p>
    <w:p w:rsidR="00685009" w:rsidRPr="004B208C" w:rsidRDefault="00685009" w:rsidP="00685009">
      <w:pPr>
        <w:rPr>
          <w:rFonts w:cs="Tahoma"/>
        </w:rPr>
      </w:pPr>
      <w:r w:rsidRPr="004B208C">
        <w:rPr>
          <w:rFonts w:cs="Tahoma"/>
          <w:color w:val="000000"/>
        </w:rPr>
        <w:t>Forefront Protection 2010 for Exchange Server</w:t>
      </w:r>
    </w:p>
    <w:p w:rsidR="00685009" w:rsidRPr="004B208C" w:rsidRDefault="00685009" w:rsidP="00685009">
      <w:pPr>
        <w:rPr>
          <w:rFonts w:cs="Tahoma"/>
        </w:rPr>
      </w:pPr>
      <w:r w:rsidRPr="004B208C">
        <w:rPr>
          <w:rFonts w:cs="Tahoma"/>
          <w:color w:val="000000"/>
        </w:rPr>
        <w:t>External Connector do Forefront Protection 2010 para Exchange Server</w:t>
      </w:r>
    </w:p>
    <w:p w:rsidR="00685009" w:rsidRPr="004B208C" w:rsidRDefault="00685009" w:rsidP="00685009">
      <w:pPr>
        <w:rPr>
          <w:rFonts w:cs="Tahoma"/>
        </w:rPr>
      </w:pPr>
      <w:r w:rsidRPr="004B208C">
        <w:rPr>
          <w:rFonts w:cs="Tahoma"/>
          <w:color w:val="000000"/>
        </w:rPr>
        <w:t>Forefront Protection SharePoint</w:t>
      </w:r>
    </w:p>
    <w:p w:rsidR="00685009" w:rsidRPr="004B208C" w:rsidRDefault="00685009" w:rsidP="00685009">
      <w:pPr>
        <w:rPr>
          <w:rFonts w:cs="Tahoma"/>
        </w:rPr>
      </w:pPr>
      <w:r w:rsidRPr="004B208C">
        <w:rPr>
          <w:rFonts w:cs="Tahoma"/>
          <w:color w:val="000000"/>
        </w:rPr>
        <w:t>Groove Enterprise Services</w:t>
      </w:r>
    </w:p>
    <w:p w:rsidR="00685009" w:rsidRPr="004B208C" w:rsidRDefault="00685009" w:rsidP="00685009">
      <w:pPr>
        <w:rPr>
          <w:rFonts w:cs="Tahoma"/>
        </w:rPr>
      </w:pPr>
      <w:r w:rsidRPr="004B208C">
        <w:rPr>
          <w:rFonts w:cs="Tahoma"/>
          <w:color w:val="000000"/>
        </w:rPr>
        <w:t>Groove Server</w:t>
      </w:r>
    </w:p>
    <w:p w:rsidR="00685009" w:rsidRPr="004B208C" w:rsidRDefault="00685009" w:rsidP="00685009">
      <w:pPr>
        <w:rPr>
          <w:rFonts w:cs="Tahoma"/>
        </w:rPr>
      </w:pPr>
      <w:r w:rsidRPr="004B208C">
        <w:rPr>
          <w:rFonts w:cs="Tahoma"/>
          <w:color w:val="000000"/>
        </w:rPr>
        <w:t>InfoPath 2010</w:t>
      </w:r>
    </w:p>
    <w:p w:rsidR="00685009" w:rsidRPr="004B208C" w:rsidRDefault="00685009" w:rsidP="00685009">
      <w:pPr>
        <w:rPr>
          <w:rFonts w:cs="Tahoma"/>
        </w:rPr>
      </w:pPr>
      <w:r w:rsidRPr="004B208C">
        <w:rPr>
          <w:rFonts w:cs="Tahoma"/>
          <w:color w:val="000000"/>
        </w:rPr>
        <w:t>Lync 2010</w:t>
      </w:r>
    </w:p>
    <w:p w:rsidR="00685009" w:rsidRPr="004B208C" w:rsidRDefault="00685009" w:rsidP="00685009">
      <w:pPr>
        <w:rPr>
          <w:rFonts w:cs="Tahoma"/>
        </w:rPr>
      </w:pPr>
      <w:r w:rsidRPr="004B208C">
        <w:rPr>
          <w:rFonts w:cs="Tahoma"/>
          <w:color w:val="000000"/>
        </w:rPr>
        <w:t>Lync Server 2010 Enterprise Edition</w:t>
      </w:r>
    </w:p>
    <w:p w:rsidR="00685009" w:rsidRPr="004B208C" w:rsidRDefault="00685009" w:rsidP="00685009">
      <w:pPr>
        <w:rPr>
          <w:rFonts w:cs="Tahoma"/>
        </w:rPr>
      </w:pPr>
      <w:r w:rsidRPr="004B208C">
        <w:rPr>
          <w:rFonts w:cs="Tahoma"/>
          <w:color w:val="000000"/>
        </w:rPr>
        <w:t>External Connector do Lync Server 2010 Enterprise</w:t>
      </w:r>
    </w:p>
    <w:p w:rsidR="00685009" w:rsidRPr="004B208C" w:rsidRDefault="00685009" w:rsidP="00685009">
      <w:pPr>
        <w:rPr>
          <w:rFonts w:cs="Tahoma"/>
        </w:rPr>
      </w:pPr>
      <w:r w:rsidRPr="004B208C">
        <w:rPr>
          <w:rFonts w:cs="Tahoma"/>
          <w:color w:val="000000"/>
        </w:rPr>
        <w:t>External Connector do Lync Server 2010 Plus</w:t>
      </w:r>
    </w:p>
    <w:p w:rsidR="00685009" w:rsidRPr="004B208C" w:rsidRDefault="00685009" w:rsidP="00685009">
      <w:pPr>
        <w:rPr>
          <w:rFonts w:cs="Tahoma"/>
        </w:rPr>
      </w:pPr>
      <w:r w:rsidRPr="004B208C">
        <w:rPr>
          <w:rFonts w:cs="Tahoma"/>
          <w:color w:val="000000"/>
        </w:rPr>
        <w:t>External Connector do Lync Server 2010 Standard</w:t>
      </w:r>
    </w:p>
    <w:p w:rsidR="00685009" w:rsidRPr="004B208C" w:rsidRDefault="00685009" w:rsidP="00685009">
      <w:pPr>
        <w:rPr>
          <w:rFonts w:cs="Tahoma"/>
        </w:rPr>
      </w:pPr>
      <w:r w:rsidRPr="004B208C">
        <w:rPr>
          <w:rFonts w:cs="Tahoma"/>
          <w:color w:val="000000"/>
        </w:rPr>
        <w:t>Lync Server 2010 Standard Edition</w:t>
      </w:r>
    </w:p>
    <w:p w:rsidR="00685009" w:rsidRPr="004B208C" w:rsidRDefault="00685009" w:rsidP="00685009">
      <w:pPr>
        <w:rPr>
          <w:rFonts w:cs="Tahoma"/>
        </w:rPr>
      </w:pPr>
      <w:r w:rsidRPr="004B208C">
        <w:rPr>
          <w:rFonts w:cs="Tahoma"/>
          <w:color w:val="000000"/>
        </w:rPr>
        <w:t>Office Groove Enterprise Services</w:t>
      </w:r>
    </w:p>
    <w:p w:rsidR="00685009" w:rsidRPr="004B208C" w:rsidRDefault="00685009" w:rsidP="00685009">
      <w:pPr>
        <w:rPr>
          <w:rFonts w:cs="Tahoma"/>
        </w:rPr>
      </w:pPr>
      <w:r w:rsidRPr="004B208C">
        <w:rPr>
          <w:rFonts w:cs="Tahoma"/>
          <w:color w:val="000000"/>
        </w:rPr>
        <w:t>Office Multi-Language Pack 2010</w:t>
      </w:r>
    </w:p>
    <w:p w:rsidR="00685009" w:rsidRPr="004B208C" w:rsidRDefault="00685009" w:rsidP="00685009">
      <w:pPr>
        <w:rPr>
          <w:rFonts w:cs="Tahoma"/>
        </w:rPr>
      </w:pPr>
      <w:r w:rsidRPr="004B208C">
        <w:rPr>
          <w:rFonts w:cs="Tahoma"/>
          <w:color w:val="000000"/>
        </w:rPr>
        <w:t>Office Professional Plus 2010</w:t>
      </w:r>
    </w:p>
    <w:p w:rsidR="00685009" w:rsidRPr="004B208C" w:rsidRDefault="00685009" w:rsidP="00685009">
      <w:pPr>
        <w:rPr>
          <w:rFonts w:cs="Tahoma"/>
        </w:rPr>
      </w:pPr>
      <w:r w:rsidRPr="004B208C">
        <w:rPr>
          <w:rFonts w:cs="Tahoma"/>
          <w:color w:val="000000"/>
        </w:rPr>
        <w:t>Office Standard 2010</w:t>
      </w:r>
    </w:p>
    <w:p w:rsidR="00685009" w:rsidRPr="004B208C" w:rsidRDefault="00685009" w:rsidP="00685009">
      <w:pPr>
        <w:rPr>
          <w:rFonts w:cs="Tahoma"/>
        </w:rPr>
      </w:pPr>
      <w:r w:rsidRPr="004B208C">
        <w:rPr>
          <w:rFonts w:cs="Tahoma"/>
          <w:color w:val="000000"/>
        </w:rPr>
        <w:t>Office Small Business Get Genuine</w:t>
      </w:r>
    </w:p>
    <w:p w:rsidR="00685009" w:rsidRPr="004B208C" w:rsidRDefault="00685009" w:rsidP="00685009">
      <w:pPr>
        <w:rPr>
          <w:rFonts w:cs="Tahoma"/>
        </w:rPr>
      </w:pPr>
      <w:r w:rsidRPr="004B208C">
        <w:rPr>
          <w:rFonts w:cs="Tahoma"/>
          <w:color w:val="000000"/>
        </w:rPr>
        <w:lastRenderedPageBreak/>
        <w:t>OneNote 2010</w:t>
      </w:r>
    </w:p>
    <w:p w:rsidR="00685009" w:rsidRPr="004B208C" w:rsidRDefault="00685009" w:rsidP="00685009">
      <w:pPr>
        <w:rPr>
          <w:rFonts w:cs="Tahoma"/>
        </w:rPr>
      </w:pPr>
      <w:r w:rsidRPr="004B208C">
        <w:rPr>
          <w:rFonts w:cs="Tahoma"/>
          <w:color w:val="000000"/>
        </w:rPr>
        <w:t>Outlook 2010</w:t>
      </w:r>
    </w:p>
    <w:p w:rsidR="00685009" w:rsidRPr="004B208C" w:rsidRDefault="00685009" w:rsidP="00685009">
      <w:pPr>
        <w:rPr>
          <w:rFonts w:cs="Tahoma"/>
        </w:rPr>
      </w:pPr>
      <w:r w:rsidRPr="004B208C">
        <w:rPr>
          <w:rFonts w:cs="Tahoma"/>
          <w:color w:val="000000"/>
        </w:rPr>
        <w:t>Outlook com Business Contact Manager</w:t>
      </w:r>
    </w:p>
    <w:p w:rsidR="00685009" w:rsidRPr="004B208C" w:rsidRDefault="00685009" w:rsidP="00685009">
      <w:pPr>
        <w:rPr>
          <w:rFonts w:cs="Tahoma"/>
        </w:rPr>
      </w:pPr>
      <w:r w:rsidRPr="004B208C">
        <w:rPr>
          <w:rFonts w:cs="Tahoma"/>
          <w:color w:val="000000"/>
        </w:rPr>
        <w:t>PowerPoint 2010</w:t>
      </w:r>
    </w:p>
    <w:p w:rsidR="00685009" w:rsidRPr="004B208C" w:rsidRDefault="00685009" w:rsidP="00685009">
      <w:pPr>
        <w:rPr>
          <w:rFonts w:cs="Tahoma"/>
        </w:rPr>
      </w:pPr>
      <w:r w:rsidRPr="004B208C">
        <w:rPr>
          <w:rFonts w:cs="Tahoma"/>
          <w:color w:val="000000"/>
        </w:rPr>
        <w:t>Project 2010 Standard</w:t>
      </w:r>
    </w:p>
    <w:p w:rsidR="00685009" w:rsidRPr="004B208C" w:rsidRDefault="00685009" w:rsidP="00685009">
      <w:pPr>
        <w:rPr>
          <w:rFonts w:cs="Tahoma"/>
        </w:rPr>
      </w:pPr>
      <w:r w:rsidRPr="004B208C">
        <w:rPr>
          <w:rFonts w:cs="Tahoma"/>
          <w:color w:val="000000"/>
        </w:rPr>
        <w:t>Project 2010 Professional</w:t>
      </w:r>
    </w:p>
    <w:p w:rsidR="00685009" w:rsidRPr="004B208C" w:rsidRDefault="00685009" w:rsidP="00685009">
      <w:pPr>
        <w:rPr>
          <w:rFonts w:cs="Tahoma"/>
        </w:rPr>
      </w:pPr>
      <w:r w:rsidRPr="004B208C">
        <w:rPr>
          <w:rFonts w:cs="Tahoma"/>
          <w:color w:val="000000"/>
        </w:rPr>
        <w:t>Search Server 2010</w:t>
      </w:r>
    </w:p>
    <w:p w:rsidR="00685009" w:rsidRPr="004B208C" w:rsidRDefault="00685009" w:rsidP="00685009">
      <w:pPr>
        <w:rPr>
          <w:rFonts w:cs="Tahoma"/>
        </w:rPr>
      </w:pPr>
      <w:r w:rsidRPr="004B208C">
        <w:rPr>
          <w:rFonts w:cs="Tahoma"/>
          <w:color w:val="000000"/>
        </w:rPr>
        <w:t>SharePoint Server 2010 para Internet Sites Enterprise</w:t>
      </w:r>
    </w:p>
    <w:p w:rsidR="00685009" w:rsidRPr="004B208C" w:rsidRDefault="00685009" w:rsidP="00685009">
      <w:pPr>
        <w:rPr>
          <w:rFonts w:cs="Tahoma"/>
        </w:rPr>
      </w:pPr>
      <w:r w:rsidRPr="004B208C">
        <w:rPr>
          <w:rFonts w:cs="Tahoma"/>
          <w:color w:val="000000"/>
        </w:rPr>
        <w:t>SharePoint Server 2010 para Internet Sites Standard</w:t>
      </w:r>
    </w:p>
    <w:p w:rsidR="00685009" w:rsidRPr="004B208C" w:rsidRDefault="00685009" w:rsidP="00685009">
      <w:pPr>
        <w:rPr>
          <w:rFonts w:cs="Tahoma"/>
        </w:rPr>
      </w:pPr>
      <w:r w:rsidRPr="004B208C">
        <w:rPr>
          <w:rFonts w:cs="Tahoma"/>
          <w:color w:val="000000"/>
        </w:rPr>
        <w:t>SharePoint Workspace 2010</w:t>
      </w:r>
    </w:p>
    <w:p w:rsidR="00685009" w:rsidRPr="004B208C" w:rsidRDefault="00685009" w:rsidP="00685009">
      <w:pPr>
        <w:rPr>
          <w:rFonts w:cs="Tahoma"/>
        </w:rPr>
      </w:pPr>
      <w:r w:rsidRPr="004B208C">
        <w:rPr>
          <w:rFonts w:cs="Tahoma"/>
          <w:color w:val="000000"/>
        </w:rPr>
        <w:t>Visio 2010 Premium</w:t>
      </w:r>
    </w:p>
    <w:p w:rsidR="00685009" w:rsidRPr="004B208C" w:rsidRDefault="00685009" w:rsidP="00685009">
      <w:pPr>
        <w:rPr>
          <w:rFonts w:cs="Tahoma"/>
        </w:rPr>
      </w:pPr>
      <w:r w:rsidRPr="004B208C">
        <w:rPr>
          <w:rFonts w:cs="Tahoma"/>
          <w:color w:val="000000"/>
        </w:rPr>
        <w:t>Visio 2010 Standard</w:t>
      </w:r>
    </w:p>
    <w:p w:rsidR="00685009" w:rsidRPr="004B208C" w:rsidRDefault="00685009" w:rsidP="00685009">
      <w:pPr>
        <w:rPr>
          <w:rFonts w:cs="Tahoma"/>
        </w:rPr>
      </w:pPr>
      <w:r w:rsidRPr="004B208C">
        <w:rPr>
          <w:rFonts w:cs="Tahoma"/>
          <w:color w:val="000000"/>
        </w:rPr>
        <w:t>Windows Intune (Por Dispositivo)</w:t>
      </w:r>
    </w:p>
    <w:p w:rsidR="00685009" w:rsidRPr="004B208C" w:rsidRDefault="00685009" w:rsidP="00685009">
      <w:pPr>
        <w:rPr>
          <w:rFonts w:cs="Tahoma"/>
        </w:rPr>
      </w:pPr>
      <w:r w:rsidRPr="004B208C">
        <w:rPr>
          <w:rFonts w:cs="Tahoma"/>
          <w:color w:val="000000"/>
        </w:rPr>
        <w:t>Complemento do Windows Intune (Por Dispositivo)</w:t>
      </w:r>
    </w:p>
    <w:p w:rsidR="00685009" w:rsidRPr="004B208C" w:rsidRDefault="00685009" w:rsidP="00685009">
      <w:pPr>
        <w:rPr>
          <w:rFonts w:cs="Tahoma"/>
        </w:rPr>
      </w:pPr>
      <w:r w:rsidRPr="004B208C">
        <w:rPr>
          <w:rFonts w:cs="Tahoma"/>
          <w:color w:val="000000"/>
        </w:rPr>
        <w:t>Windows MultiPoint Server 2011 Standard</w:t>
      </w:r>
    </w:p>
    <w:p w:rsidR="00685009" w:rsidRPr="004B208C" w:rsidRDefault="00685009" w:rsidP="00685009">
      <w:pPr>
        <w:rPr>
          <w:rFonts w:cs="Tahoma"/>
        </w:rPr>
      </w:pPr>
      <w:r w:rsidRPr="004B208C">
        <w:rPr>
          <w:rFonts w:cs="Tahoma"/>
          <w:color w:val="000000"/>
        </w:rPr>
        <w:t>Windows MultiPoint Server 2011 Premium</w:t>
      </w:r>
    </w:p>
    <w:p w:rsidR="00685009" w:rsidRPr="004B208C" w:rsidRDefault="00685009" w:rsidP="00685009">
      <w:pPr>
        <w:rPr>
          <w:rFonts w:cs="Tahoma"/>
        </w:rPr>
      </w:pPr>
      <w:r w:rsidRPr="004B208C">
        <w:rPr>
          <w:rFonts w:cs="Tahoma"/>
          <w:color w:val="000000"/>
        </w:rPr>
        <w:t>CAL do Windows MultiPoint Server 2011</w:t>
      </w:r>
    </w:p>
    <w:p w:rsidR="00685009" w:rsidRPr="004B208C" w:rsidRDefault="00685009" w:rsidP="00685009">
      <w:pPr>
        <w:rPr>
          <w:rFonts w:cs="Tahoma"/>
        </w:rPr>
      </w:pPr>
      <w:r w:rsidRPr="004B208C">
        <w:rPr>
          <w:rFonts w:cs="Tahoma"/>
          <w:color w:val="000000"/>
        </w:rPr>
        <w:t>CAL do Windows MultiPoint Server 2011 com CAL do Windows Server 2008</w:t>
      </w:r>
    </w:p>
    <w:p w:rsidR="00685009" w:rsidRPr="004B208C" w:rsidRDefault="00685009" w:rsidP="00685009">
      <w:pPr>
        <w:rPr>
          <w:rFonts w:cs="Tahoma"/>
        </w:rPr>
      </w:pPr>
      <w:r w:rsidRPr="004B208C">
        <w:rPr>
          <w:rFonts w:cs="Tahoma"/>
          <w:color w:val="000000"/>
        </w:rPr>
        <w:t>Windows MultiPoint Server 2011 Premium com CAL do Windows MultiPoint Server 2011 (5 Clientes)</w:t>
      </w:r>
    </w:p>
    <w:p w:rsidR="00685009" w:rsidRPr="004B208C" w:rsidRDefault="00685009" w:rsidP="00685009">
      <w:pPr>
        <w:rPr>
          <w:rFonts w:cs="Tahoma"/>
        </w:rPr>
      </w:pPr>
      <w:r w:rsidRPr="004B208C">
        <w:rPr>
          <w:rFonts w:cs="Tahoma"/>
          <w:color w:val="000000"/>
        </w:rPr>
        <w:t>Windows MultiPoint Server 2011 Premium com CAL do Windows MultiPoint Server 2011 (5 Clientes) com CAL do</w:t>
      </w:r>
      <w:r w:rsidR="00E51ABE">
        <w:rPr>
          <w:rFonts w:cs="Tahoma"/>
          <w:color w:val="000000"/>
        </w:rPr>
        <w:t> </w:t>
      </w:r>
      <w:r w:rsidRPr="004B208C">
        <w:rPr>
          <w:rFonts w:cs="Tahoma"/>
          <w:color w:val="000000"/>
        </w:rPr>
        <w:t>Windows Server 2008 (5 Clientes)</w:t>
      </w:r>
    </w:p>
    <w:p w:rsidR="00685009" w:rsidRPr="004B208C" w:rsidRDefault="00685009" w:rsidP="00685009">
      <w:pPr>
        <w:rPr>
          <w:rFonts w:cs="Tahoma"/>
        </w:rPr>
      </w:pPr>
      <w:r w:rsidRPr="004B208C">
        <w:rPr>
          <w:rFonts w:cs="Tahoma"/>
          <w:color w:val="000000"/>
        </w:rPr>
        <w:t>Word 2010</w:t>
      </w:r>
    </w:p>
    <w:p w:rsidR="00023FE7" w:rsidRPr="00E51ABE" w:rsidRDefault="00EF4590" w:rsidP="00E51ABE">
      <w:pPr>
        <w:spacing w:after="120"/>
        <w:rPr>
          <w:rFonts w:cs="Tahoma"/>
          <w:sz w:val="36"/>
          <w:szCs w:val="36"/>
        </w:rPr>
      </w:pPr>
      <w:r w:rsidRPr="004B208C">
        <w:rPr>
          <w:rFonts w:cs="Tahoma"/>
        </w:rPr>
        <w:br w:type="page"/>
      </w:r>
      <w:bookmarkStart w:id="580" w:name="_Toc336338180"/>
      <w:bookmarkStart w:id="581" w:name="_Toc370981295"/>
      <w:r w:rsidRPr="00E51ABE">
        <w:rPr>
          <w:rStyle w:val="Heading1Char"/>
          <w:rFonts w:cs="Tahoma"/>
        </w:rPr>
        <w:lastRenderedPageBreak/>
        <w:t>Seção 2 – promoções de ProdutoS</w:t>
      </w:r>
      <w:bookmarkEnd w:id="580"/>
      <w:bookmarkEnd w:id="581"/>
    </w:p>
    <w:p w:rsidR="00023FE7" w:rsidRPr="00E51ABE" w:rsidRDefault="00023FE7" w:rsidP="00510F6B">
      <w:pPr>
        <w:ind w:right="720"/>
        <w:rPr>
          <w:rFonts w:cs="Tahoma"/>
          <w:sz w:val="24"/>
          <w:szCs w:val="24"/>
        </w:rPr>
      </w:pPr>
    </w:p>
    <w:p w:rsidR="00187499" w:rsidRPr="004B208C" w:rsidRDefault="00187499" w:rsidP="005D753D">
      <w:pPr>
        <w:pStyle w:val="Heading2"/>
        <w:spacing w:after="120"/>
        <w:ind w:left="0"/>
        <w:rPr>
          <w:rFonts w:ascii="Tahoma" w:hAnsi="Tahoma" w:cs="Tahoma"/>
        </w:rPr>
      </w:pPr>
      <w:bookmarkStart w:id="582" w:name="_Toc336338182"/>
      <w:bookmarkStart w:id="583" w:name="_Toc370981296"/>
      <w:r w:rsidRPr="004B208C">
        <w:rPr>
          <w:rFonts w:ascii="Tahoma" w:hAnsi="Tahoma" w:cs="Tahoma"/>
          <w:color w:val="FF9429"/>
        </w:rPr>
        <w:t>Microsoft Dynamics AX 2012 R2 - Promoção de Introdução ao EA</w:t>
      </w:r>
      <w:bookmarkEnd w:id="583"/>
    </w:p>
    <w:bookmarkEnd w:id="582"/>
    <w:p w:rsidR="001D214E" w:rsidRPr="004B208C" w:rsidRDefault="001D214E" w:rsidP="005D753D">
      <w:pPr>
        <w:spacing w:after="120" w:line="276" w:lineRule="auto"/>
        <w:rPr>
          <w:rFonts w:cs="Tahoma"/>
        </w:rPr>
      </w:pPr>
      <w:r w:rsidRPr="004B208C">
        <w:rPr>
          <w:rFonts w:cs="Tahoma"/>
        </w:rPr>
        <w:t xml:space="preserve">Como uma oferta por tempo limitado de </w:t>
      </w:r>
      <w:r w:rsidRPr="004B208C">
        <w:rPr>
          <w:rFonts w:eastAsia="Calibri" w:cs="Tahoma"/>
          <w:szCs w:val="18"/>
        </w:rPr>
        <w:t>1o. de março de 2013 a 31 de dezembro de 2013, a Microsoft oferece 3</w:t>
      </w:r>
      <w:r w:rsidR="00E51ABE">
        <w:rPr>
          <w:rFonts w:eastAsia="Calibri" w:cs="Tahoma"/>
          <w:szCs w:val="18"/>
        </w:rPr>
        <w:t> </w:t>
      </w:r>
      <w:r w:rsidRPr="004B208C">
        <w:rPr>
          <w:rFonts w:eastAsia="Calibri" w:cs="Tahoma"/>
          <w:szCs w:val="18"/>
        </w:rPr>
        <w:t>(três) CALs Empresariais e 50 (cinquenta) CALs de Autoatendimento com a aquisição da primeira licença do Microsoft Dynamics AX</w:t>
      </w:r>
      <w:r w:rsidRPr="004B208C">
        <w:rPr>
          <w:rFonts w:cs="Tahoma"/>
        </w:rPr>
        <w:t xml:space="preserve"> 2012 </w:t>
      </w:r>
      <w:r w:rsidRPr="004B208C">
        <w:rPr>
          <w:rFonts w:eastAsia="Calibri" w:cs="Tahoma"/>
          <w:szCs w:val="18"/>
        </w:rPr>
        <w:t>R2 Server.</w:t>
      </w:r>
      <w:r w:rsidR="00172F11">
        <w:rPr>
          <w:rFonts w:cs="Tahoma"/>
        </w:rPr>
        <w:t xml:space="preserve"> </w:t>
      </w:r>
      <w:r w:rsidRPr="004B208C">
        <w:rPr>
          <w:rFonts w:cs="Tahoma"/>
        </w:rPr>
        <w:t xml:space="preserve">Essa promoção está disponível </w:t>
      </w:r>
      <w:r w:rsidRPr="004B208C">
        <w:rPr>
          <w:rFonts w:eastAsia="Calibri" w:cs="Tahoma"/>
          <w:szCs w:val="18"/>
        </w:rPr>
        <w:t xml:space="preserve">somente </w:t>
      </w:r>
      <w:r w:rsidRPr="004B208C">
        <w:rPr>
          <w:rFonts w:cs="Tahoma"/>
        </w:rPr>
        <w:t>nos programas de licenciamento Microsoft Enterprise Agreement</w:t>
      </w:r>
      <w:r w:rsidRPr="004B208C">
        <w:rPr>
          <w:rFonts w:eastAsia="Calibri" w:cs="Tahoma"/>
          <w:szCs w:val="18"/>
        </w:rPr>
        <w:t xml:space="preserve">. </w:t>
      </w:r>
    </w:p>
    <w:p w:rsidR="00187499" w:rsidRPr="004B208C" w:rsidRDefault="00187499" w:rsidP="005D753D">
      <w:pPr>
        <w:spacing w:after="120" w:line="276" w:lineRule="auto"/>
        <w:rPr>
          <w:rFonts w:cs="Tahoma"/>
        </w:rPr>
      </w:pPr>
      <w:r w:rsidRPr="004B208C">
        <w:rPr>
          <w:rFonts w:eastAsia="Calibri" w:cs="Tahoma"/>
          <w:szCs w:val="18"/>
        </w:rPr>
        <w:t>Todas as licenças concedidas sob esta oferta incluirão cobertura do Software Assurance. Essa cobertura se encerrará no término da cobertura nas licenças qualificadas. Ao término dessa cobertura, os clientes poderão renovar o</w:t>
      </w:r>
      <w:r w:rsidR="00E51ABE">
        <w:rPr>
          <w:rFonts w:eastAsia="Calibri" w:cs="Tahoma"/>
          <w:szCs w:val="18"/>
        </w:rPr>
        <w:t> </w:t>
      </w:r>
      <w:r w:rsidRPr="004B208C">
        <w:rPr>
          <w:rFonts w:eastAsia="Calibri" w:cs="Tahoma"/>
          <w:szCs w:val="18"/>
        </w:rPr>
        <w:t xml:space="preserve">Software Assurance sobre as licenças outorgadas. </w:t>
      </w:r>
      <w:bookmarkStart w:id="584" w:name="_Toc336338183"/>
      <w:r w:rsidRPr="004B208C">
        <w:rPr>
          <w:rFonts w:eastAsia="Calibri" w:cs="Tahoma"/>
          <w:szCs w:val="18"/>
        </w:rPr>
        <w:t>O direito de usar o software outorgado expirará quando o</w:t>
      </w:r>
      <w:r w:rsidR="00E51ABE">
        <w:rPr>
          <w:rFonts w:eastAsia="Calibri" w:cs="Tahoma"/>
          <w:szCs w:val="18"/>
        </w:rPr>
        <w:t> </w:t>
      </w:r>
      <w:r w:rsidRPr="004B208C">
        <w:rPr>
          <w:rFonts w:eastAsia="Calibri" w:cs="Tahoma"/>
          <w:szCs w:val="18"/>
        </w:rPr>
        <w:t>direito</w:t>
      </w:r>
      <w:r w:rsidR="00E51ABE">
        <w:rPr>
          <w:rFonts w:eastAsia="Calibri" w:cs="Tahoma"/>
          <w:szCs w:val="18"/>
        </w:rPr>
        <w:t> </w:t>
      </w:r>
      <w:r w:rsidRPr="004B208C">
        <w:rPr>
          <w:rFonts w:eastAsia="Calibri" w:cs="Tahoma"/>
          <w:szCs w:val="18"/>
        </w:rPr>
        <w:t>de usar o software de acordo com a licença qualificada do Microsoft Dynamics AX 2012 R2 Server expirar. A</w:t>
      </w:r>
      <w:r w:rsidR="00E51ABE">
        <w:rPr>
          <w:rFonts w:eastAsia="Calibri" w:cs="Tahoma"/>
          <w:szCs w:val="18"/>
        </w:rPr>
        <w:t> </w:t>
      </w:r>
      <w:r w:rsidRPr="004B208C">
        <w:rPr>
          <w:rFonts w:eastAsia="Calibri" w:cs="Tahoma"/>
          <w:szCs w:val="18"/>
        </w:rPr>
        <w:t>evidência da licença do Servidor qualificada e esta Nota do Produto evidenciarão o direito do cliente de usar as licenças do Microsoft Dynamics AX 2012 R2 sob os termos desta oferta. Os clientes não poderão transferir as licenças outorgadas sob esta oferta separadamente das licenças qualificadas correspondentes.</w:t>
      </w:r>
    </w:p>
    <w:bookmarkEnd w:id="584"/>
    <w:p w:rsidR="00491DAC" w:rsidRPr="004B208C" w:rsidRDefault="00491DAC" w:rsidP="005D753D">
      <w:pPr>
        <w:spacing w:after="120" w:line="276" w:lineRule="auto"/>
        <w:rPr>
          <w:rFonts w:cs="Tahoma"/>
        </w:rPr>
      </w:pPr>
      <w:r w:rsidRPr="004B208C">
        <w:rPr>
          <w:rFonts w:cs="Tahoma"/>
          <w:color w:val="000000"/>
        </w:rPr>
        <w:t>Programas Plus, WAP, ECI e Open Value.</w:t>
      </w:r>
    </w:p>
    <w:p w:rsidR="00505713" w:rsidRPr="004B208C" w:rsidRDefault="00505713" w:rsidP="005D753D">
      <w:pPr>
        <w:spacing w:after="120" w:line="276" w:lineRule="auto"/>
        <w:rPr>
          <w:rFonts w:cs="Tahoma"/>
        </w:rPr>
      </w:pPr>
    </w:p>
    <w:p w:rsidR="00505713" w:rsidRPr="004B208C" w:rsidRDefault="00505713" w:rsidP="00505713">
      <w:pPr>
        <w:pStyle w:val="Heading2"/>
        <w:spacing w:after="120"/>
        <w:ind w:left="0"/>
        <w:rPr>
          <w:rFonts w:ascii="Tahoma" w:hAnsi="Tahoma" w:cs="Tahoma"/>
        </w:rPr>
      </w:pPr>
      <w:bookmarkStart w:id="585" w:name="_Toc370981297"/>
      <w:r w:rsidRPr="004B208C">
        <w:rPr>
          <w:rFonts w:ascii="Tahoma" w:eastAsia="Times New Roman" w:hAnsi="Tahoma" w:cs="Tahoma"/>
          <w:color w:val="FF9429"/>
        </w:rPr>
        <w:t>Promoção do Windows Intune e Complemento do Intune</w:t>
      </w:r>
      <w:bookmarkEnd w:id="585"/>
    </w:p>
    <w:p w:rsidR="00505713" w:rsidRPr="004B208C" w:rsidRDefault="00505713" w:rsidP="00505713">
      <w:pPr>
        <w:spacing w:after="120" w:line="276" w:lineRule="auto"/>
        <w:rPr>
          <w:rFonts w:cs="Tahoma"/>
        </w:rPr>
      </w:pPr>
      <w:r w:rsidRPr="004B208C">
        <w:rPr>
          <w:rFonts w:cs="Tahoma"/>
        </w:rPr>
        <w:t>Entre 1º de setembro de 2013 e 30 de junho de 2014, a Microsoft oferecerá um desconto de 30% no Intune e no</w:t>
      </w:r>
      <w:r w:rsidR="00E51ABE">
        <w:rPr>
          <w:rFonts w:cs="Tahoma"/>
        </w:rPr>
        <w:t> </w:t>
      </w:r>
      <w:r w:rsidRPr="004B208C">
        <w:rPr>
          <w:rFonts w:cs="Tahoma"/>
        </w:rPr>
        <w:t>Complemento do Intune para System Center Configuration Manager e System Center Endpoint Protection para clientes que adquirirem Pacotes do Office 365 Suites (E/A/G) ou SKUs independentes (ou seja, Exchange online) por</w:t>
      </w:r>
      <w:r w:rsidR="00E51ABE">
        <w:rPr>
          <w:rFonts w:cs="Tahoma"/>
        </w:rPr>
        <w:t> </w:t>
      </w:r>
      <w:r w:rsidRPr="004B208C">
        <w:rPr>
          <w:rFonts w:cs="Tahoma"/>
        </w:rPr>
        <w:t>meio dos programas de Licenciamento por Volume Corporativo.</w:t>
      </w:r>
      <w:r w:rsidR="00172F11">
        <w:rPr>
          <w:rFonts w:cs="Tahoma"/>
        </w:rPr>
        <w:t xml:space="preserve"> </w:t>
      </w:r>
      <w:r w:rsidRPr="004B208C">
        <w:rPr>
          <w:rFonts w:cs="Tahoma"/>
        </w:rPr>
        <w:t>São necessárias no mínimo 250 posições para se</w:t>
      </w:r>
      <w:r w:rsidR="00E51ABE">
        <w:rPr>
          <w:rFonts w:cs="Tahoma"/>
        </w:rPr>
        <w:t> </w:t>
      </w:r>
      <w:r w:rsidRPr="004B208C">
        <w:rPr>
          <w:rFonts w:cs="Tahoma"/>
        </w:rPr>
        <w:t>qualificar para esta oferta. Esta Oferta estará disponível aos clientes por meio dos programas EA, EAS e EES. Os</w:t>
      </w:r>
      <w:r w:rsidR="00E51ABE">
        <w:rPr>
          <w:rFonts w:cs="Tahoma"/>
        </w:rPr>
        <w:t> </w:t>
      </w:r>
      <w:r w:rsidRPr="004B208C">
        <w:rPr>
          <w:rFonts w:cs="Tahoma"/>
        </w:rPr>
        <w:t>segmentos de clientes escolhidos incluem EPG Commercial, Government, Education, bem como SMS&amp;P Commercial, Government, Education.</w:t>
      </w:r>
    </w:p>
    <w:p w:rsidR="00505713" w:rsidRPr="004B208C" w:rsidRDefault="00505713" w:rsidP="00505713">
      <w:pPr>
        <w:ind w:left="720"/>
        <w:rPr>
          <w:rFonts w:cs="Tahoma"/>
        </w:rPr>
      </w:pPr>
    </w:p>
    <w:p w:rsidR="00505713" w:rsidRPr="004B208C" w:rsidRDefault="00505713" w:rsidP="00505713">
      <w:pPr>
        <w:rPr>
          <w:rFonts w:cs="Tahoma"/>
        </w:rPr>
      </w:pPr>
    </w:p>
    <w:p w:rsidR="00505713" w:rsidRPr="004B208C" w:rsidRDefault="00505713" w:rsidP="00505713">
      <w:pPr>
        <w:pStyle w:val="Heading2"/>
        <w:spacing w:after="120"/>
        <w:ind w:left="0"/>
        <w:rPr>
          <w:rFonts w:ascii="Tahoma" w:hAnsi="Tahoma" w:cs="Tahoma"/>
        </w:rPr>
      </w:pPr>
      <w:bookmarkStart w:id="586" w:name="_Toc370981298"/>
      <w:r w:rsidRPr="004B208C">
        <w:rPr>
          <w:rFonts w:ascii="Tahoma" w:eastAsia="Times New Roman" w:hAnsi="Tahoma" w:cs="Tahoma"/>
          <w:color w:val="FF9429"/>
        </w:rPr>
        <w:t>Aceleração e Adoção do Windows Azure</w:t>
      </w:r>
      <w:bookmarkEnd w:id="586"/>
    </w:p>
    <w:p w:rsidR="00505713" w:rsidRPr="004B208C" w:rsidRDefault="00505713" w:rsidP="00505713">
      <w:pPr>
        <w:spacing w:after="120" w:line="276" w:lineRule="auto"/>
        <w:rPr>
          <w:rFonts w:cs="Tahoma"/>
        </w:rPr>
      </w:pPr>
      <w:r w:rsidRPr="004B208C">
        <w:rPr>
          <w:rFonts w:cs="Tahoma"/>
        </w:rPr>
        <w:t>Entre 1º de novembro de 2013 e 30 de junho de 2014, a Microsoft oferecerá três Créditos de Compromisso Monetário promocionais para os clientes que atingirem um determinado limite de Compromisso Monetário adiantado:</w:t>
      </w:r>
      <w:r w:rsidR="00172F11">
        <w:rPr>
          <w:rFonts w:cs="Tahoma"/>
        </w:rPr>
        <w:t xml:space="preserve"> </w:t>
      </w:r>
    </w:p>
    <w:p w:rsidR="00505713" w:rsidRPr="00E51ABE" w:rsidRDefault="00505713" w:rsidP="00A1385C">
      <w:pPr>
        <w:pStyle w:val="ListParagraph"/>
        <w:numPr>
          <w:ilvl w:val="0"/>
          <w:numId w:val="127"/>
        </w:numPr>
        <w:spacing w:after="120" w:line="276" w:lineRule="auto"/>
        <w:rPr>
          <w:rFonts w:ascii="Tahoma" w:hAnsi="Tahoma" w:cs="Tahoma"/>
          <w:sz w:val="18"/>
          <w:szCs w:val="18"/>
        </w:rPr>
      </w:pPr>
      <w:r w:rsidRPr="00E51ABE">
        <w:rPr>
          <w:rFonts w:ascii="Tahoma" w:hAnsi="Tahoma" w:cs="Tahoma"/>
          <w:sz w:val="18"/>
          <w:szCs w:val="18"/>
        </w:rPr>
        <w:t>$ 50 mil + compromisso monetário adiantado estará qualificado para $ 2.500 adicionais em crédito de compromisso monetário promocional</w:t>
      </w:r>
    </w:p>
    <w:p w:rsidR="00505713" w:rsidRPr="00E51ABE" w:rsidRDefault="00505713" w:rsidP="00A1385C">
      <w:pPr>
        <w:pStyle w:val="ListParagraph"/>
        <w:numPr>
          <w:ilvl w:val="0"/>
          <w:numId w:val="127"/>
        </w:numPr>
        <w:spacing w:after="120" w:line="276" w:lineRule="auto"/>
        <w:rPr>
          <w:rFonts w:ascii="Tahoma" w:hAnsi="Tahoma" w:cs="Tahoma"/>
          <w:sz w:val="18"/>
          <w:szCs w:val="18"/>
        </w:rPr>
      </w:pPr>
      <w:r w:rsidRPr="00E51ABE">
        <w:rPr>
          <w:rFonts w:ascii="Tahoma" w:hAnsi="Tahoma" w:cs="Tahoma"/>
          <w:sz w:val="18"/>
          <w:szCs w:val="18"/>
        </w:rPr>
        <w:t>$ 100 mil + compromisso monetário adiantado estará qualificado para $ 8.000 adicionais em crédito de compromisso monetário promocional</w:t>
      </w:r>
    </w:p>
    <w:p w:rsidR="00505713" w:rsidRPr="00E51ABE" w:rsidRDefault="00505713" w:rsidP="00A1385C">
      <w:pPr>
        <w:pStyle w:val="ListParagraph"/>
        <w:numPr>
          <w:ilvl w:val="0"/>
          <w:numId w:val="127"/>
        </w:numPr>
        <w:spacing w:after="120" w:line="276" w:lineRule="auto"/>
        <w:rPr>
          <w:rFonts w:ascii="Tahoma" w:hAnsi="Tahoma" w:cs="Tahoma"/>
          <w:sz w:val="18"/>
          <w:szCs w:val="18"/>
        </w:rPr>
      </w:pPr>
      <w:r w:rsidRPr="00E51ABE">
        <w:rPr>
          <w:rFonts w:ascii="Tahoma" w:hAnsi="Tahoma" w:cs="Tahoma"/>
          <w:sz w:val="18"/>
          <w:szCs w:val="18"/>
        </w:rPr>
        <w:t>$ 200 mil + compromisso monetário adiantado estará qualificado para $ 20.000 adicionais em crédito de compromisso monetário promocional</w:t>
      </w:r>
    </w:p>
    <w:p w:rsidR="00505713" w:rsidRPr="004B208C" w:rsidRDefault="00505713" w:rsidP="00505713">
      <w:pPr>
        <w:spacing w:after="120" w:line="276" w:lineRule="auto"/>
        <w:rPr>
          <w:rFonts w:cs="Tahoma"/>
        </w:rPr>
      </w:pPr>
      <w:r w:rsidRPr="004B208C">
        <w:rPr>
          <w:rFonts w:cs="Tahoma"/>
        </w:rPr>
        <w:t>Os clientes não podem acumular essas ofertas promocionais para se qualificar para créditos adicionais.</w:t>
      </w:r>
      <w:r w:rsidR="00172F11">
        <w:rPr>
          <w:rFonts w:cs="Tahoma"/>
        </w:rPr>
        <w:t xml:space="preserve"> </w:t>
      </w:r>
      <w:r w:rsidRPr="004B208C">
        <w:rPr>
          <w:rFonts w:cs="Tahoma"/>
        </w:rPr>
        <w:t>Um cliente comprometendo-se com $ 150 mil adiantados ainda só estará qualificado para o crédito promocional de $ 8.000 enquanto um cliente comprometendo-se com $ 300 mil só estará qualificado para o crédito promocional de $ 20.000.</w:t>
      </w:r>
      <w:r w:rsidR="00172F11">
        <w:rPr>
          <w:rFonts w:cs="Tahoma"/>
        </w:rPr>
        <w:t xml:space="preserve"> </w:t>
      </w:r>
      <w:r w:rsidRPr="004B208C">
        <w:rPr>
          <w:rFonts w:cs="Tahoma"/>
        </w:rPr>
        <w:t>Todo o crédito de compromisso monetário promocional será adicionado ao saldo da conta de Compromisso Monetário EA do cliente à medida que a Tabela de Preços ao Cliente é processada com o SKU de crédito promocional apropriado e a compra do Compromisso Monetário adiantado correspondente.</w:t>
      </w:r>
      <w:r w:rsidR="00172F11">
        <w:rPr>
          <w:rFonts w:cs="Tahoma"/>
        </w:rPr>
        <w:t xml:space="preserve"> </w:t>
      </w:r>
      <w:r w:rsidRPr="004B208C">
        <w:rPr>
          <w:rFonts w:cs="Tahoma"/>
        </w:rPr>
        <w:t xml:space="preserve">Esta Oferta estará disponível aos clientes por meio dos programas EA, EAS, EAP, EWA e o futuro SCE. </w:t>
      </w:r>
    </w:p>
    <w:p w:rsidR="00505713" w:rsidRDefault="00505713" w:rsidP="00505713">
      <w:pPr>
        <w:rPr>
          <w:rFonts w:cs="Tahoma"/>
        </w:rPr>
      </w:pPr>
    </w:p>
    <w:p w:rsidR="00E51ABE" w:rsidRPr="004B208C" w:rsidRDefault="00E51ABE" w:rsidP="00505713">
      <w:pPr>
        <w:rPr>
          <w:rFonts w:cs="Tahoma"/>
        </w:rPr>
      </w:pPr>
    </w:p>
    <w:p w:rsidR="00505713" w:rsidRPr="004B208C" w:rsidRDefault="00505713" w:rsidP="00505713">
      <w:pPr>
        <w:pStyle w:val="Heading2"/>
        <w:spacing w:after="120"/>
        <w:ind w:left="0"/>
        <w:rPr>
          <w:rFonts w:ascii="Tahoma" w:hAnsi="Tahoma" w:cs="Tahoma"/>
        </w:rPr>
      </w:pPr>
      <w:bookmarkStart w:id="587" w:name="_Toc370981299"/>
      <w:r w:rsidRPr="004B208C">
        <w:rPr>
          <w:rFonts w:ascii="Tahoma" w:eastAsia="Times New Roman" w:hAnsi="Tahoma" w:cs="Tahoma"/>
          <w:color w:val="FF9429"/>
        </w:rPr>
        <w:lastRenderedPageBreak/>
        <w:t>Visual Studio Test Pro com Promoção do MSDN</w:t>
      </w:r>
      <w:bookmarkEnd w:id="587"/>
    </w:p>
    <w:p w:rsidR="00505713" w:rsidRPr="004B208C" w:rsidRDefault="00505713" w:rsidP="00505713">
      <w:pPr>
        <w:rPr>
          <w:rFonts w:cs="Tahoma"/>
        </w:rPr>
      </w:pPr>
      <w:r w:rsidRPr="004B208C">
        <w:rPr>
          <w:rFonts w:cs="Tahoma"/>
        </w:rPr>
        <w:t>Entre 1º de outubro de 2013 e 30 de junho de 2014, a Microsoft oferecerá um desconto de 35% no Visual Studio 2013 Test Pro com MSDN aos clientes que comprarem esses produtos por meio do Licenciamento por Volume Corporativo.</w:t>
      </w:r>
      <w:r w:rsidR="00172F11">
        <w:rPr>
          <w:rFonts w:cs="Tahoma"/>
        </w:rPr>
        <w:t xml:space="preserve"> </w:t>
      </w:r>
      <w:r w:rsidRPr="004B208C">
        <w:rPr>
          <w:rFonts w:cs="Tahoma"/>
        </w:rPr>
        <w:t>Esta oferta só se aplicará às novas compras e estará disponível aos clientes por meio dos programas EA, EAP, Select Plus e Open Value. Os segmentos de clientes escolhidos incluem EPG Commercial, Contas Comerciais SMS&amp;P e Government.</w:t>
      </w:r>
    </w:p>
    <w:p w:rsidR="00505713" w:rsidRPr="004B208C" w:rsidRDefault="00505713" w:rsidP="00505713">
      <w:pPr>
        <w:rPr>
          <w:rFonts w:cs="Tahoma"/>
        </w:rPr>
      </w:pPr>
    </w:p>
    <w:p w:rsidR="00505713" w:rsidRPr="004B208C" w:rsidRDefault="00505713" w:rsidP="00505713">
      <w:pPr>
        <w:rPr>
          <w:rFonts w:cs="Tahoma"/>
        </w:rPr>
      </w:pPr>
    </w:p>
    <w:p w:rsidR="00505713" w:rsidRPr="004B208C" w:rsidRDefault="00505713" w:rsidP="00505713">
      <w:pPr>
        <w:pStyle w:val="Heading2"/>
        <w:spacing w:after="120"/>
        <w:ind w:left="0"/>
        <w:rPr>
          <w:rFonts w:ascii="Tahoma" w:hAnsi="Tahoma" w:cs="Tahoma"/>
        </w:rPr>
      </w:pPr>
      <w:bookmarkStart w:id="588" w:name="_Toc370981300"/>
      <w:r w:rsidRPr="004B208C">
        <w:rPr>
          <w:rFonts w:ascii="Tahoma" w:eastAsia="Times New Roman" w:hAnsi="Tahoma" w:cs="Tahoma"/>
          <w:color w:val="FF9429"/>
        </w:rPr>
        <w:t>Registro de Servidor e Nuvem Jumpstart do Ano Fiscal de 2014</w:t>
      </w:r>
      <w:bookmarkEnd w:id="588"/>
    </w:p>
    <w:p w:rsidR="00505713" w:rsidRPr="004B208C" w:rsidRDefault="00505713" w:rsidP="00505713">
      <w:pPr>
        <w:rPr>
          <w:rFonts w:cs="Tahoma"/>
        </w:rPr>
      </w:pPr>
      <w:r w:rsidRPr="004B208C">
        <w:rPr>
          <w:rFonts w:cs="Tahoma"/>
        </w:rPr>
        <w:t>Entre 1º de novembro de 2013 e 30 de junho de 2014, a Microsoft oferecerá um desconto de 15% no L&amp;SA do Core Infrastructure Suite Data Center bem como somente para SA aos clientes que comprarem esses produtos por meio do Licenciamento por Volume Corporativo.</w:t>
      </w:r>
      <w:r w:rsidR="00172F11">
        <w:rPr>
          <w:rFonts w:cs="Tahoma"/>
        </w:rPr>
        <w:t xml:space="preserve"> </w:t>
      </w:r>
      <w:r w:rsidRPr="004B208C">
        <w:rPr>
          <w:rFonts w:cs="Tahoma"/>
        </w:rPr>
        <w:t xml:space="preserve">Esta oferta é restrita a novas compras e estará disponível aos clientes por meio do Programa de Registro de Servidor e Nuvem e estará disponível a todos os segmentos de clientes. </w:t>
      </w:r>
    </w:p>
    <w:p w:rsidR="00505713" w:rsidRPr="004B208C" w:rsidRDefault="00505713" w:rsidP="00505713">
      <w:pPr>
        <w:rPr>
          <w:rFonts w:cs="Tahoma"/>
        </w:rPr>
      </w:pPr>
    </w:p>
    <w:p w:rsidR="00505713" w:rsidRPr="004B208C" w:rsidRDefault="00505713" w:rsidP="00505713">
      <w:pPr>
        <w:rPr>
          <w:rFonts w:cs="Tahoma"/>
        </w:rPr>
      </w:pPr>
    </w:p>
    <w:p w:rsidR="00505713" w:rsidRPr="004B208C" w:rsidRDefault="00505713" w:rsidP="00505713">
      <w:pPr>
        <w:pStyle w:val="Heading2"/>
        <w:spacing w:after="120"/>
        <w:ind w:left="0"/>
        <w:rPr>
          <w:rFonts w:ascii="Tahoma" w:hAnsi="Tahoma" w:cs="Tahoma"/>
        </w:rPr>
      </w:pPr>
      <w:bookmarkStart w:id="589" w:name="_Toc370981301"/>
      <w:r w:rsidRPr="004B208C">
        <w:rPr>
          <w:rFonts w:ascii="Tahoma" w:eastAsia="Times New Roman" w:hAnsi="Tahoma" w:cs="Tahoma"/>
          <w:color w:val="FF9429"/>
        </w:rPr>
        <w:t>Gerenciamento de Projeto e Portfólio na Promoção da Nuvem</w:t>
      </w:r>
      <w:bookmarkEnd w:id="589"/>
    </w:p>
    <w:p w:rsidR="00505713" w:rsidRPr="004B208C" w:rsidRDefault="00505713" w:rsidP="00505713">
      <w:pPr>
        <w:rPr>
          <w:rFonts w:cs="Tahoma"/>
        </w:rPr>
      </w:pPr>
      <w:r w:rsidRPr="004B208C">
        <w:rPr>
          <w:rFonts w:cs="Tahoma"/>
        </w:rPr>
        <w:t>Entre 1º de outubro de 2013 e 31 de março de 2014, a Microsoft oferecerá um desconto de 25% no Project Online e</w:t>
      </w:r>
      <w:r w:rsidR="00E51ABE">
        <w:rPr>
          <w:rFonts w:cs="Tahoma"/>
        </w:rPr>
        <w:t> </w:t>
      </w:r>
      <w:r w:rsidRPr="004B208C">
        <w:rPr>
          <w:rFonts w:cs="Tahoma"/>
        </w:rPr>
        <w:t>no Project Online com Project Pro para Office 365 aos clientes que comprarem esses produtos por meio do Licenciamento por Volume Corporativo ou pelo Portal de Serviços Online da Microsoft.</w:t>
      </w:r>
      <w:r w:rsidR="00172F11">
        <w:rPr>
          <w:rFonts w:cs="Tahoma"/>
        </w:rPr>
        <w:t xml:space="preserve"> </w:t>
      </w:r>
      <w:r w:rsidRPr="004B208C">
        <w:rPr>
          <w:rFonts w:cs="Tahoma"/>
        </w:rPr>
        <w:t>São necessárias no mínimo 200 posições para se qualificar para esta oferta. Esta Oferta estará disponível aos clientes por meio dos programas EA, EAS e MOSP. Os segmentos de clientes escolhidos incluem EPG Commercial e SMS&amp;P Commercial.</w:t>
      </w:r>
    </w:p>
    <w:p w:rsidR="00676723" w:rsidRPr="004B208C" w:rsidRDefault="00676723" w:rsidP="005D753D">
      <w:pPr>
        <w:spacing w:after="120" w:line="276" w:lineRule="auto"/>
        <w:rPr>
          <w:rFonts w:cs="Tahoma"/>
        </w:rPr>
      </w:pPr>
      <w:r w:rsidRPr="004B208C">
        <w:rPr>
          <w:rFonts w:cs="Tahoma"/>
          <w:color w:val="000000" w:themeColor="text1"/>
          <w:szCs w:val="18"/>
        </w:rPr>
        <w:br w:type="page"/>
      </w:r>
    </w:p>
    <w:p w:rsidR="00023FE7" w:rsidRPr="004B208C" w:rsidRDefault="00714962" w:rsidP="0065137B">
      <w:pPr>
        <w:pStyle w:val="Heading1"/>
        <w:spacing w:before="0"/>
        <w:rPr>
          <w:rFonts w:cs="Tahoma"/>
        </w:rPr>
      </w:pPr>
      <w:bookmarkStart w:id="590" w:name="_Toc336338188"/>
      <w:bookmarkStart w:id="591" w:name="_Toc370981302"/>
      <w:r w:rsidRPr="004B208C">
        <w:rPr>
          <w:rFonts w:cs="Tahoma"/>
        </w:rPr>
        <w:lastRenderedPageBreak/>
        <w:t>SEÇÃO 3 – TERMOS do Programa de</w:t>
      </w:r>
      <w:r w:rsidR="00E51ABE">
        <w:rPr>
          <w:rFonts w:cs="Tahoma"/>
        </w:rPr>
        <w:t> </w:t>
      </w:r>
      <w:r w:rsidRPr="004B208C">
        <w:rPr>
          <w:rFonts w:cs="Tahoma"/>
        </w:rPr>
        <w:t>Licenciamento por Volume</w:t>
      </w:r>
      <w:bookmarkEnd w:id="590"/>
      <w:bookmarkEnd w:id="591"/>
    </w:p>
    <w:p w:rsidR="00E64551" w:rsidRPr="00E51ABE" w:rsidRDefault="00E64551" w:rsidP="00456002">
      <w:pPr>
        <w:pStyle w:val="Heading3"/>
        <w:ind w:right="720"/>
        <w:rPr>
          <w:rFonts w:ascii="Tahoma" w:hAnsi="Tahoma" w:cs="Tahoma"/>
          <w:sz w:val="24"/>
          <w:szCs w:val="24"/>
        </w:rPr>
      </w:pPr>
      <w:bookmarkStart w:id="592" w:name="_Toc323159724"/>
    </w:p>
    <w:p w:rsidR="00456002" w:rsidRPr="004B208C" w:rsidRDefault="00456002" w:rsidP="003E606C">
      <w:pPr>
        <w:pStyle w:val="Heading3"/>
        <w:ind w:right="720"/>
        <w:rPr>
          <w:rFonts w:ascii="Tahoma" w:hAnsi="Tahoma" w:cs="Tahoma"/>
        </w:rPr>
      </w:pPr>
      <w:bookmarkStart w:id="593" w:name="_Toc336338189"/>
      <w:bookmarkStart w:id="594" w:name="_Toc370981303"/>
      <w:r w:rsidRPr="004B208C">
        <w:rPr>
          <w:rFonts w:ascii="Tahoma" w:hAnsi="Tahoma" w:cs="Tahoma"/>
          <w:sz w:val="24"/>
          <w:szCs w:val="22"/>
        </w:rPr>
        <w:t>Programas de Licenciamento por Volume Aplicáveis</w:t>
      </w:r>
      <w:bookmarkEnd w:id="593"/>
      <w:bookmarkEnd w:id="594"/>
      <w:r w:rsidRPr="004B208C">
        <w:rPr>
          <w:rFonts w:ascii="Tahoma" w:hAnsi="Tahoma" w:cs="Tahoma"/>
          <w:sz w:val="22"/>
        </w:rPr>
        <w:t xml:space="preserve"> </w:t>
      </w:r>
      <w:bookmarkEnd w:id="592"/>
    </w:p>
    <w:p w:rsidR="00E64551" w:rsidRPr="004B208C" w:rsidRDefault="00E64551" w:rsidP="003E606C">
      <w:pPr>
        <w:rPr>
          <w:rFonts w:cs="Tahoma"/>
        </w:rPr>
      </w:pPr>
    </w:p>
    <w:p w:rsidR="00456002" w:rsidRPr="004B208C" w:rsidRDefault="00456002" w:rsidP="00456002">
      <w:pPr>
        <w:rPr>
          <w:rFonts w:cs="Tahoma"/>
        </w:rPr>
      </w:pPr>
      <w:r w:rsidRPr="004B208C">
        <w:rPr>
          <w:rFonts w:cs="Tahoma"/>
        </w:rPr>
        <w:t>Esta seção se aplica aos seguintes Programas de Licenciamento por Volume, inclusive as versões Academic, Charity e</w:t>
      </w:r>
      <w:r w:rsidR="00E51ABE">
        <w:rPr>
          <w:rFonts w:cs="Tahoma"/>
        </w:rPr>
        <w:t> </w:t>
      </w:r>
      <w:r w:rsidRPr="004B208C">
        <w:rPr>
          <w:rFonts w:cs="Tahoma"/>
        </w:rPr>
        <w:t>Government, onde aplicável.</w:t>
      </w:r>
    </w:p>
    <w:p w:rsidR="00510F6B" w:rsidRPr="004B208C" w:rsidRDefault="00510F6B" w:rsidP="00456002">
      <w:pPr>
        <w:rPr>
          <w:rFonts w:cs="Tahoma"/>
        </w:rPr>
      </w:pPr>
    </w:p>
    <w:p w:rsidR="00456002" w:rsidRPr="004B208C" w:rsidRDefault="00456002" w:rsidP="00822871">
      <w:pPr>
        <w:numPr>
          <w:ilvl w:val="0"/>
          <w:numId w:val="19"/>
        </w:numPr>
        <w:spacing w:after="60"/>
        <w:rPr>
          <w:rFonts w:cs="Tahoma"/>
        </w:rPr>
      </w:pPr>
      <w:r w:rsidRPr="004B208C">
        <w:rPr>
          <w:rFonts w:cs="Tahoma"/>
        </w:rPr>
        <w:t>Licença Open</w:t>
      </w:r>
    </w:p>
    <w:p w:rsidR="00456002" w:rsidRPr="004B208C" w:rsidRDefault="00456002" w:rsidP="00822871">
      <w:pPr>
        <w:numPr>
          <w:ilvl w:val="0"/>
          <w:numId w:val="19"/>
        </w:numPr>
        <w:spacing w:after="60"/>
        <w:rPr>
          <w:rFonts w:cs="Tahoma"/>
        </w:rPr>
      </w:pPr>
      <w:r w:rsidRPr="004B208C">
        <w:rPr>
          <w:rFonts w:cs="Tahoma"/>
        </w:rPr>
        <w:t xml:space="preserve">Open Value </w:t>
      </w:r>
    </w:p>
    <w:p w:rsidR="00456002" w:rsidRPr="004B208C" w:rsidRDefault="00456002" w:rsidP="00822871">
      <w:pPr>
        <w:numPr>
          <w:ilvl w:val="0"/>
          <w:numId w:val="19"/>
        </w:numPr>
        <w:spacing w:after="60"/>
        <w:rPr>
          <w:rFonts w:cs="Tahoma"/>
        </w:rPr>
      </w:pPr>
      <w:r w:rsidRPr="004B208C">
        <w:rPr>
          <w:rFonts w:cs="Tahoma"/>
        </w:rPr>
        <w:t xml:space="preserve">Open Value Subscription </w:t>
      </w:r>
    </w:p>
    <w:p w:rsidR="00456002" w:rsidRPr="004B208C" w:rsidRDefault="00456002" w:rsidP="00822871">
      <w:pPr>
        <w:numPr>
          <w:ilvl w:val="0"/>
          <w:numId w:val="19"/>
        </w:numPr>
        <w:spacing w:after="60"/>
        <w:rPr>
          <w:rFonts w:cs="Tahoma"/>
        </w:rPr>
      </w:pPr>
      <w:r w:rsidRPr="004B208C">
        <w:rPr>
          <w:rFonts w:cs="Tahoma"/>
        </w:rPr>
        <w:t xml:space="preserve">Select </w:t>
      </w:r>
    </w:p>
    <w:p w:rsidR="00456002" w:rsidRPr="004B208C" w:rsidRDefault="00456002" w:rsidP="00822871">
      <w:pPr>
        <w:numPr>
          <w:ilvl w:val="0"/>
          <w:numId w:val="19"/>
        </w:numPr>
        <w:spacing w:after="60"/>
        <w:rPr>
          <w:rFonts w:cs="Tahoma"/>
        </w:rPr>
      </w:pPr>
      <w:r w:rsidRPr="004B208C">
        <w:rPr>
          <w:rFonts w:cs="Tahoma"/>
        </w:rPr>
        <w:t xml:space="preserve">Select Plus </w:t>
      </w:r>
    </w:p>
    <w:p w:rsidR="0091793D" w:rsidRPr="004B208C" w:rsidRDefault="00F84FA6" w:rsidP="00822871">
      <w:pPr>
        <w:numPr>
          <w:ilvl w:val="0"/>
          <w:numId w:val="19"/>
        </w:numPr>
        <w:spacing w:after="60"/>
        <w:rPr>
          <w:rFonts w:cs="Tahoma"/>
        </w:rPr>
      </w:pPr>
      <w:r w:rsidRPr="004B208C">
        <w:rPr>
          <w:rFonts w:cs="Tahoma"/>
          <w:szCs w:val="18"/>
        </w:rPr>
        <w:t xml:space="preserve">Registro Enterprise </w:t>
      </w:r>
    </w:p>
    <w:p w:rsidR="0091793D" w:rsidRPr="004B208C" w:rsidRDefault="00F84FA6" w:rsidP="00822871">
      <w:pPr>
        <w:numPr>
          <w:ilvl w:val="0"/>
          <w:numId w:val="19"/>
        </w:numPr>
        <w:spacing w:after="60"/>
        <w:rPr>
          <w:rFonts w:cs="Tahoma"/>
        </w:rPr>
      </w:pPr>
      <w:r w:rsidRPr="004B208C">
        <w:rPr>
          <w:rFonts w:cs="Tahoma"/>
          <w:szCs w:val="18"/>
        </w:rPr>
        <w:t>Registro Enterprise Subscription Subscription</w:t>
      </w:r>
    </w:p>
    <w:p w:rsidR="00892A1D" w:rsidRPr="004B208C" w:rsidRDefault="00892A1D" w:rsidP="00822871">
      <w:pPr>
        <w:numPr>
          <w:ilvl w:val="0"/>
          <w:numId w:val="19"/>
        </w:numPr>
        <w:spacing w:after="60"/>
        <w:rPr>
          <w:rFonts w:cs="Tahoma"/>
        </w:rPr>
      </w:pPr>
      <w:r w:rsidRPr="004B208C">
        <w:rPr>
          <w:rFonts w:cs="Tahoma"/>
        </w:rPr>
        <w:t>Registro de Servidor e Nuvem</w:t>
      </w:r>
    </w:p>
    <w:p w:rsidR="00B215EA" w:rsidRPr="004B208C" w:rsidRDefault="00B215EA" w:rsidP="00822871">
      <w:pPr>
        <w:numPr>
          <w:ilvl w:val="0"/>
          <w:numId w:val="19"/>
        </w:numPr>
        <w:spacing w:after="60"/>
        <w:rPr>
          <w:rFonts w:cs="Tahoma"/>
        </w:rPr>
      </w:pPr>
      <w:r w:rsidRPr="004B208C">
        <w:rPr>
          <w:rFonts w:cs="Tahoma"/>
          <w:szCs w:val="18"/>
        </w:rPr>
        <w:t>Contrato para Campus e School</w:t>
      </w:r>
    </w:p>
    <w:p w:rsidR="0091793D" w:rsidRPr="00E51ABE" w:rsidRDefault="0091793D" w:rsidP="0091793D">
      <w:pPr>
        <w:pStyle w:val="Heading3"/>
        <w:ind w:right="720"/>
        <w:rPr>
          <w:rFonts w:ascii="Tahoma" w:hAnsi="Tahoma" w:cs="Tahoma"/>
          <w:b w:val="0"/>
          <w:sz w:val="18"/>
          <w:szCs w:val="18"/>
        </w:rPr>
      </w:pPr>
    </w:p>
    <w:p w:rsidR="0091793D" w:rsidRPr="004B208C" w:rsidRDefault="0091793D" w:rsidP="003E606C">
      <w:pPr>
        <w:pStyle w:val="Heading3"/>
        <w:ind w:right="720"/>
        <w:rPr>
          <w:rFonts w:ascii="Tahoma" w:hAnsi="Tahoma" w:cs="Tahoma"/>
        </w:rPr>
      </w:pPr>
      <w:bookmarkStart w:id="595" w:name="_Toc336338190"/>
      <w:bookmarkStart w:id="596" w:name="_Toc370981304"/>
      <w:r w:rsidRPr="004B208C">
        <w:rPr>
          <w:rFonts w:ascii="Tahoma" w:hAnsi="Tahoma" w:cs="Tahoma"/>
          <w:sz w:val="24"/>
          <w:szCs w:val="22"/>
        </w:rPr>
        <w:t>Pontos e pedidos mínimos</w:t>
      </w:r>
      <w:bookmarkEnd w:id="595"/>
      <w:bookmarkEnd w:id="596"/>
    </w:p>
    <w:p w:rsidR="00BA4C27" w:rsidRPr="004B208C" w:rsidRDefault="00BA4C27" w:rsidP="003E606C">
      <w:pPr>
        <w:rPr>
          <w:rFonts w:cs="Tahoma"/>
        </w:rPr>
      </w:pPr>
    </w:p>
    <w:p w:rsidR="00BA4C27" w:rsidRPr="00E51ABE" w:rsidRDefault="00BA4C27" w:rsidP="00BA4C27">
      <w:pPr>
        <w:pStyle w:val="AppendixBodyText"/>
        <w:ind w:right="720"/>
        <w:rPr>
          <w:rFonts w:ascii="Tahoma" w:hAnsi="Tahoma" w:cs="Tahoma"/>
          <w:sz w:val="18"/>
          <w:szCs w:val="18"/>
        </w:rPr>
      </w:pPr>
      <w:r w:rsidRPr="00E51ABE">
        <w:rPr>
          <w:rFonts w:ascii="Tahoma" w:hAnsi="Tahoma" w:cs="Tahoma"/>
          <w:sz w:val="18"/>
          <w:szCs w:val="18"/>
        </w:rPr>
        <w:t>As opções de Select, Select Plus e Licença Open apresentam uma contagem de “Pontos” que indica o valor em pontos atribuído pela Microsoft a cada licença. Essas contagens de pontos são usadas para calcular a categoria de preço de volume aplicável ao contrato de um cliente. Quando uma contagem de pontos “0” é</w:t>
      </w:r>
      <w:r w:rsidR="00E51ABE">
        <w:rPr>
          <w:rFonts w:ascii="Tahoma" w:hAnsi="Tahoma" w:cs="Tahoma"/>
          <w:sz w:val="18"/>
          <w:szCs w:val="18"/>
        </w:rPr>
        <w:t> </w:t>
      </w:r>
      <w:r w:rsidRPr="00E51ABE">
        <w:rPr>
          <w:rFonts w:ascii="Tahoma" w:hAnsi="Tahoma" w:cs="Tahoma"/>
          <w:sz w:val="18"/>
          <w:szCs w:val="18"/>
        </w:rPr>
        <w:t>atribuída a determinado produto, isso significa que ele é oferecido no programa especificado, mas seu valor em pontos é zero.</w:t>
      </w:r>
      <w:r w:rsidR="00172F11" w:rsidRPr="00E51ABE">
        <w:rPr>
          <w:rFonts w:ascii="Tahoma" w:hAnsi="Tahoma" w:cs="Tahoma"/>
          <w:sz w:val="18"/>
          <w:szCs w:val="18"/>
        </w:rPr>
        <w:t xml:space="preserve"> </w:t>
      </w:r>
      <w:r w:rsidRPr="00E51ABE">
        <w:rPr>
          <w:rFonts w:ascii="Tahoma" w:hAnsi="Tahoma" w:cs="Tahoma"/>
          <w:sz w:val="18"/>
          <w:szCs w:val="18"/>
        </w:rPr>
        <w:t>A seguir, está uma atribuição de contagens unitárias para licenças para o requisito de pedido mínimo de Assinatura Open/Open Value/Open Value Subscription:</w:t>
      </w:r>
    </w:p>
    <w:p w:rsidR="00E64551" w:rsidRPr="00E51ABE" w:rsidRDefault="00E64551" w:rsidP="00E64551">
      <w:pPr>
        <w:pStyle w:val="AppendixBodyText"/>
        <w:ind w:right="720"/>
        <w:rPr>
          <w:rFonts w:ascii="Tahoma" w:hAnsi="Tahoma" w:cs="Tahoma"/>
          <w:sz w:val="18"/>
          <w:szCs w:val="18"/>
          <w:highlight w:val="yellow"/>
        </w:rPr>
      </w:pPr>
    </w:p>
    <w:p w:rsidR="00456002" w:rsidRPr="00E51ABE" w:rsidRDefault="00456002" w:rsidP="00822871">
      <w:pPr>
        <w:numPr>
          <w:ilvl w:val="0"/>
          <w:numId w:val="19"/>
        </w:numPr>
        <w:spacing w:after="60"/>
        <w:rPr>
          <w:rFonts w:cs="Tahoma"/>
          <w:szCs w:val="18"/>
        </w:rPr>
      </w:pPr>
      <w:r w:rsidRPr="00E51ABE">
        <w:rPr>
          <w:rFonts w:cs="Tahoma"/>
          <w:szCs w:val="18"/>
        </w:rPr>
        <w:t xml:space="preserve">Licença Padrão: 1 licença </w:t>
      </w:r>
    </w:p>
    <w:p w:rsidR="00456002" w:rsidRPr="00E51ABE" w:rsidRDefault="00456002" w:rsidP="00822871">
      <w:pPr>
        <w:numPr>
          <w:ilvl w:val="0"/>
          <w:numId w:val="19"/>
        </w:numPr>
        <w:spacing w:after="60"/>
        <w:rPr>
          <w:rFonts w:cs="Tahoma"/>
          <w:szCs w:val="18"/>
        </w:rPr>
      </w:pPr>
      <w:r w:rsidRPr="00E51ABE">
        <w:rPr>
          <w:rFonts w:cs="Tahoma"/>
          <w:szCs w:val="18"/>
        </w:rPr>
        <w:t xml:space="preserve">Atualização: 1 licença </w:t>
      </w:r>
    </w:p>
    <w:p w:rsidR="00456002" w:rsidRPr="00E51ABE" w:rsidRDefault="00456002" w:rsidP="00822871">
      <w:pPr>
        <w:numPr>
          <w:ilvl w:val="0"/>
          <w:numId w:val="19"/>
        </w:numPr>
        <w:spacing w:after="60"/>
        <w:rPr>
          <w:rFonts w:cs="Tahoma"/>
          <w:szCs w:val="18"/>
        </w:rPr>
      </w:pPr>
      <w:r w:rsidRPr="00E51ABE">
        <w:rPr>
          <w:rFonts w:cs="Tahoma"/>
          <w:szCs w:val="18"/>
        </w:rPr>
        <w:t xml:space="preserve">Software Assurance: 1 licença </w:t>
      </w:r>
    </w:p>
    <w:p w:rsidR="00456002" w:rsidRPr="00E51ABE" w:rsidRDefault="00456002" w:rsidP="00822871">
      <w:pPr>
        <w:numPr>
          <w:ilvl w:val="0"/>
          <w:numId w:val="19"/>
        </w:numPr>
        <w:spacing w:after="60"/>
        <w:rPr>
          <w:rFonts w:cs="Tahoma"/>
          <w:szCs w:val="18"/>
        </w:rPr>
      </w:pPr>
      <w:r w:rsidRPr="00E51ABE">
        <w:rPr>
          <w:rFonts w:cs="Tahoma"/>
          <w:szCs w:val="18"/>
        </w:rPr>
        <w:t xml:space="preserve">Licença e Software Assurance: 2 licenças </w:t>
      </w:r>
    </w:p>
    <w:p w:rsidR="00456002" w:rsidRPr="00E51ABE" w:rsidRDefault="00456002" w:rsidP="00822871">
      <w:pPr>
        <w:numPr>
          <w:ilvl w:val="0"/>
          <w:numId w:val="19"/>
        </w:numPr>
        <w:spacing w:after="60"/>
        <w:rPr>
          <w:rFonts w:cs="Tahoma"/>
          <w:szCs w:val="18"/>
        </w:rPr>
      </w:pPr>
      <w:r w:rsidRPr="00E51ABE">
        <w:rPr>
          <w:rFonts w:cs="Tahoma"/>
          <w:szCs w:val="18"/>
        </w:rPr>
        <w:t>Atualização e Software Assurance: 2 licenças</w:t>
      </w:r>
    </w:p>
    <w:p w:rsidR="00456002" w:rsidRPr="00E51ABE" w:rsidRDefault="00456002" w:rsidP="00822871">
      <w:pPr>
        <w:numPr>
          <w:ilvl w:val="0"/>
          <w:numId w:val="19"/>
        </w:numPr>
        <w:spacing w:after="60"/>
        <w:rPr>
          <w:rFonts w:cs="Tahoma"/>
          <w:szCs w:val="18"/>
        </w:rPr>
      </w:pPr>
      <w:r w:rsidRPr="00E51ABE">
        <w:rPr>
          <w:rFonts w:cs="Tahoma"/>
          <w:szCs w:val="18"/>
        </w:rPr>
        <w:t xml:space="preserve">Licença Work-at-Home: 1 licença </w:t>
      </w:r>
    </w:p>
    <w:p w:rsidR="00456002" w:rsidRPr="00E51ABE" w:rsidRDefault="00456002" w:rsidP="00822871">
      <w:pPr>
        <w:numPr>
          <w:ilvl w:val="0"/>
          <w:numId w:val="19"/>
        </w:numPr>
        <w:spacing w:after="60"/>
        <w:rPr>
          <w:rFonts w:cs="Tahoma"/>
          <w:szCs w:val="18"/>
        </w:rPr>
      </w:pPr>
      <w:r w:rsidRPr="00E51ABE">
        <w:rPr>
          <w:rFonts w:cs="Tahoma"/>
          <w:szCs w:val="18"/>
        </w:rPr>
        <w:t>Licença Step-up: 1 licença</w:t>
      </w:r>
    </w:p>
    <w:p w:rsidR="00456002" w:rsidRPr="00E51ABE" w:rsidRDefault="002435BA" w:rsidP="00822871">
      <w:pPr>
        <w:numPr>
          <w:ilvl w:val="0"/>
          <w:numId w:val="19"/>
        </w:numPr>
        <w:spacing w:after="60"/>
        <w:rPr>
          <w:rFonts w:cs="Tahoma"/>
          <w:szCs w:val="18"/>
        </w:rPr>
      </w:pPr>
      <w:r w:rsidRPr="00E51ABE">
        <w:rPr>
          <w:rFonts w:cs="Tahoma"/>
          <w:szCs w:val="18"/>
        </w:rPr>
        <w:t>Valores: 1 licença</w:t>
      </w:r>
    </w:p>
    <w:p w:rsidR="00456002" w:rsidRPr="00E51ABE" w:rsidRDefault="00456002" w:rsidP="00822871">
      <w:pPr>
        <w:numPr>
          <w:ilvl w:val="0"/>
          <w:numId w:val="19"/>
        </w:numPr>
        <w:spacing w:after="60"/>
        <w:rPr>
          <w:rFonts w:cs="Tahoma"/>
          <w:szCs w:val="18"/>
        </w:rPr>
      </w:pPr>
      <w:r w:rsidRPr="00E51ABE">
        <w:rPr>
          <w:rFonts w:cs="Tahoma"/>
          <w:szCs w:val="18"/>
        </w:rPr>
        <w:t>Licença de Assinatura: 1 licença</w:t>
      </w:r>
    </w:p>
    <w:p w:rsidR="00456002" w:rsidRDefault="00456002" w:rsidP="00E64551">
      <w:pPr>
        <w:pStyle w:val="Heading2"/>
        <w:ind w:left="0"/>
        <w:rPr>
          <w:rFonts w:ascii="Tahoma" w:hAnsi="Tahoma" w:cs="Tahoma"/>
          <w:sz w:val="18"/>
          <w:szCs w:val="18"/>
        </w:rPr>
      </w:pPr>
    </w:p>
    <w:p w:rsidR="00E51ABE" w:rsidRDefault="00E51ABE" w:rsidP="00E51ABE"/>
    <w:p w:rsidR="00E51ABE" w:rsidRDefault="00E51ABE" w:rsidP="00E51ABE"/>
    <w:p w:rsidR="00E51ABE" w:rsidRDefault="00E51ABE" w:rsidP="00E51ABE"/>
    <w:p w:rsidR="00E51ABE" w:rsidRDefault="00E51ABE" w:rsidP="00E51ABE"/>
    <w:p w:rsidR="00E51ABE" w:rsidRDefault="00E51ABE" w:rsidP="00E51ABE"/>
    <w:p w:rsidR="00E51ABE" w:rsidRDefault="00E51ABE" w:rsidP="00E51ABE"/>
    <w:p w:rsidR="00E51ABE" w:rsidRDefault="00E51ABE" w:rsidP="00E51ABE"/>
    <w:p w:rsidR="00E51ABE" w:rsidRDefault="00E51ABE" w:rsidP="00E51ABE"/>
    <w:p w:rsidR="00E51ABE" w:rsidRDefault="00E51ABE" w:rsidP="00E51ABE"/>
    <w:p w:rsidR="00E51ABE" w:rsidRDefault="00E51ABE" w:rsidP="00E51ABE"/>
    <w:p w:rsidR="00E51ABE" w:rsidRDefault="00E51ABE" w:rsidP="00E51ABE"/>
    <w:p w:rsidR="00E51ABE" w:rsidRPr="00E51ABE" w:rsidRDefault="00E51ABE" w:rsidP="00E51ABE"/>
    <w:p w:rsidR="00E64551" w:rsidRPr="004B208C" w:rsidRDefault="00456002" w:rsidP="009C0DC9">
      <w:pPr>
        <w:pStyle w:val="Heading2"/>
        <w:ind w:left="0"/>
        <w:rPr>
          <w:rFonts w:ascii="Tahoma" w:hAnsi="Tahoma" w:cs="Tahoma"/>
        </w:rPr>
      </w:pPr>
      <w:bookmarkStart w:id="597" w:name="_Toc336338191"/>
      <w:bookmarkStart w:id="598" w:name="_Toc323159726"/>
      <w:bookmarkStart w:id="599" w:name="_Toc370981305"/>
      <w:r w:rsidRPr="004B208C">
        <w:rPr>
          <w:rFonts w:ascii="Tahoma" w:hAnsi="Tahoma" w:cs="Tahoma"/>
        </w:rPr>
        <w:lastRenderedPageBreak/>
        <w:t>Requisitos Mínimos de Pedidos</w:t>
      </w:r>
      <w:bookmarkEnd w:id="597"/>
      <w:bookmarkEnd w:id="599"/>
    </w:p>
    <w:bookmarkEnd w:id="598"/>
    <w:p w:rsidR="00456002" w:rsidRPr="004B208C"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520"/>
        <w:gridCol w:w="6948"/>
      </w:tblGrid>
      <w:tr w:rsidR="00456002" w:rsidRPr="004B208C" w:rsidTr="00171160">
        <w:trPr>
          <w:tblHeader/>
        </w:trPr>
        <w:tc>
          <w:tcPr>
            <w:tcW w:w="2520" w:type="dxa"/>
            <w:shd w:val="clear" w:color="auto" w:fill="FABF8F"/>
          </w:tcPr>
          <w:p w:rsidR="00456002" w:rsidRPr="004B208C" w:rsidRDefault="00456002" w:rsidP="005C647E">
            <w:pPr>
              <w:pStyle w:val="AppendixBodyText"/>
              <w:ind w:right="720"/>
              <w:jc w:val="center"/>
              <w:rPr>
                <w:rFonts w:ascii="Tahoma" w:hAnsi="Tahoma" w:cs="Tahoma"/>
                <w:b/>
                <w:color w:val="000000"/>
                <w:sz w:val="22"/>
                <w:szCs w:val="18"/>
                <w:lang w:eastAsia="ja-JP"/>
              </w:rPr>
            </w:pPr>
            <w:r w:rsidRPr="004B208C">
              <w:rPr>
                <w:rFonts w:ascii="Tahoma" w:hAnsi="Tahoma" w:cs="Tahoma"/>
                <w:b/>
                <w:color w:val="000000"/>
                <w:sz w:val="22"/>
                <w:szCs w:val="18"/>
              </w:rPr>
              <w:t>Programas</w:t>
            </w:r>
          </w:p>
        </w:tc>
        <w:tc>
          <w:tcPr>
            <w:tcW w:w="6948" w:type="dxa"/>
            <w:shd w:val="clear" w:color="auto" w:fill="FABF8F"/>
          </w:tcPr>
          <w:p w:rsidR="00456002" w:rsidRPr="004B208C" w:rsidRDefault="00456002" w:rsidP="005C647E">
            <w:pPr>
              <w:pStyle w:val="AppendixBodyText"/>
              <w:ind w:right="720"/>
              <w:jc w:val="center"/>
              <w:rPr>
                <w:rFonts w:ascii="Tahoma" w:hAnsi="Tahoma" w:cs="Tahoma"/>
                <w:b/>
                <w:color w:val="000000"/>
                <w:sz w:val="22"/>
                <w:szCs w:val="18"/>
                <w:lang w:eastAsia="ja-JP"/>
              </w:rPr>
            </w:pPr>
            <w:r w:rsidRPr="004B208C">
              <w:rPr>
                <w:rFonts w:ascii="Tahoma" w:hAnsi="Tahoma" w:cs="Tahoma"/>
                <w:b/>
                <w:color w:val="000000"/>
                <w:sz w:val="22"/>
                <w:szCs w:val="18"/>
              </w:rPr>
              <w:t>Requisitos Mínimos de Pedidos</w:t>
            </w:r>
          </w:p>
        </w:tc>
      </w:tr>
      <w:tr w:rsidR="00456002" w:rsidRPr="004B208C" w:rsidTr="00171160">
        <w:tc>
          <w:tcPr>
            <w:tcW w:w="2520" w:type="dxa"/>
            <w:shd w:val="clear" w:color="auto" w:fill="auto"/>
          </w:tcPr>
          <w:p w:rsidR="00456002" w:rsidRPr="004B208C" w:rsidRDefault="00456002" w:rsidP="00E51ABE">
            <w:pPr>
              <w:pStyle w:val="AppendixBodyText"/>
              <w:spacing w:before="60"/>
              <w:ind w:right="720"/>
              <w:rPr>
                <w:rFonts w:ascii="Tahoma" w:hAnsi="Tahoma" w:cs="Tahoma"/>
                <w:b/>
                <w:color w:val="000000"/>
                <w:sz w:val="18"/>
                <w:szCs w:val="18"/>
                <w:lang w:eastAsia="ja-JP"/>
              </w:rPr>
            </w:pPr>
            <w:r w:rsidRPr="004B208C">
              <w:rPr>
                <w:rFonts w:ascii="Tahoma" w:hAnsi="Tahoma" w:cs="Tahoma"/>
                <w:b/>
                <w:color w:val="000000"/>
                <w:szCs w:val="18"/>
              </w:rPr>
              <w:t>Licença Open, Open Value e</w:t>
            </w:r>
            <w:r w:rsidR="00E51ABE">
              <w:rPr>
                <w:rFonts w:ascii="Tahoma" w:hAnsi="Tahoma" w:cs="Tahoma"/>
                <w:b/>
                <w:color w:val="000000"/>
                <w:szCs w:val="18"/>
              </w:rPr>
              <w:t> </w:t>
            </w:r>
            <w:r w:rsidRPr="004B208C">
              <w:rPr>
                <w:rFonts w:ascii="Tahoma" w:hAnsi="Tahoma" w:cs="Tahoma"/>
                <w:b/>
                <w:color w:val="000000"/>
                <w:szCs w:val="18"/>
              </w:rPr>
              <w:t>Open Value Subscription (Commercial e</w:t>
            </w:r>
            <w:r w:rsidR="00E51ABE">
              <w:rPr>
                <w:rFonts w:ascii="Tahoma" w:hAnsi="Tahoma" w:cs="Tahoma"/>
                <w:b/>
                <w:color w:val="000000"/>
                <w:szCs w:val="18"/>
              </w:rPr>
              <w:t> </w:t>
            </w:r>
            <w:r w:rsidRPr="004B208C">
              <w:rPr>
                <w:rFonts w:ascii="Tahoma" w:hAnsi="Tahoma" w:cs="Tahoma"/>
                <w:b/>
                <w:color w:val="000000"/>
                <w:szCs w:val="18"/>
              </w:rPr>
              <w:t>Government)</w:t>
            </w:r>
          </w:p>
        </w:tc>
        <w:tc>
          <w:tcPr>
            <w:tcW w:w="6948" w:type="dxa"/>
            <w:shd w:val="clear" w:color="auto" w:fill="auto"/>
          </w:tcPr>
          <w:p w:rsidR="00456002" w:rsidRPr="0065137B" w:rsidRDefault="004B6D8C" w:rsidP="00A70464">
            <w:pPr>
              <w:pStyle w:val="AppendixBodyText"/>
              <w:spacing w:before="60"/>
              <w:ind w:right="720"/>
              <w:rPr>
                <w:rFonts w:ascii="Tahoma" w:hAnsi="Tahoma" w:cs="Tahoma"/>
                <w:sz w:val="18"/>
                <w:szCs w:val="18"/>
              </w:rPr>
            </w:pPr>
            <w:r w:rsidRPr="004B208C">
              <w:rPr>
                <w:rFonts w:ascii="Tahoma" w:hAnsi="Tahoma" w:cs="Tahoma"/>
                <w:b/>
                <w:sz w:val="18"/>
              </w:rPr>
              <w:t>Licença Open</w:t>
            </w:r>
          </w:p>
          <w:p w:rsidR="00456002" w:rsidRPr="00E51ABE" w:rsidRDefault="00456002" w:rsidP="005C647E">
            <w:pPr>
              <w:pStyle w:val="AppendixBodyText"/>
              <w:ind w:right="720"/>
              <w:rPr>
                <w:rFonts w:ascii="Tahoma" w:hAnsi="Tahoma" w:cs="Tahoma"/>
                <w:sz w:val="18"/>
                <w:szCs w:val="18"/>
              </w:rPr>
            </w:pPr>
            <w:r w:rsidRPr="00E51ABE">
              <w:rPr>
                <w:rFonts w:ascii="Tahoma" w:hAnsi="Tahoma" w:cs="Tahoma"/>
                <w:sz w:val="18"/>
                <w:szCs w:val="18"/>
              </w:rPr>
              <w:t>A Licença Open requer um pedido mínimo de 5 licenças, 5 SA ou qualquer combinação para estabelecer um Número de Autorização.</w:t>
            </w:r>
            <w:r w:rsidR="00172F11" w:rsidRPr="00E51ABE">
              <w:rPr>
                <w:rFonts w:ascii="Tahoma" w:hAnsi="Tahoma" w:cs="Tahoma"/>
                <w:sz w:val="18"/>
                <w:szCs w:val="18"/>
              </w:rPr>
              <w:t xml:space="preserve"> </w:t>
            </w:r>
            <w:r w:rsidRPr="00E51ABE">
              <w:rPr>
                <w:rFonts w:ascii="Tahoma" w:hAnsi="Tahoma" w:cs="Tahoma"/>
                <w:sz w:val="18"/>
                <w:szCs w:val="18"/>
              </w:rPr>
              <w:t>Por</w:t>
            </w:r>
            <w:r w:rsidR="00E51ABE" w:rsidRPr="00E51ABE">
              <w:rPr>
                <w:rFonts w:ascii="Tahoma" w:hAnsi="Tahoma" w:cs="Tahoma"/>
                <w:sz w:val="18"/>
                <w:szCs w:val="18"/>
              </w:rPr>
              <w:t> </w:t>
            </w:r>
            <w:r w:rsidRPr="00E51ABE">
              <w:rPr>
                <w:rFonts w:ascii="Tahoma" w:hAnsi="Tahoma" w:cs="Tahoma"/>
                <w:sz w:val="18"/>
                <w:szCs w:val="18"/>
              </w:rPr>
              <w:t>exemplo, 2</w:t>
            </w:r>
            <w:r w:rsidR="0080475F">
              <w:rPr>
                <w:rFonts w:ascii="Tahoma" w:hAnsi="Tahoma" w:cs="Tahoma"/>
                <w:sz w:val="18"/>
                <w:szCs w:val="18"/>
              </w:rPr>
              <w:t> </w:t>
            </w:r>
            <w:r w:rsidRPr="00E51ABE">
              <w:rPr>
                <w:rFonts w:ascii="Tahoma" w:hAnsi="Tahoma" w:cs="Tahoma"/>
                <w:sz w:val="18"/>
                <w:szCs w:val="18"/>
              </w:rPr>
              <w:t xml:space="preserve">Licença e Software Assurance e 1 Licença Padrão satisfariam a compra mínima de 5 licenças necessária para a entrada em qualquer um dos programas. </w:t>
            </w:r>
          </w:p>
          <w:p w:rsidR="00456002" w:rsidRPr="00E51ABE" w:rsidRDefault="00456002" w:rsidP="003E606C">
            <w:pPr>
              <w:pStyle w:val="AppendixBodyText"/>
              <w:spacing w:after="0"/>
              <w:ind w:right="720"/>
              <w:rPr>
                <w:rFonts w:ascii="Tahoma" w:hAnsi="Tahoma" w:cs="Tahoma"/>
                <w:sz w:val="18"/>
                <w:szCs w:val="18"/>
              </w:rPr>
            </w:pPr>
          </w:p>
          <w:p w:rsidR="004B6D8C" w:rsidRPr="004B208C" w:rsidRDefault="00456002" w:rsidP="005C647E">
            <w:pPr>
              <w:pStyle w:val="AppendixBodyText"/>
              <w:ind w:right="720"/>
              <w:rPr>
                <w:rFonts w:ascii="Tahoma" w:hAnsi="Tahoma" w:cs="Tahoma"/>
              </w:rPr>
            </w:pPr>
            <w:r w:rsidRPr="004B208C">
              <w:rPr>
                <w:rFonts w:ascii="Tahoma" w:hAnsi="Tahoma" w:cs="Tahoma"/>
                <w:b/>
                <w:sz w:val="18"/>
              </w:rPr>
              <w:t>Open Value and Open Value Subscription</w:t>
            </w:r>
          </w:p>
          <w:p w:rsidR="00456002" w:rsidRPr="00E51ABE" w:rsidRDefault="00456002" w:rsidP="005C647E">
            <w:pPr>
              <w:pStyle w:val="AppendixBodyText"/>
              <w:ind w:right="720"/>
              <w:rPr>
                <w:rFonts w:ascii="Tahoma" w:hAnsi="Tahoma" w:cs="Tahoma"/>
                <w:sz w:val="18"/>
                <w:szCs w:val="18"/>
              </w:rPr>
            </w:pPr>
            <w:r w:rsidRPr="00E51ABE">
              <w:rPr>
                <w:rFonts w:ascii="Tahoma" w:hAnsi="Tahoma" w:cs="Tahoma"/>
                <w:sz w:val="18"/>
                <w:szCs w:val="18"/>
              </w:rPr>
              <w:t xml:space="preserve">O Open Value requer um pedido mínimo de 5 U&amp;SA, 5 L&amp;SA, 5 SA, 5 Licenças de Assinatura ou qualquer combinação para celebrar um contrato. </w:t>
            </w:r>
          </w:p>
          <w:p w:rsidR="00456002" w:rsidRPr="00E51ABE" w:rsidRDefault="00456002" w:rsidP="003E606C">
            <w:pPr>
              <w:pStyle w:val="AppendixBodyText"/>
              <w:spacing w:after="0"/>
              <w:ind w:right="720"/>
              <w:rPr>
                <w:rFonts w:ascii="Tahoma" w:hAnsi="Tahoma" w:cs="Tahoma"/>
                <w:sz w:val="18"/>
                <w:szCs w:val="18"/>
              </w:rPr>
            </w:pPr>
          </w:p>
          <w:p w:rsidR="00456002" w:rsidRPr="00E51ABE" w:rsidRDefault="00456002" w:rsidP="00A51838">
            <w:pPr>
              <w:pStyle w:val="AppendixBodyText"/>
              <w:spacing w:after="0"/>
              <w:ind w:right="720"/>
              <w:rPr>
                <w:rFonts w:ascii="Tahoma" w:hAnsi="Tahoma" w:cs="Tahoma"/>
                <w:sz w:val="18"/>
                <w:szCs w:val="18"/>
              </w:rPr>
            </w:pPr>
            <w:r w:rsidRPr="00E51ABE">
              <w:rPr>
                <w:rFonts w:ascii="Tahoma" w:hAnsi="Tahoma" w:cs="Tahoma"/>
                <w:b/>
                <w:sz w:val="18"/>
                <w:szCs w:val="18"/>
              </w:rPr>
              <w:t>Observação:</w:t>
            </w:r>
            <w:r w:rsidRPr="00E51ABE">
              <w:rPr>
                <w:rFonts w:ascii="Tahoma" w:hAnsi="Tahoma" w:cs="Tahoma"/>
                <w:sz w:val="18"/>
                <w:szCs w:val="18"/>
              </w:rPr>
              <w:t xml:space="preserve"> uma licença individual para determinados produtos nos programas Open e Open Value satisfaz o requisito mínimo de 5 licenças.</w:t>
            </w:r>
            <w:r w:rsidR="00172F11" w:rsidRPr="00E51ABE">
              <w:rPr>
                <w:rFonts w:ascii="Tahoma" w:hAnsi="Tahoma" w:cs="Tahoma"/>
                <w:sz w:val="18"/>
                <w:szCs w:val="18"/>
              </w:rPr>
              <w:t xml:space="preserve"> </w:t>
            </w:r>
            <w:r w:rsidRPr="00E51ABE">
              <w:rPr>
                <w:rFonts w:ascii="Tahoma" w:hAnsi="Tahoma" w:cs="Tahoma"/>
                <w:sz w:val="18"/>
                <w:szCs w:val="18"/>
              </w:rPr>
              <w:t>Consulte as notas de produtos individuais para determinar quais produtos se qualificam para essa exceção.</w:t>
            </w:r>
          </w:p>
          <w:p w:rsidR="00A51838" w:rsidRPr="004B208C" w:rsidRDefault="00A51838" w:rsidP="00A51838">
            <w:pPr>
              <w:pStyle w:val="AppendixBodyText"/>
              <w:spacing w:after="0"/>
              <w:ind w:right="720"/>
              <w:rPr>
                <w:rFonts w:ascii="Tahoma" w:hAnsi="Tahoma" w:cs="Tahoma"/>
                <w:sz w:val="18"/>
                <w:lang w:eastAsia="ja-JP"/>
              </w:rPr>
            </w:pPr>
          </w:p>
        </w:tc>
      </w:tr>
      <w:tr w:rsidR="00456002" w:rsidRPr="004B208C" w:rsidTr="00171160">
        <w:tc>
          <w:tcPr>
            <w:tcW w:w="2520" w:type="dxa"/>
            <w:shd w:val="clear" w:color="auto" w:fill="auto"/>
          </w:tcPr>
          <w:p w:rsidR="00456002" w:rsidRPr="004B208C" w:rsidRDefault="00456002" w:rsidP="0080475F">
            <w:pPr>
              <w:pStyle w:val="AppendixBodyText"/>
              <w:spacing w:before="60"/>
              <w:ind w:right="432"/>
              <w:rPr>
                <w:rFonts w:ascii="Tahoma" w:hAnsi="Tahoma" w:cs="Tahoma"/>
                <w:b/>
                <w:color w:val="000000"/>
                <w:szCs w:val="18"/>
                <w:lang w:eastAsia="ja-JP"/>
              </w:rPr>
            </w:pPr>
            <w:r w:rsidRPr="004B208C">
              <w:rPr>
                <w:rFonts w:ascii="Tahoma" w:hAnsi="Tahoma" w:cs="Tahoma"/>
                <w:b/>
                <w:color w:val="000000"/>
                <w:szCs w:val="18"/>
              </w:rPr>
              <w:t>Open Value Subscription - ES</w:t>
            </w:r>
          </w:p>
        </w:tc>
        <w:tc>
          <w:tcPr>
            <w:tcW w:w="6948" w:type="dxa"/>
            <w:shd w:val="clear" w:color="auto" w:fill="auto"/>
          </w:tcPr>
          <w:p w:rsidR="00456002" w:rsidRPr="00E51ABE" w:rsidRDefault="00456002" w:rsidP="00230E01">
            <w:pPr>
              <w:spacing w:before="60"/>
              <w:rPr>
                <w:rFonts w:cs="Tahoma"/>
                <w:szCs w:val="18"/>
              </w:rPr>
            </w:pPr>
            <w:r w:rsidRPr="00E51ABE">
              <w:rPr>
                <w:rFonts w:cs="Tahoma"/>
                <w:szCs w:val="18"/>
              </w:rPr>
              <w:t>Open Value Subscription – ES requer pelo menos um Produto da Plataforma Desktop para uma Contagem para toda a Organização de pelo menos 5 OU pelo menos um Produto da Plataforma Desktop para a Contagem de Estudantes de pelo</w:t>
            </w:r>
            <w:r w:rsidR="00171160">
              <w:rPr>
                <w:rFonts w:cs="Tahoma"/>
                <w:szCs w:val="18"/>
              </w:rPr>
              <w:t> </w:t>
            </w:r>
            <w:r w:rsidRPr="00E51ABE">
              <w:rPr>
                <w:rFonts w:cs="Tahoma"/>
                <w:szCs w:val="18"/>
              </w:rPr>
              <w:t>menos 5.</w:t>
            </w:r>
          </w:p>
          <w:p w:rsidR="009D5C93" w:rsidRPr="004B208C" w:rsidRDefault="009D5C93" w:rsidP="00230E01">
            <w:pPr>
              <w:spacing w:before="60"/>
              <w:rPr>
                <w:rFonts w:cs="Tahoma"/>
              </w:rPr>
            </w:pPr>
          </w:p>
          <w:p w:rsidR="00230E01" w:rsidRPr="004B208C" w:rsidRDefault="00230E01" w:rsidP="00230E01">
            <w:pPr>
              <w:rPr>
                <w:rFonts w:cs="Tahoma"/>
                <w:szCs w:val="18"/>
              </w:rPr>
            </w:pPr>
          </w:p>
        </w:tc>
      </w:tr>
      <w:tr w:rsidR="00456002" w:rsidRPr="004B208C" w:rsidTr="00171160">
        <w:tc>
          <w:tcPr>
            <w:tcW w:w="2520" w:type="dxa"/>
            <w:shd w:val="clear" w:color="auto" w:fill="auto"/>
          </w:tcPr>
          <w:p w:rsidR="00456002" w:rsidRPr="004B208C" w:rsidRDefault="00456002" w:rsidP="00A70464">
            <w:pPr>
              <w:pStyle w:val="AppendixBodyText"/>
              <w:spacing w:before="60"/>
              <w:ind w:right="720"/>
              <w:rPr>
                <w:rFonts w:ascii="Tahoma" w:hAnsi="Tahoma" w:cs="Tahoma"/>
                <w:b/>
                <w:color w:val="000000"/>
                <w:szCs w:val="18"/>
                <w:lang w:eastAsia="ja-JP"/>
              </w:rPr>
            </w:pPr>
            <w:r w:rsidRPr="004B208C">
              <w:rPr>
                <w:rFonts w:ascii="Tahoma" w:hAnsi="Tahoma" w:cs="Tahoma"/>
                <w:b/>
                <w:color w:val="000000"/>
                <w:szCs w:val="18"/>
              </w:rPr>
              <w:t>Select</w:t>
            </w:r>
          </w:p>
        </w:tc>
        <w:tc>
          <w:tcPr>
            <w:tcW w:w="6948" w:type="dxa"/>
            <w:shd w:val="clear" w:color="auto" w:fill="auto"/>
          </w:tcPr>
          <w:p w:rsidR="00456002" w:rsidRPr="0065137B" w:rsidRDefault="00456002" w:rsidP="00230E01">
            <w:pPr>
              <w:pStyle w:val="AppendixBodyText"/>
              <w:spacing w:before="60" w:after="0"/>
              <w:ind w:right="720"/>
              <w:rPr>
                <w:rFonts w:ascii="Tahoma" w:hAnsi="Tahoma" w:cs="Tahoma"/>
                <w:sz w:val="18"/>
                <w:szCs w:val="18"/>
              </w:rPr>
            </w:pPr>
            <w:r w:rsidRPr="0065137B">
              <w:rPr>
                <w:rFonts w:ascii="Tahoma" w:hAnsi="Tahoma" w:cs="Tahoma"/>
                <w:color w:val="000000"/>
                <w:sz w:val="18"/>
                <w:szCs w:val="18"/>
              </w:rPr>
              <w:t>A Licença Select requer um pedido mínimo de 1.500 pontos por pool ao</w:t>
            </w:r>
            <w:r w:rsidR="00E51ABE" w:rsidRPr="0065137B">
              <w:rPr>
                <w:rFonts w:ascii="Tahoma" w:hAnsi="Tahoma" w:cs="Tahoma"/>
                <w:color w:val="000000"/>
                <w:sz w:val="18"/>
                <w:szCs w:val="18"/>
              </w:rPr>
              <w:t> </w:t>
            </w:r>
            <w:r w:rsidRPr="0065137B">
              <w:rPr>
                <w:rFonts w:ascii="Tahoma" w:hAnsi="Tahoma" w:cs="Tahoma"/>
                <w:color w:val="000000"/>
                <w:sz w:val="18"/>
                <w:szCs w:val="18"/>
              </w:rPr>
              <w:t>longo do prazo do contrato.</w:t>
            </w:r>
            <w:r w:rsidR="00172F11" w:rsidRPr="0065137B">
              <w:rPr>
                <w:rFonts w:ascii="Tahoma" w:hAnsi="Tahoma" w:cs="Tahoma"/>
                <w:color w:val="000000"/>
                <w:sz w:val="18"/>
                <w:szCs w:val="18"/>
              </w:rPr>
              <w:t xml:space="preserve"> </w:t>
            </w:r>
            <w:r w:rsidRPr="0065137B">
              <w:rPr>
                <w:rFonts w:ascii="Tahoma" w:hAnsi="Tahoma" w:cs="Tahoma"/>
                <w:color w:val="000000"/>
                <w:sz w:val="18"/>
                <w:szCs w:val="18"/>
              </w:rPr>
              <w:t>Os requisitos de quantidade mínima do</w:t>
            </w:r>
            <w:r w:rsidR="00E51ABE" w:rsidRPr="0065137B">
              <w:rPr>
                <w:rFonts w:ascii="Tahoma" w:hAnsi="Tahoma" w:cs="Tahoma"/>
                <w:color w:val="000000"/>
                <w:sz w:val="18"/>
                <w:szCs w:val="18"/>
              </w:rPr>
              <w:t> </w:t>
            </w:r>
            <w:r w:rsidRPr="0065137B">
              <w:rPr>
                <w:rFonts w:ascii="Tahoma" w:hAnsi="Tahoma" w:cs="Tahoma"/>
                <w:color w:val="000000"/>
                <w:sz w:val="18"/>
                <w:szCs w:val="18"/>
              </w:rPr>
              <w:t>pedido poderão ser dispensados caso seja fornecido um contrato qualificado.</w:t>
            </w:r>
          </w:p>
          <w:p w:rsidR="00230E01" w:rsidRPr="0065137B" w:rsidRDefault="00230E01" w:rsidP="00230E01">
            <w:pPr>
              <w:pStyle w:val="AppendixBodyText"/>
              <w:spacing w:after="0"/>
              <w:ind w:right="720"/>
              <w:rPr>
                <w:rFonts w:ascii="Tahoma" w:hAnsi="Tahoma" w:cs="Tahoma"/>
                <w:color w:val="000000"/>
                <w:sz w:val="18"/>
                <w:szCs w:val="18"/>
                <w:lang w:eastAsia="ja-JP"/>
              </w:rPr>
            </w:pPr>
          </w:p>
        </w:tc>
      </w:tr>
      <w:tr w:rsidR="00456002" w:rsidRPr="004B208C" w:rsidTr="00171160">
        <w:tc>
          <w:tcPr>
            <w:tcW w:w="2520" w:type="dxa"/>
            <w:shd w:val="clear" w:color="auto" w:fill="auto"/>
          </w:tcPr>
          <w:p w:rsidR="00456002" w:rsidRPr="004B208C" w:rsidRDefault="00456002" w:rsidP="00A70464">
            <w:pPr>
              <w:pStyle w:val="AppendixBodyText"/>
              <w:spacing w:before="60"/>
              <w:ind w:right="720"/>
              <w:rPr>
                <w:rFonts w:ascii="Tahoma" w:hAnsi="Tahoma" w:cs="Tahoma"/>
                <w:b/>
                <w:color w:val="000000"/>
                <w:szCs w:val="18"/>
                <w:lang w:eastAsia="ja-JP"/>
              </w:rPr>
            </w:pPr>
            <w:r w:rsidRPr="004B208C">
              <w:rPr>
                <w:rFonts w:ascii="Tahoma" w:hAnsi="Tahoma" w:cs="Tahoma"/>
                <w:b/>
                <w:color w:val="000000"/>
                <w:szCs w:val="18"/>
              </w:rPr>
              <w:t>Select Plus</w:t>
            </w:r>
          </w:p>
        </w:tc>
        <w:tc>
          <w:tcPr>
            <w:tcW w:w="6948" w:type="dxa"/>
            <w:shd w:val="clear" w:color="auto" w:fill="auto"/>
          </w:tcPr>
          <w:p w:rsidR="00456002" w:rsidRPr="00E51ABE" w:rsidRDefault="00456002" w:rsidP="00A70464">
            <w:pPr>
              <w:pStyle w:val="AppendixBodyText"/>
              <w:spacing w:before="60"/>
              <w:ind w:right="720"/>
              <w:rPr>
                <w:rFonts w:ascii="Tahoma" w:hAnsi="Tahoma" w:cs="Tahoma"/>
                <w:sz w:val="18"/>
                <w:szCs w:val="18"/>
              </w:rPr>
            </w:pPr>
            <w:r w:rsidRPr="00E51ABE">
              <w:rPr>
                <w:rFonts w:ascii="Tahoma" w:hAnsi="Tahoma" w:cs="Tahoma"/>
                <w:color w:val="000000"/>
                <w:sz w:val="18"/>
                <w:szCs w:val="18"/>
              </w:rPr>
              <w:t>O Select Plus requer um pedido mínimo inicial de 500 pontos por pool durante o primeiro ano.</w:t>
            </w:r>
            <w:r w:rsidR="00172F11" w:rsidRPr="00E51ABE">
              <w:rPr>
                <w:rFonts w:ascii="Tahoma" w:hAnsi="Tahoma" w:cs="Tahoma"/>
                <w:color w:val="000000"/>
                <w:sz w:val="18"/>
                <w:szCs w:val="18"/>
              </w:rPr>
              <w:t xml:space="preserve"> </w:t>
            </w:r>
            <w:r w:rsidRPr="00E51ABE">
              <w:rPr>
                <w:rFonts w:ascii="Tahoma" w:hAnsi="Tahoma" w:cs="Tahoma"/>
                <w:color w:val="000000"/>
                <w:sz w:val="18"/>
                <w:szCs w:val="18"/>
              </w:rPr>
              <w:t>Esse requisito de quantidade no pedido poderá ser dispensado caso seja fornecido um contrato qualificado.</w:t>
            </w:r>
          </w:p>
          <w:p w:rsidR="00456002" w:rsidRPr="00E51ABE" w:rsidRDefault="00456002" w:rsidP="00A70464">
            <w:pPr>
              <w:pStyle w:val="AppendixBodyText"/>
              <w:spacing w:after="0"/>
              <w:ind w:right="720"/>
              <w:rPr>
                <w:rFonts w:ascii="Tahoma" w:hAnsi="Tahoma" w:cs="Tahoma"/>
                <w:sz w:val="18"/>
                <w:szCs w:val="18"/>
              </w:rPr>
            </w:pPr>
          </w:p>
          <w:p w:rsidR="00456002" w:rsidRPr="004B208C" w:rsidRDefault="00456002" w:rsidP="004B6D8C">
            <w:pPr>
              <w:spacing w:after="60"/>
              <w:rPr>
                <w:rFonts w:cs="Tahoma"/>
              </w:rPr>
            </w:pPr>
            <w:bookmarkStart w:id="600" w:name="_Toc323159727"/>
            <w:r w:rsidRPr="004B208C">
              <w:rPr>
                <w:rFonts w:cs="Tahoma"/>
                <w:b/>
              </w:rPr>
              <w:t>Categorias de preços no Select Plus</w:t>
            </w:r>
            <w:bookmarkEnd w:id="600"/>
          </w:p>
          <w:p w:rsidR="00456002" w:rsidRPr="004B208C" w:rsidRDefault="00456002" w:rsidP="005C647E">
            <w:pPr>
              <w:rPr>
                <w:rFonts w:cs="Tahoma"/>
              </w:rPr>
            </w:pPr>
            <w:r w:rsidRPr="004B208C">
              <w:rPr>
                <w:rFonts w:cs="Tahoma"/>
                <w:szCs w:val="18"/>
              </w:rPr>
              <w:t xml:space="preserve">Os clientes estarão qualificados para o Programa Select Plus se corresponderem a um desses critérios: </w:t>
            </w:r>
          </w:p>
          <w:p w:rsidR="00406CB0" w:rsidRPr="004B208C" w:rsidRDefault="00406CB0" w:rsidP="00A70464">
            <w:pPr>
              <w:rPr>
                <w:rFonts w:cs="Tahoma"/>
              </w:rPr>
            </w:pPr>
          </w:p>
          <w:p w:rsidR="00456002" w:rsidRPr="004B208C" w:rsidRDefault="00456002" w:rsidP="00A1385C">
            <w:pPr>
              <w:numPr>
                <w:ilvl w:val="0"/>
                <w:numId w:val="62"/>
              </w:numPr>
              <w:spacing w:after="60"/>
              <w:rPr>
                <w:rFonts w:cs="Tahoma"/>
              </w:rPr>
            </w:pPr>
            <w:r w:rsidRPr="004B208C">
              <w:rPr>
                <w:rFonts w:cs="Tahoma"/>
              </w:rPr>
              <w:t>Manutenção de um Registro Enterprise ativo sob um Contrato Enterprise separado ou um Registro Enterprise Subscription sob um Contrato Enterprise Subscription (os clientes Academic poderão usar um Contrato para Campus e Contrato School ativo ou um Enrollment for Education Solutions ativo como contrato qualificado);</w:t>
            </w:r>
          </w:p>
          <w:p w:rsidR="00456002" w:rsidRPr="004B208C" w:rsidRDefault="00456002" w:rsidP="00A1385C">
            <w:pPr>
              <w:numPr>
                <w:ilvl w:val="0"/>
                <w:numId w:val="62"/>
              </w:numPr>
              <w:spacing w:after="60"/>
              <w:rPr>
                <w:rFonts w:cs="Tahoma"/>
              </w:rPr>
            </w:pPr>
            <w:r w:rsidRPr="004B208C">
              <w:rPr>
                <w:rFonts w:cs="Tahoma"/>
              </w:rPr>
              <w:t xml:space="preserve">Envio de um pedido que cumpra um mínimo de 500 pontos para cada pool de produtos selecionado pelo Cliente durante o primeiro ano; </w:t>
            </w:r>
          </w:p>
          <w:p w:rsidR="00456002" w:rsidRPr="004B208C" w:rsidRDefault="00456002" w:rsidP="00A1385C">
            <w:pPr>
              <w:numPr>
                <w:ilvl w:val="0"/>
                <w:numId w:val="62"/>
              </w:numPr>
              <w:spacing w:after="60"/>
              <w:rPr>
                <w:rFonts w:cs="Tahoma"/>
              </w:rPr>
            </w:pPr>
            <w:r w:rsidRPr="004B208C">
              <w:rPr>
                <w:rFonts w:cs="Tahoma"/>
              </w:rPr>
              <w:t>Identificação de um contrato em que a quantidade do pedido mínimo tenha sido comprada durante os 12 meses anteriores à data de início de</w:t>
            </w:r>
            <w:r w:rsidR="00E51ABE">
              <w:rPr>
                <w:rFonts w:cs="Tahoma"/>
              </w:rPr>
              <w:t> </w:t>
            </w:r>
            <w:r w:rsidRPr="004B208C">
              <w:rPr>
                <w:rFonts w:cs="Tahoma"/>
              </w:rPr>
              <w:t xml:space="preserve">vigência do Contrato Select Plus do cliente; e </w:t>
            </w:r>
          </w:p>
          <w:p w:rsidR="00456002" w:rsidRPr="004B208C" w:rsidRDefault="00456002" w:rsidP="00A70464">
            <w:pPr>
              <w:rPr>
                <w:rFonts w:cs="Tahoma"/>
              </w:rPr>
            </w:pPr>
          </w:p>
          <w:p w:rsidR="00456002" w:rsidRPr="004B208C" w:rsidRDefault="00456002" w:rsidP="005C647E">
            <w:pPr>
              <w:rPr>
                <w:rFonts w:cs="Tahoma"/>
              </w:rPr>
            </w:pPr>
            <w:r w:rsidRPr="004B208C">
              <w:rPr>
                <w:rFonts w:cs="Tahoma"/>
                <w:szCs w:val="18"/>
              </w:rPr>
              <w:t xml:space="preserve">Para as opções 2 e 3 acima, o Cliente terá que manter um mínimo de 500 pontos em cada pool de produtos que selecionar por ocasião da verificação de conformidade. </w:t>
            </w:r>
          </w:p>
          <w:p w:rsidR="00456002" w:rsidRDefault="00456002" w:rsidP="005C647E">
            <w:pPr>
              <w:rPr>
                <w:rFonts w:cs="Tahoma"/>
              </w:rPr>
            </w:pPr>
          </w:p>
          <w:p w:rsidR="00171160" w:rsidRPr="004B208C" w:rsidRDefault="00171160" w:rsidP="005C647E">
            <w:pPr>
              <w:rPr>
                <w:rFonts w:cs="Tahoma"/>
              </w:rPr>
            </w:pPr>
          </w:p>
          <w:p w:rsidR="00456002" w:rsidRPr="004B208C" w:rsidRDefault="00456002" w:rsidP="005C647E">
            <w:pPr>
              <w:rPr>
                <w:rFonts w:cs="Tahoma"/>
              </w:rPr>
            </w:pPr>
            <w:r w:rsidRPr="004B208C">
              <w:rPr>
                <w:rFonts w:cs="Tahoma"/>
                <w:szCs w:val="18"/>
              </w:rPr>
              <w:lastRenderedPageBreak/>
              <w:t>Os preços do Cliente baseiam-se no contrato entre o Cliente e seu revendedor.</w:t>
            </w:r>
            <w:r w:rsidR="00172F11">
              <w:rPr>
                <w:rFonts w:cs="Tahoma"/>
                <w:szCs w:val="18"/>
              </w:rPr>
              <w:t xml:space="preserve"> </w:t>
            </w:r>
            <w:r w:rsidRPr="004B208C">
              <w:rPr>
                <w:rFonts w:cs="Tahoma"/>
                <w:szCs w:val="18"/>
              </w:rPr>
              <w:t>Porém, a Microsoft sugere ao revendedor os seguintes critérios de preços e</w:t>
            </w:r>
            <w:r w:rsidR="00061DA5">
              <w:rPr>
                <w:rFonts w:cs="Tahoma"/>
                <w:szCs w:val="18"/>
              </w:rPr>
              <w:t> </w:t>
            </w:r>
            <w:r w:rsidRPr="004B208C">
              <w:rPr>
                <w:rFonts w:cs="Tahoma"/>
                <w:szCs w:val="18"/>
              </w:rPr>
              <w:t>pontos para orientá-lo quanto ao preço final para o consumidor:</w:t>
            </w:r>
            <w:r w:rsidR="00172F11">
              <w:rPr>
                <w:rFonts w:cs="Tahoma"/>
                <w:szCs w:val="18"/>
              </w:rPr>
              <w:t xml:space="preserve"> </w:t>
            </w:r>
          </w:p>
          <w:p w:rsidR="00456002" w:rsidRPr="00061DA5" w:rsidRDefault="00456002" w:rsidP="005C647E">
            <w:pPr>
              <w:rPr>
                <w:rFonts w:cs="Tahoma"/>
                <w:sz w:val="12"/>
                <w:szCs w:val="18"/>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061DA5" w:rsidRPr="004B208C" w:rsidTr="00061DA5">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061DA5" w:rsidRPr="004B208C" w:rsidRDefault="00061DA5" w:rsidP="008D6C3F">
                  <w:pPr>
                    <w:jc w:val="center"/>
                    <w:rPr>
                      <w:rFonts w:cs="Tahoma"/>
                      <w:b/>
                      <w:sz w:val="20"/>
                      <w:szCs w:val="18"/>
                    </w:rPr>
                  </w:pPr>
                  <w:r w:rsidRPr="004B208C">
                    <w:rPr>
                      <w:rFonts w:cs="Tahoma"/>
                      <w:b/>
                      <w:sz w:val="20"/>
                      <w:szCs w:val="18"/>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061DA5" w:rsidRPr="004B208C" w:rsidRDefault="00061DA5" w:rsidP="008D6C3F">
                  <w:pPr>
                    <w:jc w:val="center"/>
                    <w:rPr>
                      <w:rFonts w:cs="Tahoma"/>
                      <w:b/>
                      <w:sz w:val="20"/>
                      <w:szCs w:val="18"/>
                    </w:rPr>
                  </w:pPr>
                  <w:r w:rsidRPr="004B208C">
                    <w:rPr>
                      <w:rFonts w:cs="Tahoma"/>
                      <w:b/>
                      <w:sz w:val="20"/>
                      <w:szCs w:val="18"/>
                    </w:rPr>
                    <w:t>Mínimo de Pontos Anuais por Pool</w:t>
                  </w:r>
                </w:p>
              </w:tc>
            </w:tr>
            <w:tr w:rsidR="00061DA5" w:rsidRPr="004B208C" w:rsidTr="00061D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DA5" w:rsidRPr="004B208C" w:rsidRDefault="00061DA5" w:rsidP="008D6C3F">
                  <w:pPr>
                    <w:jc w:val="center"/>
                    <w:rPr>
                      <w:rFonts w:cs="Tahoma"/>
                      <w:szCs w:val="18"/>
                    </w:rPr>
                  </w:pPr>
                  <w:r w:rsidRPr="004B208C">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61DA5" w:rsidRPr="004B208C" w:rsidRDefault="00061DA5" w:rsidP="008D6C3F">
                  <w:pPr>
                    <w:jc w:val="center"/>
                    <w:rPr>
                      <w:rFonts w:cs="Tahoma"/>
                      <w:szCs w:val="18"/>
                    </w:rPr>
                  </w:pPr>
                  <w:r w:rsidRPr="004B208C">
                    <w:rPr>
                      <w:rFonts w:cs="Tahoma"/>
                      <w:szCs w:val="18"/>
                    </w:rPr>
                    <w:t>500</w:t>
                  </w:r>
                </w:p>
              </w:tc>
            </w:tr>
            <w:tr w:rsidR="00061DA5" w:rsidRPr="004B208C" w:rsidTr="00061D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DA5" w:rsidRPr="004B208C" w:rsidRDefault="00061DA5" w:rsidP="008D6C3F">
                  <w:pPr>
                    <w:jc w:val="center"/>
                    <w:rPr>
                      <w:rFonts w:cs="Tahoma"/>
                      <w:szCs w:val="18"/>
                    </w:rPr>
                  </w:pPr>
                  <w:r w:rsidRPr="004B208C">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61DA5" w:rsidRPr="004B208C" w:rsidRDefault="00061DA5" w:rsidP="00061DA5">
                  <w:pPr>
                    <w:jc w:val="center"/>
                    <w:rPr>
                      <w:rFonts w:cs="Tahoma"/>
                      <w:szCs w:val="18"/>
                    </w:rPr>
                  </w:pPr>
                  <w:r w:rsidRPr="004B208C">
                    <w:rPr>
                      <w:rFonts w:cs="Tahoma"/>
                      <w:szCs w:val="18"/>
                    </w:rPr>
                    <w:t>4</w:t>
                  </w:r>
                  <w:r>
                    <w:rPr>
                      <w:rFonts w:cs="Tahoma"/>
                      <w:szCs w:val="18"/>
                    </w:rPr>
                    <w:t>.</w:t>
                  </w:r>
                  <w:r w:rsidRPr="004B208C">
                    <w:rPr>
                      <w:rFonts w:cs="Tahoma"/>
                      <w:szCs w:val="18"/>
                    </w:rPr>
                    <w:t>000</w:t>
                  </w:r>
                </w:p>
              </w:tc>
            </w:tr>
            <w:tr w:rsidR="00061DA5" w:rsidRPr="004B208C" w:rsidTr="00061D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DA5" w:rsidRPr="004B208C" w:rsidRDefault="00061DA5" w:rsidP="008D6C3F">
                  <w:pPr>
                    <w:jc w:val="center"/>
                    <w:rPr>
                      <w:rFonts w:cs="Tahoma"/>
                      <w:szCs w:val="18"/>
                    </w:rPr>
                  </w:pPr>
                  <w:r w:rsidRPr="004B208C">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61DA5" w:rsidRPr="004B208C" w:rsidRDefault="00061DA5" w:rsidP="00061DA5">
                  <w:pPr>
                    <w:jc w:val="center"/>
                    <w:rPr>
                      <w:rFonts w:cs="Tahoma"/>
                      <w:szCs w:val="18"/>
                    </w:rPr>
                  </w:pPr>
                  <w:r w:rsidRPr="004B208C">
                    <w:rPr>
                      <w:rFonts w:cs="Tahoma"/>
                      <w:szCs w:val="18"/>
                    </w:rPr>
                    <w:t>10</w:t>
                  </w:r>
                  <w:r>
                    <w:rPr>
                      <w:rFonts w:cs="Tahoma"/>
                      <w:szCs w:val="18"/>
                    </w:rPr>
                    <w:t>.</w:t>
                  </w:r>
                  <w:r w:rsidRPr="004B208C">
                    <w:rPr>
                      <w:rFonts w:cs="Tahoma"/>
                      <w:szCs w:val="18"/>
                    </w:rPr>
                    <w:t>000</w:t>
                  </w:r>
                </w:p>
              </w:tc>
            </w:tr>
            <w:tr w:rsidR="00061DA5" w:rsidRPr="004B208C" w:rsidTr="00061DA5">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61DA5" w:rsidRPr="004B208C" w:rsidRDefault="00061DA5" w:rsidP="008D6C3F">
                  <w:pPr>
                    <w:jc w:val="center"/>
                    <w:rPr>
                      <w:rFonts w:cs="Tahoma"/>
                      <w:szCs w:val="18"/>
                    </w:rPr>
                  </w:pPr>
                  <w:r w:rsidRPr="004B208C">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61DA5" w:rsidRPr="004B208C" w:rsidRDefault="00061DA5" w:rsidP="00061DA5">
                  <w:pPr>
                    <w:jc w:val="center"/>
                    <w:rPr>
                      <w:rFonts w:cs="Tahoma"/>
                      <w:szCs w:val="18"/>
                    </w:rPr>
                  </w:pPr>
                  <w:r w:rsidRPr="004B208C">
                    <w:rPr>
                      <w:rFonts w:cs="Tahoma"/>
                      <w:szCs w:val="18"/>
                    </w:rPr>
                    <w:t>25</w:t>
                  </w:r>
                  <w:r>
                    <w:rPr>
                      <w:rFonts w:cs="Tahoma"/>
                      <w:szCs w:val="18"/>
                    </w:rPr>
                    <w:t>.</w:t>
                  </w:r>
                  <w:r w:rsidRPr="004B208C">
                    <w:rPr>
                      <w:rFonts w:cs="Tahoma"/>
                      <w:szCs w:val="18"/>
                    </w:rPr>
                    <w:t>000</w:t>
                  </w:r>
                </w:p>
              </w:tc>
            </w:tr>
          </w:tbl>
          <w:p w:rsidR="00456002" w:rsidRPr="00061DA5" w:rsidRDefault="00A4190C" w:rsidP="00230E01">
            <w:pPr>
              <w:pStyle w:val="AppendixBodyText"/>
              <w:spacing w:after="0"/>
              <w:ind w:left="605" w:right="720"/>
              <w:rPr>
                <w:rFonts w:ascii="Tahoma" w:hAnsi="Tahoma" w:cs="Tahoma"/>
                <w:sz w:val="16"/>
                <w:szCs w:val="16"/>
              </w:rPr>
            </w:pPr>
            <w:r w:rsidRPr="00061DA5">
              <w:rPr>
                <w:rFonts w:ascii="Tahoma" w:hAnsi="Tahoma" w:cs="Tahoma"/>
                <w:i/>
                <w:sz w:val="16"/>
                <w:szCs w:val="16"/>
              </w:rPr>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p w:rsidR="00230E01" w:rsidRPr="004B208C" w:rsidRDefault="00230E01" w:rsidP="00230E01">
            <w:pPr>
              <w:pStyle w:val="AppendixBodyText"/>
              <w:spacing w:after="0"/>
              <w:ind w:left="605" w:right="720"/>
              <w:rPr>
                <w:rFonts w:ascii="Tahoma" w:hAnsi="Tahoma" w:cs="Tahoma"/>
                <w:color w:val="000000"/>
                <w:sz w:val="18"/>
                <w:szCs w:val="18"/>
                <w:lang w:eastAsia="ja-JP"/>
              </w:rPr>
            </w:pPr>
          </w:p>
        </w:tc>
      </w:tr>
      <w:tr w:rsidR="00456002" w:rsidRPr="004B208C" w:rsidTr="00171160">
        <w:tc>
          <w:tcPr>
            <w:tcW w:w="2520" w:type="dxa"/>
            <w:shd w:val="clear" w:color="auto" w:fill="auto"/>
          </w:tcPr>
          <w:p w:rsidR="00456002" w:rsidRPr="004B208C" w:rsidRDefault="00B215EA" w:rsidP="00171160">
            <w:pPr>
              <w:pStyle w:val="AppendixBodyText"/>
              <w:spacing w:before="60"/>
              <w:ind w:right="720"/>
              <w:rPr>
                <w:rFonts w:ascii="Tahoma" w:hAnsi="Tahoma" w:cs="Tahoma"/>
                <w:b/>
                <w:color w:val="000000"/>
                <w:szCs w:val="18"/>
                <w:lang w:eastAsia="ja-JP"/>
              </w:rPr>
            </w:pPr>
            <w:r w:rsidRPr="004B208C">
              <w:rPr>
                <w:rFonts w:ascii="Tahoma" w:hAnsi="Tahoma" w:cs="Tahoma"/>
                <w:b/>
                <w:color w:val="000000"/>
                <w:szCs w:val="18"/>
              </w:rPr>
              <w:lastRenderedPageBreak/>
              <w:t>Contrato para</w:t>
            </w:r>
            <w:r w:rsidR="00171160">
              <w:rPr>
                <w:rFonts w:ascii="Tahoma" w:hAnsi="Tahoma" w:cs="Tahoma"/>
                <w:b/>
                <w:color w:val="000000"/>
                <w:szCs w:val="18"/>
              </w:rPr>
              <w:t> </w:t>
            </w:r>
            <w:r w:rsidRPr="004B208C">
              <w:rPr>
                <w:rFonts w:ascii="Tahoma" w:hAnsi="Tahoma" w:cs="Tahoma"/>
                <w:b/>
                <w:color w:val="000000"/>
                <w:szCs w:val="18"/>
              </w:rPr>
              <w:t>Campus e</w:t>
            </w:r>
            <w:r w:rsidR="00061DA5">
              <w:rPr>
                <w:rFonts w:ascii="Tahoma" w:hAnsi="Tahoma" w:cs="Tahoma"/>
                <w:b/>
                <w:color w:val="000000"/>
                <w:szCs w:val="18"/>
              </w:rPr>
              <w:t> </w:t>
            </w:r>
            <w:r w:rsidRPr="004B208C">
              <w:rPr>
                <w:rFonts w:ascii="Tahoma" w:hAnsi="Tahoma" w:cs="Tahoma"/>
                <w:b/>
                <w:color w:val="000000"/>
                <w:szCs w:val="18"/>
              </w:rPr>
              <w:t>School</w:t>
            </w:r>
          </w:p>
        </w:tc>
        <w:tc>
          <w:tcPr>
            <w:tcW w:w="6948" w:type="dxa"/>
            <w:shd w:val="clear" w:color="auto" w:fill="auto"/>
          </w:tcPr>
          <w:p w:rsidR="00456002" w:rsidRPr="00061DA5" w:rsidRDefault="00456002" w:rsidP="00A70464">
            <w:pPr>
              <w:pStyle w:val="AppendixBodyText"/>
              <w:spacing w:before="60"/>
              <w:ind w:right="720"/>
              <w:rPr>
                <w:rFonts w:ascii="Tahoma" w:hAnsi="Tahoma" w:cs="Tahoma"/>
                <w:sz w:val="18"/>
                <w:szCs w:val="18"/>
              </w:rPr>
            </w:pPr>
            <w:r w:rsidRPr="00061DA5">
              <w:rPr>
                <w:rFonts w:ascii="Tahoma" w:hAnsi="Tahoma" w:cs="Tahoma"/>
                <w:sz w:val="18"/>
                <w:szCs w:val="18"/>
              </w:rPr>
              <w:t>O Contrato para Campus e School</w:t>
            </w:r>
            <w:r w:rsidRPr="00061DA5">
              <w:rPr>
                <w:rFonts w:ascii="Tahoma" w:hAnsi="Tahoma" w:cs="Tahoma"/>
                <w:b/>
                <w:sz w:val="18"/>
                <w:szCs w:val="18"/>
              </w:rPr>
              <w:t xml:space="preserve"> </w:t>
            </w:r>
            <w:r w:rsidRPr="00061DA5">
              <w:rPr>
                <w:rFonts w:ascii="Tahoma" w:hAnsi="Tahoma" w:cs="Tahoma"/>
                <w:sz w:val="18"/>
                <w:szCs w:val="18"/>
              </w:rPr>
              <w:t>requer um pedido mínimo de 300</w:t>
            </w:r>
            <w:r w:rsidR="00061DA5" w:rsidRPr="00061DA5">
              <w:rPr>
                <w:rFonts w:ascii="Tahoma" w:hAnsi="Tahoma" w:cs="Tahoma"/>
                <w:sz w:val="18"/>
                <w:szCs w:val="18"/>
              </w:rPr>
              <w:t> </w:t>
            </w:r>
            <w:r w:rsidRPr="00061DA5">
              <w:rPr>
                <w:rFonts w:ascii="Tahoma" w:hAnsi="Tahoma" w:cs="Tahoma"/>
                <w:sz w:val="18"/>
                <w:szCs w:val="18"/>
              </w:rPr>
              <w:t>unidades.</w:t>
            </w:r>
            <w:r w:rsidR="00172F11" w:rsidRPr="00061DA5">
              <w:rPr>
                <w:rFonts w:ascii="Tahoma" w:hAnsi="Tahoma" w:cs="Tahoma"/>
                <w:sz w:val="18"/>
                <w:szCs w:val="18"/>
              </w:rPr>
              <w:t xml:space="preserve"> </w:t>
            </w:r>
            <w:r w:rsidRPr="00061DA5">
              <w:rPr>
                <w:rFonts w:ascii="Tahoma" w:hAnsi="Tahoma" w:cs="Tahoma"/>
                <w:sz w:val="18"/>
                <w:szCs w:val="18"/>
              </w:rPr>
              <w:t>As unidades são determinadas multiplicando-se o número total de produtos de aplicativo, sistema e CAL selecionados pelo número total de PCs qualificados ou FTEs/Funcionários qualificados. Observe que o</w:t>
            </w:r>
            <w:r w:rsidR="0065137B">
              <w:rPr>
                <w:rFonts w:ascii="Tahoma" w:hAnsi="Tahoma" w:cs="Tahoma"/>
                <w:sz w:val="18"/>
                <w:szCs w:val="18"/>
              </w:rPr>
              <w:t> </w:t>
            </w:r>
            <w:r w:rsidRPr="00061DA5">
              <w:rPr>
                <w:rFonts w:ascii="Tahoma" w:hAnsi="Tahoma" w:cs="Tahoma"/>
                <w:sz w:val="18"/>
                <w:szCs w:val="18"/>
              </w:rPr>
              <w:t>requisito de pedido mínimo pode variar conforme a região geográfica.</w:t>
            </w:r>
          </w:p>
          <w:p w:rsidR="00406CB0" w:rsidRPr="00061DA5" w:rsidRDefault="00406CB0" w:rsidP="00A70464">
            <w:pPr>
              <w:pStyle w:val="AppendixBodyText"/>
              <w:spacing w:after="0"/>
              <w:ind w:right="720"/>
              <w:rPr>
                <w:rFonts w:ascii="Tahoma" w:hAnsi="Tahoma" w:cs="Tahoma"/>
                <w:sz w:val="18"/>
                <w:szCs w:val="18"/>
              </w:rPr>
            </w:pPr>
          </w:p>
          <w:p w:rsidR="00456002" w:rsidRPr="004B208C" w:rsidRDefault="00456002" w:rsidP="00230E01">
            <w:pPr>
              <w:tabs>
                <w:tab w:val="left" w:pos="8640"/>
              </w:tabs>
              <w:ind w:right="720"/>
              <w:rPr>
                <w:rFonts w:cs="Tahoma"/>
              </w:rPr>
            </w:pPr>
            <w:r w:rsidRPr="004B208C">
              <w:rPr>
                <w:rFonts w:cs="Tahoma"/>
                <w:b/>
                <w:bCs/>
                <w:color w:val="000000"/>
                <w:szCs w:val="20"/>
              </w:rPr>
              <w:t>Observação:</w:t>
            </w:r>
            <w:r w:rsidRPr="004B208C">
              <w:rPr>
                <w:rFonts w:cs="Tahoma"/>
                <w:color w:val="000000"/>
                <w:szCs w:val="20"/>
              </w:rPr>
              <w:t xml:space="preserve"> Os clientes de Contrato para Campus e School não estão qualificados para escolher produtos de aplicativo, sistema, Licença de Assinatura (usuário/dispositivo) e CAL para apenas uma parte dos PCs incluídos na assinatura</w:t>
            </w:r>
            <w:r w:rsidRPr="004B208C">
              <w:rPr>
                <w:rFonts w:cs="Tahoma"/>
                <w:color w:val="000000"/>
                <w:szCs w:val="18"/>
              </w:rPr>
              <w:t>, salvo se explicitamente disposto nas Notas de Condições do Produto na Lista de Produtos</w:t>
            </w:r>
            <w:r w:rsidRPr="004B208C">
              <w:rPr>
                <w:rFonts w:cs="Tahoma"/>
                <w:color w:val="000000"/>
                <w:szCs w:val="20"/>
              </w:rPr>
              <w:t>. Por exemplo, se a assinatura for para um total de 100 PCs, os produtos de aplicativo, sistema, Licença de Assinatura (usuário/dispositivo) e CAL selecionados serão para todos os</w:t>
            </w:r>
            <w:r w:rsidR="0065137B">
              <w:rPr>
                <w:rFonts w:cs="Tahoma"/>
                <w:color w:val="000000"/>
                <w:szCs w:val="20"/>
              </w:rPr>
              <w:t> </w:t>
            </w:r>
            <w:r w:rsidRPr="004B208C">
              <w:rPr>
                <w:rFonts w:cs="Tahoma"/>
                <w:color w:val="000000"/>
                <w:szCs w:val="20"/>
              </w:rPr>
              <w:t>100 PCs, ainda que apenas uma parte desses PCs venha a executar um</w:t>
            </w:r>
            <w:r w:rsidR="0065137B">
              <w:rPr>
                <w:rFonts w:cs="Tahoma"/>
                <w:color w:val="000000"/>
                <w:szCs w:val="20"/>
              </w:rPr>
              <w:t> </w:t>
            </w:r>
            <w:r w:rsidRPr="004B208C">
              <w:rPr>
                <w:rFonts w:cs="Tahoma"/>
                <w:color w:val="000000"/>
                <w:szCs w:val="20"/>
              </w:rPr>
              <w:t>produto específico.</w:t>
            </w:r>
          </w:p>
          <w:p w:rsidR="009D5C93" w:rsidRPr="004B208C" w:rsidRDefault="009D5C93" w:rsidP="00230E01">
            <w:pPr>
              <w:tabs>
                <w:tab w:val="left" w:pos="8640"/>
              </w:tabs>
              <w:ind w:right="720"/>
              <w:rPr>
                <w:rFonts w:cs="Tahoma"/>
              </w:rPr>
            </w:pPr>
          </w:p>
          <w:p w:rsidR="00230E01" w:rsidRPr="004B208C" w:rsidRDefault="00230E01" w:rsidP="00230E01">
            <w:pPr>
              <w:tabs>
                <w:tab w:val="left" w:pos="8640"/>
              </w:tabs>
              <w:ind w:right="720"/>
              <w:rPr>
                <w:rFonts w:cs="Tahoma"/>
                <w:color w:val="000000"/>
                <w:szCs w:val="20"/>
                <w:lang w:eastAsia="ja-JP"/>
              </w:rPr>
            </w:pPr>
          </w:p>
        </w:tc>
      </w:tr>
      <w:tr w:rsidR="00456002" w:rsidRPr="004B208C" w:rsidTr="00171160">
        <w:tc>
          <w:tcPr>
            <w:tcW w:w="2520" w:type="dxa"/>
            <w:shd w:val="clear" w:color="auto" w:fill="auto"/>
          </w:tcPr>
          <w:p w:rsidR="00456002" w:rsidRPr="004B208C" w:rsidRDefault="00456002" w:rsidP="00061DA5">
            <w:pPr>
              <w:pStyle w:val="AppendixBodyText"/>
              <w:spacing w:before="60"/>
              <w:ind w:right="720"/>
              <w:rPr>
                <w:rFonts w:ascii="Tahoma" w:hAnsi="Tahoma" w:cs="Tahoma"/>
                <w:b/>
                <w:color w:val="000000"/>
                <w:sz w:val="18"/>
                <w:szCs w:val="18"/>
                <w:lang w:eastAsia="ja-JP"/>
              </w:rPr>
            </w:pPr>
            <w:r w:rsidRPr="004B208C">
              <w:rPr>
                <w:rFonts w:ascii="Tahoma" w:hAnsi="Tahoma" w:cs="Tahoma"/>
                <w:b/>
              </w:rPr>
              <w:t>Registro Enterprise e</w:t>
            </w:r>
            <w:r w:rsidR="00061DA5">
              <w:rPr>
                <w:rFonts w:ascii="Tahoma" w:hAnsi="Tahoma" w:cs="Tahoma"/>
                <w:b/>
              </w:rPr>
              <w:t> </w:t>
            </w:r>
            <w:r w:rsidRPr="004B208C">
              <w:rPr>
                <w:rFonts w:ascii="Tahoma" w:hAnsi="Tahoma" w:cs="Tahoma"/>
                <w:b/>
              </w:rPr>
              <w:t>Registro Enterprise Subscription</w:t>
            </w:r>
          </w:p>
        </w:tc>
        <w:tc>
          <w:tcPr>
            <w:tcW w:w="6948" w:type="dxa"/>
            <w:shd w:val="clear" w:color="auto" w:fill="auto"/>
          </w:tcPr>
          <w:p w:rsidR="00456002" w:rsidRPr="004B208C" w:rsidRDefault="00456002" w:rsidP="00A70464">
            <w:pPr>
              <w:spacing w:before="60"/>
              <w:rPr>
                <w:rFonts w:cs="Tahoma"/>
              </w:rPr>
            </w:pPr>
            <w:r w:rsidRPr="004B208C">
              <w:rPr>
                <w:rFonts w:cs="Tahoma"/>
              </w:rPr>
              <w:t>Contrato Enterprise (EA) e Contrato Enterprise Subscription (ESA) exige um mínimo de 250 Dispositivos Qualificados/Desktops ou Usuários Qualificados.</w:t>
            </w:r>
          </w:p>
          <w:p w:rsidR="00456002" w:rsidRPr="004B208C" w:rsidRDefault="00456002" w:rsidP="00A70464">
            <w:pPr>
              <w:rPr>
                <w:rFonts w:cs="Tahoma"/>
              </w:rPr>
            </w:pPr>
          </w:p>
          <w:p w:rsidR="0091793D" w:rsidRPr="004B208C" w:rsidRDefault="0091793D" w:rsidP="004B6D8C">
            <w:pPr>
              <w:spacing w:after="60"/>
              <w:rPr>
                <w:rFonts w:cs="Tahoma"/>
              </w:rPr>
            </w:pPr>
            <w:r w:rsidRPr="004B208C">
              <w:rPr>
                <w:rFonts w:cs="Tahoma"/>
                <w:b/>
              </w:rPr>
              <w:t>Desktop Qualificado/Desktop</w:t>
            </w:r>
          </w:p>
          <w:p w:rsidR="0091793D" w:rsidRPr="004B208C" w:rsidRDefault="0091793D" w:rsidP="00003D41">
            <w:pPr>
              <w:rPr>
                <w:rFonts w:cs="Tahoma"/>
              </w:rPr>
            </w:pPr>
            <w:bookmarkStart w:id="601" w:name="_Toc323159729"/>
            <w:bookmarkStart w:id="602" w:name="_Toc325313134"/>
            <w:bookmarkStart w:id="603" w:name="_Toc325609169"/>
            <w:r w:rsidRPr="004B208C">
              <w:rPr>
                <w:rFonts w:cs="Tahoma"/>
              </w:rPr>
              <w:t xml:space="preserve">Apesar de qualquer disposição em contrário no contrato de licenciamento por volume, os Dispositivos Qualificados/Desktops não incluem nenhum </w:t>
            </w:r>
            <w:r w:rsidRPr="004B208C">
              <w:rPr>
                <w:rFonts w:cs="Tahoma"/>
                <w:iCs/>
              </w:rPr>
              <w:t>dispositivo de</w:t>
            </w:r>
            <w:r w:rsidR="0065137B">
              <w:rPr>
                <w:rFonts w:cs="Tahoma"/>
                <w:iCs/>
              </w:rPr>
              <w:t> </w:t>
            </w:r>
            <w:r w:rsidRPr="004B208C">
              <w:rPr>
                <w:rFonts w:cs="Tahoma"/>
                <w:iCs/>
              </w:rPr>
              <w:t>terceiros qualificado</w:t>
            </w:r>
            <w:r w:rsidRPr="004B208C">
              <w:rPr>
                <w:rFonts w:cs="Tahoma"/>
              </w:rPr>
              <w:t xml:space="preserve"> a partir do qual seus usuários acessam e usam somente o</w:t>
            </w:r>
            <w:r w:rsidR="0065137B">
              <w:rPr>
                <w:rFonts w:cs="Tahoma"/>
              </w:rPr>
              <w:t> </w:t>
            </w:r>
            <w:r w:rsidRPr="004B208C">
              <w:rPr>
                <w:rFonts w:cs="Tahoma"/>
              </w:rPr>
              <w:t>software sob os Direitos de Uso de Roaming para o seguinte:</w:t>
            </w:r>
            <w:bookmarkEnd w:id="601"/>
            <w:bookmarkEnd w:id="602"/>
            <w:bookmarkEnd w:id="603"/>
          </w:p>
          <w:p w:rsidR="00456002" w:rsidRPr="004B208C" w:rsidRDefault="00456002" w:rsidP="00A70464">
            <w:pPr>
              <w:rPr>
                <w:rFonts w:cs="Tahoma"/>
              </w:rPr>
            </w:pPr>
          </w:p>
          <w:p w:rsidR="00406CB0" w:rsidRPr="004B208C" w:rsidRDefault="00456002" w:rsidP="00A1385C">
            <w:pPr>
              <w:numPr>
                <w:ilvl w:val="0"/>
                <w:numId w:val="62"/>
              </w:numPr>
              <w:spacing w:after="60"/>
              <w:rPr>
                <w:rFonts w:cs="Tahoma"/>
              </w:rPr>
            </w:pPr>
            <w:r w:rsidRPr="004B208C">
              <w:rPr>
                <w:rFonts w:cs="Tahoma"/>
              </w:rPr>
              <w:t xml:space="preserve">Software Assurance do Windows, </w:t>
            </w:r>
          </w:p>
          <w:p w:rsidR="00456002" w:rsidRPr="004B208C" w:rsidRDefault="00456002" w:rsidP="00A1385C">
            <w:pPr>
              <w:numPr>
                <w:ilvl w:val="0"/>
                <w:numId w:val="62"/>
              </w:numPr>
              <w:spacing w:after="60"/>
              <w:rPr>
                <w:rFonts w:cs="Tahoma"/>
              </w:rPr>
            </w:pPr>
            <w:r w:rsidRPr="004B208C">
              <w:rPr>
                <w:rFonts w:cs="Tahoma"/>
              </w:rPr>
              <w:t xml:space="preserve">Windows Virtual Desktop Access (VECD), </w:t>
            </w:r>
          </w:p>
          <w:p w:rsidR="00456002" w:rsidRPr="004B208C" w:rsidRDefault="00456002" w:rsidP="00A1385C">
            <w:pPr>
              <w:numPr>
                <w:ilvl w:val="0"/>
                <w:numId w:val="62"/>
              </w:numPr>
              <w:spacing w:after="60"/>
              <w:rPr>
                <w:rFonts w:cs="Tahoma"/>
              </w:rPr>
            </w:pPr>
            <w:r w:rsidRPr="004B208C">
              <w:rPr>
                <w:rFonts w:cs="Tahoma"/>
              </w:rPr>
              <w:t xml:space="preserve">Pacotes do Virtual Desktop Infrastructure, </w:t>
            </w:r>
          </w:p>
          <w:p w:rsidR="00456002" w:rsidRPr="004B208C" w:rsidRDefault="00456002" w:rsidP="00A1385C">
            <w:pPr>
              <w:numPr>
                <w:ilvl w:val="0"/>
                <w:numId w:val="62"/>
              </w:numPr>
              <w:spacing w:after="60"/>
              <w:rPr>
                <w:rFonts w:cs="Tahoma"/>
              </w:rPr>
            </w:pPr>
            <w:r w:rsidRPr="004B208C">
              <w:rPr>
                <w:rFonts w:cs="Tahoma"/>
              </w:rPr>
              <w:t xml:space="preserve">MDOP para Software Assurance e </w:t>
            </w:r>
          </w:p>
          <w:p w:rsidR="00456002" w:rsidRPr="004B208C" w:rsidRDefault="00456002" w:rsidP="00A1385C">
            <w:pPr>
              <w:numPr>
                <w:ilvl w:val="0"/>
                <w:numId w:val="62"/>
              </w:numPr>
              <w:spacing w:after="60"/>
              <w:rPr>
                <w:rFonts w:cs="Tahoma"/>
              </w:rPr>
            </w:pPr>
            <w:r w:rsidRPr="004B208C">
              <w:rPr>
                <w:rFonts w:cs="Tahoma"/>
              </w:rPr>
              <w:t>Software Assurance para todas as edições do Office, Project e Visio que incluem os Direitos de Uso de Roaming.</w:t>
            </w:r>
            <w:r w:rsidR="00172F11">
              <w:rPr>
                <w:rFonts w:cs="Tahoma"/>
              </w:rPr>
              <w:t xml:space="preserve"> </w:t>
            </w:r>
          </w:p>
          <w:p w:rsidR="00456002" w:rsidRDefault="00456002" w:rsidP="00A70464">
            <w:pPr>
              <w:rPr>
                <w:rFonts w:cs="Tahoma"/>
              </w:rPr>
            </w:pPr>
          </w:p>
          <w:p w:rsidR="00061DA5" w:rsidRDefault="00061DA5" w:rsidP="00A70464">
            <w:pPr>
              <w:rPr>
                <w:rFonts w:cs="Tahoma"/>
              </w:rPr>
            </w:pPr>
          </w:p>
          <w:p w:rsidR="00171160" w:rsidRPr="004B208C" w:rsidRDefault="00171160" w:rsidP="00A70464">
            <w:pPr>
              <w:rPr>
                <w:rFonts w:cs="Tahoma"/>
              </w:rPr>
            </w:pPr>
          </w:p>
          <w:p w:rsidR="00456002" w:rsidRPr="004B208C" w:rsidRDefault="00456002" w:rsidP="00003D41">
            <w:pPr>
              <w:rPr>
                <w:rFonts w:cs="Tahoma"/>
              </w:rPr>
            </w:pPr>
            <w:bookmarkStart w:id="604" w:name="_Toc323159730"/>
            <w:bookmarkStart w:id="605" w:name="_Toc325313135"/>
            <w:bookmarkStart w:id="606" w:name="_Toc325609170"/>
            <w:r w:rsidRPr="004B208C">
              <w:rPr>
                <w:rFonts w:cs="Tahoma"/>
              </w:rPr>
              <w:lastRenderedPageBreak/>
              <w:t>“Dispositivo de terceiros qualificado” é um dispositivo não controlado, direta ou indiretamente, por você nem por suas afiliadas (por exemplo, um quiosque público de terceiros). Para obter mais informações sobre esse produto, consulte os Direitos de Uso de Produto.</w:t>
            </w:r>
            <w:bookmarkEnd w:id="604"/>
            <w:bookmarkEnd w:id="605"/>
            <w:bookmarkEnd w:id="606"/>
          </w:p>
          <w:p w:rsidR="00456002" w:rsidRPr="00061DA5" w:rsidRDefault="00456002" w:rsidP="00E64551">
            <w:pPr>
              <w:pStyle w:val="Heading3"/>
              <w:ind w:left="70"/>
              <w:rPr>
                <w:rFonts w:ascii="Tahoma" w:hAnsi="Tahoma" w:cs="Tahoma"/>
                <w:b w:val="0"/>
                <w:sz w:val="18"/>
                <w:szCs w:val="18"/>
              </w:rPr>
            </w:pPr>
          </w:p>
          <w:p w:rsidR="0091793D" w:rsidRPr="004B208C" w:rsidRDefault="0091793D" w:rsidP="004B6D8C">
            <w:pPr>
              <w:spacing w:after="60"/>
              <w:rPr>
                <w:rFonts w:cs="Tahoma"/>
              </w:rPr>
            </w:pPr>
            <w:r w:rsidRPr="004B208C">
              <w:rPr>
                <w:rFonts w:cs="Tahoma"/>
                <w:b/>
              </w:rPr>
              <w:t xml:space="preserve">Isenções de Usuários Qualificados </w:t>
            </w:r>
          </w:p>
          <w:p w:rsidR="00456002" w:rsidRPr="00061DA5" w:rsidRDefault="00456002" w:rsidP="004B6D8C">
            <w:pPr>
              <w:pStyle w:val="AppendixBodyText"/>
              <w:ind w:right="720"/>
              <w:rPr>
                <w:rFonts w:ascii="Tahoma" w:hAnsi="Tahoma" w:cs="Tahoma"/>
                <w:sz w:val="18"/>
                <w:szCs w:val="18"/>
              </w:rPr>
            </w:pPr>
            <w:r w:rsidRPr="00061DA5">
              <w:rPr>
                <w:rFonts w:ascii="Tahoma" w:hAnsi="Tahoma" w:cs="Tahoma"/>
                <w:sz w:val="18"/>
                <w:szCs w:val="18"/>
              </w:rPr>
              <w:t>Uma pessoa que acesse software de servidor ou serviços online exclusivamente sob as licenças identificadas na lista a seguir está isenta de</w:t>
            </w:r>
            <w:r w:rsidR="0065137B">
              <w:rPr>
                <w:rFonts w:ascii="Tahoma" w:hAnsi="Tahoma" w:cs="Tahoma"/>
                <w:sz w:val="18"/>
                <w:szCs w:val="18"/>
              </w:rPr>
              <w:t> </w:t>
            </w:r>
            <w:r w:rsidRPr="00061DA5">
              <w:rPr>
                <w:rFonts w:ascii="Tahoma" w:hAnsi="Tahoma" w:cs="Tahoma"/>
                <w:sz w:val="18"/>
                <w:szCs w:val="18"/>
              </w:rPr>
              <w:t>ser contada como um Usuário Qualificado:</w:t>
            </w:r>
          </w:p>
          <w:p w:rsidR="00456002" w:rsidRPr="00061DA5" w:rsidRDefault="00456002" w:rsidP="00A70464">
            <w:pPr>
              <w:pStyle w:val="AppendixBodyText"/>
              <w:spacing w:after="0"/>
              <w:ind w:right="720"/>
              <w:rPr>
                <w:rFonts w:ascii="Tahoma" w:hAnsi="Tahoma" w:cs="Tahoma"/>
                <w:sz w:val="18"/>
                <w:szCs w:val="18"/>
              </w:rPr>
            </w:pPr>
          </w:p>
          <w:p w:rsidR="00456002" w:rsidRPr="004B208C" w:rsidRDefault="00456002" w:rsidP="00A1385C">
            <w:pPr>
              <w:numPr>
                <w:ilvl w:val="0"/>
                <w:numId w:val="62"/>
              </w:numPr>
              <w:spacing w:after="60"/>
              <w:rPr>
                <w:rFonts w:cs="Tahoma"/>
              </w:rPr>
            </w:pPr>
            <w:r w:rsidRPr="004B208C">
              <w:rPr>
                <w:rFonts w:cs="Tahoma"/>
              </w:rPr>
              <w:t>Licença de Assinatura do Usuário do Office 365 Enterprise K1 (SL</w:t>
            </w:r>
            <w:r w:rsidR="0065137B">
              <w:rPr>
                <w:rFonts w:cs="Tahoma"/>
              </w:rPr>
              <w:t> </w:t>
            </w:r>
            <w:r w:rsidRPr="004B208C">
              <w:rPr>
                <w:rFonts w:cs="Tahoma"/>
              </w:rPr>
              <w:t>de</w:t>
            </w:r>
            <w:r w:rsidR="0065137B">
              <w:rPr>
                <w:rFonts w:cs="Tahoma"/>
              </w:rPr>
              <w:t> </w:t>
            </w:r>
            <w:r w:rsidRPr="004B208C">
              <w:rPr>
                <w:rFonts w:cs="Tahoma"/>
              </w:rPr>
              <w:t>Usuário)</w:t>
            </w:r>
          </w:p>
          <w:p w:rsidR="00456002" w:rsidRPr="004B208C" w:rsidRDefault="00456002" w:rsidP="00A1385C">
            <w:pPr>
              <w:numPr>
                <w:ilvl w:val="0"/>
                <w:numId w:val="62"/>
              </w:numPr>
              <w:spacing w:after="60"/>
              <w:rPr>
                <w:rFonts w:cs="Tahoma"/>
              </w:rPr>
            </w:pPr>
            <w:r w:rsidRPr="004B208C">
              <w:rPr>
                <w:rFonts w:cs="Tahoma"/>
              </w:rPr>
              <w:t>USL do Quiosque do SharePoint Online</w:t>
            </w:r>
          </w:p>
          <w:p w:rsidR="00456002" w:rsidRPr="004B208C" w:rsidRDefault="00456002" w:rsidP="00A1385C">
            <w:pPr>
              <w:numPr>
                <w:ilvl w:val="0"/>
                <w:numId w:val="62"/>
              </w:numPr>
              <w:spacing w:after="60"/>
              <w:rPr>
                <w:rFonts w:cs="Tahoma"/>
              </w:rPr>
            </w:pPr>
            <w:r w:rsidRPr="004B208C">
              <w:rPr>
                <w:rFonts w:cs="Tahoma"/>
              </w:rPr>
              <w:t>USL do Quiosque do Exchange Online</w:t>
            </w:r>
          </w:p>
          <w:p w:rsidR="00456002" w:rsidRPr="004B208C" w:rsidRDefault="00456002" w:rsidP="00A1385C">
            <w:pPr>
              <w:numPr>
                <w:ilvl w:val="0"/>
                <w:numId w:val="62"/>
              </w:numPr>
              <w:spacing w:after="60"/>
              <w:rPr>
                <w:rFonts w:cs="Tahoma"/>
              </w:rPr>
            </w:pPr>
            <w:r w:rsidRPr="004B208C">
              <w:rPr>
                <w:rFonts w:cs="Tahoma"/>
              </w:rPr>
              <w:t>Licenças para produtos de software de servidor ou serviços online que não</w:t>
            </w:r>
            <w:r w:rsidR="0065137B">
              <w:rPr>
                <w:rFonts w:cs="Tahoma"/>
              </w:rPr>
              <w:t> </w:t>
            </w:r>
            <w:r w:rsidRPr="004B208C">
              <w:rPr>
                <w:rFonts w:cs="Tahoma"/>
              </w:rPr>
              <w:t>requeiram licenças individuais para os usuários ou dispositivos que acessem esses produtos ou serviços online (como Licenças de Acesso para</w:t>
            </w:r>
            <w:r w:rsidR="0065137B">
              <w:rPr>
                <w:rFonts w:cs="Tahoma"/>
              </w:rPr>
              <w:t> </w:t>
            </w:r>
            <w:r w:rsidRPr="004B208C">
              <w:rPr>
                <w:rFonts w:cs="Tahoma"/>
              </w:rPr>
              <w:t>Cliente, Licenças de Gerenciamento de Cliente, USLs e DSLs)</w:t>
            </w:r>
          </w:p>
          <w:p w:rsidR="00456002" w:rsidRPr="004B208C" w:rsidRDefault="00456002" w:rsidP="00A1385C">
            <w:pPr>
              <w:numPr>
                <w:ilvl w:val="0"/>
                <w:numId w:val="62"/>
              </w:numPr>
              <w:spacing w:after="60"/>
              <w:rPr>
                <w:rFonts w:cs="Tahoma"/>
              </w:rPr>
            </w:pPr>
            <w:r w:rsidRPr="004B208C">
              <w:rPr>
                <w:rFonts w:cs="Tahoma"/>
              </w:rPr>
              <w:t>Qualquer External Connector License</w:t>
            </w:r>
          </w:p>
          <w:p w:rsidR="00456002" w:rsidRPr="00061DA5" w:rsidRDefault="00456002" w:rsidP="00A70464">
            <w:pPr>
              <w:pStyle w:val="AppendixBodyText"/>
              <w:spacing w:after="0"/>
              <w:ind w:right="720"/>
              <w:rPr>
                <w:rFonts w:ascii="Tahoma" w:hAnsi="Tahoma" w:cs="Tahoma"/>
                <w:sz w:val="18"/>
                <w:szCs w:val="18"/>
              </w:rPr>
            </w:pPr>
          </w:p>
          <w:p w:rsidR="00456002" w:rsidRPr="00061DA5" w:rsidRDefault="00456002" w:rsidP="00230E01">
            <w:pPr>
              <w:pStyle w:val="AppendixBodyText"/>
              <w:spacing w:after="0"/>
              <w:ind w:right="720"/>
              <w:rPr>
                <w:rFonts w:ascii="Tahoma" w:hAnsi="Tahoma" w:cs="Tahoma"/>
                <w:sz w:val="18"/>
                <w:szCs w:val="18"/>
              </w:rPr>
            </w:pPr>
            <w:r w:rsidRPr="00061DA5">
              <w:rPr>
                <w:rFonts w:ascii="Tahoma" w:hAnsi="Tahoma" w:cs="Tahoma"/>
                <w:sz w:val="18"/>
                <w:szCs w:val="18"/>
              </w:rPr>
              <w:t>Essas isenções de Usuários Qualificados aplicam-se a todos os clientes de EA e ESA, sem levar em conta se isenções de Usuários Qualificados estão contempladas especificamente nos termos e condições dos contratos dos clientes.</w:t>
            </w:r>
          </w:p>
          <w:p w:rsidR="00230E01" w:rsidRPr="004B208C" w:rsidRDefault="00230E01" w:rsidP="00230E01">
            <w:pPr>
              <w:pStyle w:val="AppendixBodyText"/>
              <w:spacing w:after="0"/>
              <w:ind w:right="720"/>
              <w:rPr>
                <w:rFonts w:ascii="Tahoma" w:hAnsi="Tahoma" w:cs="Tahoma"/>
                <w:sz w:val="18"/>
                <w:lang w:eastAsia="ja-JP"/>
              </w:rPr>
            </w:pPr>
          </w:p>
        </w:tc>
      </w:tr>
      <w:tr w:rsidR="00456002" w:rsidRPr="004B208C" w:rsidTr="00171160">
        <w:tc>
          <w:tcPr>
            <w:tcW w:w="2520" w:type="dxa"/>
            <w:shd w:val="clear" w:color="auto" w:fill="auto"/>
          </w:tcPr>
          <w:p w:rsidR="00456002" w:rsidRPr="004B208C" w:rsidRDefault="00B215EA" w:rsidP="00061DA5">
            <w:pPr>
              <w:pStyle w:val="AppendixBodyText"/>
              <w:spacing w:before="60"/>
              <w:ind w:right="720"/>
              <w:rPr>
                <w:rFonts w:ascii="Tahoma" w:hAnsi="Tahoma" w:cs="Tahoma"/>
                <w:b/>
                <w:lang w:eastAsia="ja-JP"/>
              </w:rPr>
            </w:pPr>
            <w:r w:rsidRPr="004B208C">
              <w:rPr>
                <w:rFonts w:ascii="Tahoma" w:hAnsi="Tahoma" w:cs="Tahoma"/>
                <w:b/>
                <w:color w:val="000000"/>
                <w:szCs w:val="18"/>
              </w:rPr>
              <w:lastRenderedPageBreak/>
              <w:t>Enrollment for</w:t>
            </w:r>
            <w:r w:rsidR="00061DA5">
              <w:rPr>
                <w:rFonts w:ascii="Tahoma" w:hAnsi="Tahoma" w:cs="Tahoma"/>
                <w:b/>
                <w:color w:val="000000"/>
                <w:szCs w:val="18"/>
              </w:rPr>
              <w:t> </w:t>
            </w:r>
            <w:r w:rsidRPr="004B208C">
              <w:rPr>
                <w:rFonts w:ascii="Tahoma" w:hAnsi="Tahoma" w:cs="Tahoma"/>
                <w:b/>
                <w:color w:val="000000"/>
                <w:szCs w:val="18"/>
              </w:rPr>
              <w:t>Education Solutions (EES)</w:t>
            </w:r>
          </w:p>
        </w:tc>
        <w:tc>
          <w:tcPr>
            <w:tcW w:w="6948" w:type="dxa"/>
            <w:shd w:val="clear" w:color="auto" w:fill="auto"/>
          </w:tcPr>
          <w:p w:rsidR="00456002" w:rsidRPr="00061DA5" w:rsidRDefault="00456002" w:rsidP="00A70464">
            <w:pPr>
              <w:pStyle w:val="ListParagraph"/>
              <w:spacing w:before="60"/>
              <w:ind w:left="0"/>
              <w:contextualSpacing w:val="0"/>
              <w:rPr>
                <w:rFonts w:ascii="Tahoma" w:hAnsi="Tahoma" w:cs="Tahoma"/>
                <w:sz w:val="18"/>
                <w:szCs w:val="18"/>
              </w:rPr>
            </w:pPr>
            <w:r w:rsidRPr="00061DA5">
              <w:rPr>
                <w:rFonts w:ascii="Tahoma" w:hAnsi="Tahoma" w:cs="Tahoma"/>
                <w:sz w:val="18"/>
                <w:szCs w:val="18"/>
              </w:rPr>
              <w:t>O EES requer um pedido mínimo conforme especificado a seguir:</w:t>
            </w:r>
            <w:r w:rsidR="00172F11" w:rsidRPr="00061DA5">
              <w:rPr>
                <w:rFonts w:ascii="Tahoma" w:hAnsi="Tahoma" w:cs="Tahoma"/>
                <w:sz w:val="18"/>
                <w:szCs w:val="18"/>
              </w:rPr>
              <w:t xml:space="preserve"> </w:t>
            </w:r>
          </w:p>
          <w:p w:rsidR="00406CB0" w:rsidRPr="00061DA5" w:rsidRDefault="00406CB0" w:rsidP="00A70464">
            <w:pPr>
              <w:pStyle w:val="ListParagraph"/>
              <w:ind w:left="0"/>
              <w:contextualSpacing w:val="0"/>
              <w:rPr>
                <w:rFonts w:ascii="Tahoma" w:hAnsi="Tahoma" w:cs="Tahoma"/>
                <w:sz w:val="18"/>
                <w:szCs w:val="18"/>
              </w:rPr>
            </w:pPr>
          </w:p>
          <w:p w:rsidR="00456002" w:rsidRPr="004B208C" w:rsidRDefault="00456002" w:rsidP="00A1385C">
            <w:pPr>
              <w:numPr>
                <w:ilvl w:val="0"/>
                <w:numId w:val="62"/>
              </w:numPr>
              <w:spacing w:after="60"/>
              <w:rPr>
                <w:rFonts w:cs="Tahoma"/>
              </w:rPr>
            </w:pPr>
            <w:r w:rsidRPr="004B208C">
              <w:rPr>
                <w:rFonts w:cs="Tahoma"/>
              </w:rPr>
              <w:t>pelo menos um Produto da Plataforma Desktop para a Contagem de</w:t>
            </w:r>
            <w:r w:rsidR="00061DA5">
              <w:rPr>
                <w:rFonts w:cs="Tahoma"/>
              </w:rPr>
              <w:t> </w:t>
            </w:r>
            <w:r w:rsidRPr="004B208C">
              <w:rPr>
                <w:rFonts w:cs="Tahoma"/>
              </w:rPr>
              <w:t>toda a</w:t>
            </w:r>
            <w:r w:rsidR="0065137B">
              <w:rPr>
                <w:rFonts w:cs="Tahoma"/>
              </w:rPr>
              <w:t> </w:t>
            </w:r>
            <w:r w:rsidRPr="004B208C">
              <w:rPr>
                <w:rFonts w:cs="Tahoma"/>
              </w:rPr>
              <w:t>Organização de, pelo menos, 1.000 OU</w:t>
            </w:r>
          </w:p>
          <w:p w:rsidR="00456002" w:rsidRPr="004B208C" w:rsidRDefault="00456002" w:rsidP="00A1385C">
            <w:pPr>
              <w:numPr>
                <w:ilvl w:val="0"/>
                <w:numId w:val="62"/>
              </w:numPr>
              <w:spacing w:after="60"/>
              <w:rPr>
                <w:rFonts w:cs="Tahoma"/>
              </w:rPr>
            </w:pPr>
            <w:r w:rsidRPr="004B208C">
              <w:rPr>
                <w:rFonts w:cs="Tahoma"/>
              </w:rPr>
              <w:t>pelo menos um Serviço Online da Plataforma para o Corpo Docente/Funcionários na quantidade de 1.000 OU</w:t>
            </w:r>
          </w:p>
          <w:p w:rsidR="00456002" w:rsidRPr="004B208C" w:rsidRDefault="00456002" w:rsidP="00A1385C">
            <w:pPr>
              <w:numPr>
                <w:ilvl w:val="0"/>
                <w:numId w:val="62"/>
              </w:numPr>
              <w:spacing w:after="60"/>
              <w:rPr>
                <w:rFonts w:cs="Tahoma"/>
              </w:rPr>
            </w:pPr>
            <w:r w:rsidRPr="004B208C">
              <w:rPr>
                <w:rFonts w:cs="Tahoma"/>
              </w:rPr>
              <w:t>pelo menos um Produto da Plataforma Desktop para a Contagem de</w:t>
            </w:r>
            <w:r w:rsidR="00061DA5">
              <w:rPr>
                <w:rFonts w:cs="Tahoma"/>
              </w:rPr>
              <w:t> </w:t>
            </w:r>
            <w:r w:rsidRPr="004B208C">
              <w:rPr>
                <w:rFonts w:cs="Tahoma"/>
              </w:rPr>
              <w:t>Estudantes de, pelo menos, 1.000 OU</w:t>
            </w:r>
          </w:p>
          <w:p w:rsidR="00456002" w:rsidRPr="004B208C" w:rsidRDefault="00456002" w:rsidP="00A1385C">
            <w:pPr>
              <w:numPr>
                <w:ilvl w:val="0"/>
                <w:numId w:val="62"/>
              </w:numPr>
              <w:spacing w:after="60"/>
              <w:rPr>
                <w:rFonts w:cs="Tahoma"/>
              </w:rPr>
            </w:pPr>
            <w:r w:rsidRPr="004B208C">
              <w:rPr>
                <w:rFonts w:cs="Tahoma"/>
              </w:rPr>
              <w:t>pelo menos um Serviço Online da Plataforma para Estudantes na</w:t>
            </w:r>
            <w:r w:rsidR="00061DA5">
              <w:rPr>
                <w:rFonts w:cs="Tahoma"/>
              </w:rPr>
              <w:t> </w:t>
            </w:r>
            <w:r w:rsidRPr="004B208C">
              <w:rPr>
                <w:rFonts w:cs="Tahoma"/>
              </w:rPr>
              <w:t xml:space="preserve">quantidade de 1.000 </w:t>
            </w:r>
          </w:p>
          <w:p w:rsidR="00456002" w:rsidRPr="004B208C" w:rsidRDefault="00456002" w:rsidP="00A70464">
            <w:pPr>
              <w:rPr>
                <w:rFonts w:cs="Tahoma"/>
              </w:rPr>
            </w:pPr>
          </w:p>
          <w:p w:rsidR="00A9013C" w:rsidRPr="004B208C" w:rsidRDefault="00456002" w:rsidP="005C647E">
            <w:pPr>
              <w:rPr>
                <w:rFonts w:cs="Tahoma"/>
              </w:rPr>
            </w:pPr>
            <w:r w:rsidRPr="004B208C">
              <w:rPr>
                <w:rFonts w:cs="Tahoma"/>
                <w:b/>
                <w:color w:val="000000"/>
                <w:szCs w:val="18"/>
              </w:rPr>
              <w:t>Observação:</w:t>
            </w:r>
            <w:r w:rsidRPr="004B208C">
              <w:rPr>
                <w:rFonts w:cs="Tahoma"/>
                <w:color w:val="000000"/>
                <w:szCs w:val="18"/>
              </w:rPr>
              <w:t xml:space="preserve"> Esse requisito de quantidade no pedido poderá ser dispensado caso seja fornecido um registro qualificado.</w:t>
            </w:r>
          </w:p>
          <w:p w:rsidR="00406CB0" w:rsidRPr="004B208C" w:rsidRDefault="00406CB0" w:rsidP="005C647E">
            <w:pPr>
              <w:rPr>
                <w:rFonts w:cs="Tahoma"/>
              </w:rPr>
            </w:pPr>
          </w:p>
          <w:p w:rsidR="00822871" w:rsidRPr="004B208C" w:rsidRDefault="00A9013C" w:rsidP="00230E01">
            <w:pPr>
              <w:rPr>
                <w:rFonts w:cs="Tahoma"/>
              </w:rPr>
            </w:pPr>
            <w:r w:rsidRPr="004B208C">
              <w:rPr>
                <w:rFonts w:cs="Tahoma"/>
                <w:b/>
                <w:color w:val="000000"/>
                <w:szCs w:val="18"/>
              </w:rPr>
              <w:t xml:space="preserve">Observação: </w:t>
            </w:r>
            <w:r w:rsidRPr="004B208C">
              <w:rPr>
                <w:rFonts w:cs="Tahoma"/>
                <w:color w:val="000000"/>
                <w:szCs w:val="18"/>
              </w:rPr>
              <w:t>As CALs (Licenças de acesso para cliente) compradas em razão do</w:t>
            </w:r>
            <w:r w:rsidR="00061DA5">
              <w:rPr>
                <w:rFonts w:cs="Tahoma"/>
                <w:color w:val="000000"/>
                <w:szCs w:val="18"/>
              </w:rPr>
              <w:t> </w:t>
            </w:r>
            <w:r w:rsidRPr="004B208C">
              <w:rPr>
                <w:rFonts w:cs="Tahoma"/>
                <w:color w:val="000000"/>
                <w:szCs w:val="18"/>
              </w:rPr>
              <w:t>Enrollment for Education Solutions (EES) que podem ser licenciadas não para toda a organização podem ser designadas e usadas como CALs de dispositivo ou</w:t>
            </w:r>
            <w:r w:rsidR="00061DA5">
              <w:rPr>
                <w:rFonts w:cs="Tahoma"/>
                <w:color w:val="000000"/>
                <w:szCs w:val="18"/>
              </w:rPr>
              <w:t> </w:t>
            </w:r>
            <w:r w:rsidRPr="004B208C">
              <w:rPr>
                <w:rFonts w:cs="Tahoma"/>
                <w:color w:val="000000"/>
                <w:szCs w:val="18"/>
              </w:rPr>
              <w:t>CALs de usuário, a critério da Instituição.</w:t>
            </w:r>
            <w:r w:rsidR="00172F11">
              <w:rPr>
                <w:rFonts w:cs="Tahoma"/>
                <w:color w:val="000000"/>
                <w:szCs w:val="18"/>
              </w:rPr>
              <w:t xml:space="preserve"> </w:t>
            </w:r>
            <w:r w:rsidRPr="004B208C">
              <w:rPr>
                <w:rFonts w:cs="Tahoma"/>
                <w:color w:val="000000"/>
                <w:szCs w:val="18"/>
              </w:rPr>
              <w:t>As CALs de usuário não podem ser</w:t>
            </w:r>
            <w:r w:rsidR="00061DA5">
              <w:rPr>
                <w:rFonts w:cs="Tahoma"/>
                <w:color w:val="000000"/>
                <w:szCs w:val="18"/>
              </w:rPr>
              <w:t> </w:t>
            </w:r>
            <w:r w:rsidRPr="004B208C">
              <w:rPr>
                <w:rFonts w:cs="Tahoma"/>
                <w:color w:val="000000"/>
                <w:szCs w:val="18"/>
              </w:rPr>
              <w:t>reatribuídas como CALs de dispositivo, e CALs de dispositivo não podem ser</w:t>
            </w:r>
            <w:r w:rsidR="00061DA5">
              <w:rPr>
                <w:rFonts w:cs="Tahoma"/>
                <w:color w:val="000000"/>
                <w:szCs w:val="18"/>
              </w:rPr>
              <w:t> </w:t>
            </w:r>
            <w:r w:rsidRPr="004B208C">
              <w:rPr>
                <w:rFonts w:cs="Tahoma"/>
                <w:color w:val="000000"/>
                <w:szCs w:val="18"/>
              </w:rPr>
              <w:t>reatribuídas como CALs de usuário, exceto como pode ser visto a seguir.</w:t>
            </w:r>
            <w:r w:rsidR="00172F11">
              <w:rPr>
                <w:rFonts w:cs="Tahoma"/>
                <w:color w:val="000000"/>
                <w:szCs w:val="18"/>
              </w:rPr>
              <w:t xml:space="preserve"> </w:t>
            </w:r>
            <w:r w:rsidRPr="004B208C">
              <w:rPr>
                <w:rFonts w:cs="Tahoma"/>
                <w:color w:val="000000"/>
                <w:szCs w:val="18"/>
              </w:rPr>
              <w:t>Qualquer CAL solicitada não para toda a empresa pode ser reatribuída e usada como uma CAL de dispositivo ou usuário mediante a renovação da assinatura por meio de um novo Contrato.</w:t>
            </w:r>
          </w:p>
          <w:p w:rsidR="00230E01" w:rsidRPr="004B208C" w:rsidRDefault="00230E01" w:rsidP="00230E01">
            <w:pPr>
              <w:rPr>
                <w:rFonts w:cs="Tahoma"/>
                <w:color w:val="000000"/>
                <w:szCs w:val="18"/>
              </w:rPr>
            </w:pPr>
          </w:p>
        </w:tc>
      </w:tr>
      <w:tr w:rsidR="00B215EA" w:rsidRPr="004B208C" w:rsidTr="00171160">
        <w:trPr>
          <w:cantSplit/>
        </w:trPr>
        <w:tc>
          <w:tcPr>
            <w:tcW w:w="2520" w:type="dxa"/>
            <w:tcBorders>
              <w:top w:val="single" w:sz="4" w:space="0" w:color="000000"/>
              <w:left w:val="single" w:sz="4" w:space="0" w:color="000000"/>
              <w:bottom w:val="single" w:sz="4" w:space="0" w:color="000000"/>
              <w:right w:val="single" w:sz="4" w:space="0" w:color="000000"/>
            </w:tcBorders>
            <w:shd w:val="clear" w:color="auto" w:fill="auto"/>
          </w:tcPr>
          <w:p w:rsidR="00B215EA" w:rsidRPr="004B208C" w:rsidRDefault="00B215EA" w:rsidP="0065137B">
            <w:pPr>
              <w:pStyle w:val="AppendixBodyText"/>
              <w:spacing w:before="60"/>
              <w:ind w:right="720"/>
              <w:rPr>
                <w:rFonts w:ascii="Tahoma" w:hAnsi="Tahoma" w:cs="Tahoma"/>
                <w:b/>
                <w:color w:val="000000"/>
                <w:szCs w:val="18"/>
                <w:lang w:eastAsia="ja-JP"/>
              </w:rPr>
            </w:pPr>
            <w:bookmarkStart w:id="607" w:name="_Toc323159731"/>
            <w:bookmarkStart w:id="608" w:name="_Toc325609171"/>
            <w:bookmarkStart w:id="609" w:name="_Toc336338192"/>
            <w:r w:rsidRPr="004B208C">
              <w:rPr>
                <w:rFonts w:ascii="Tahoma" w:hAnsi="Tahoma" w:cs="Tahoma"/>
                <w:b/>
                <w:color w:val="000000"/>
                <w:szCs w:val="18"/>
              </w:rPr>
              <w:lastRenderedPageBreak/>
              <w:t>SCE (Registro de Servidor e</w:t>
            </w:r>
            <w:r w:rsidR="0065137B">
              <w:rPr>
                <w:rFonts w:ascii="Tahoma" w:hAnsi="Tahoma" w:cs="Tahoma"/>
                <w:b/>
                <w:color w:val="000000"/>
                <w:szCs w:val="18"/>
              </w:rPr>
              <w:t> </w:t>
            </w:r>
            <w:r w:rsidRPr="004B208C">
              <w:rPr>
                <w:rFonts w:ascii="Tahoma" w:hAnsi="Tahoma" w:cs="Tahoma"/>
                <w:b/>
                <w:color w:val="000000"/>
                <w:szCs w:val="18"/>
              </w:rPr>
              <w:t>Nuvem)</w:t>
            </w:r>
          </w:p>
        </w:tc>
        <w:tc>
          <w:tcPr>
            <w:tcW w:w="6948" w:type="dxa"/>
            <w:tcBorders>
              <w:top w:val="single" w:sz="4" w:space="0" w:color="000000"/>
              <w:left w:val="single" w:sz="4" w:space="0" w:color="000000"/>
              <w:bottom w:val="single" w:sz="4" w:space="0" w:color="000000"/>
              <w:right w:val="single" w:sz="4" w:space="0" w:color="000000"/>
            </w:tcBorders>
            <w:shd w:val="clear" w:color="auto" w:fill="auto"/>
          </w:tcPr>
          <w:tbl>
            <w:tblPr>
              <w:tblW w:w="67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05"/>
              <w:gridCol w:w="5213"/>
            </w:tblGrid>
            <w:tr w:rsidR="00171160" w:rsidRPr="004B208C" w:rsidTr="00171160">
              <w:trPr>
                <w:trHeight w:val="315"/>
                <w:jc w:val="center"/>
              </w:trPr>
              <w:tc>
                <w:tcPr>
                  <w:tcW w:w="1505"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061DA5" w:rsidRPr="004B208C" w:rsidRDefault="00061DA5" w:rsidP="008D6C3F">
                  <w:pPr>
                    <w:keepNext/>
                    <w:jc w:val="center"/>
                    <w:rPr>
                      <w:rFonts w:eastAsia="Calibri" w:cs="Tahoma"/>
                      <w:b/>
                      <w:color w:val="FFFFFF"/>
                    </w:rPr>
                  </w:pPr>
                  <w:r w:rsidRPr="004B208C">
                    <w:rPr>
                      <w:rFonts w:cs="Tahoma"/>
                      <w:b/>
                      <w:color w:val="FFFFFF"/>
                    </w:rPr>
                    <w:t>Família de Produtos</w:t>
                  </w:r>
                </w:p>
              </w:tc>
              <w:tc>
                <w:tcPr>
                  <w:tcW w:w="5213"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061DA5" w:rsidRPr="004B208C" w:rsidRDefault="00061DA5" w:rsidP="008D6C3F">
                  <w:pPr>
                    <w:keepNext/>
                    <w:jc w:val="center"/>
                    <w:rPr>
                      <w:rFonts w:eastAsia="Calibri" w:cs="Tahoma"/>
                      <w:b/>
                      <w:color w:val="FFFFFF"/>
                    </w:rPr>
                  </w:pPr>
                  <w:r w:rsidRPr="004B208C">
                    <w:rPr>
                      <w:rFonts w:cs="Tahoma"/>
                      <w:b/>
                      <w:color w:val="FFFFFF"/>
                    </w:rPr>
                    <w:t>Pedido Mínimo Inicial</w:t>
                  </w:r>
                </w:p>
              </w:tc>
            </w:tr>
            <w:tr w:rsidR="00171160" w:rsidRPr="004B208C" w:rsidTr="00171160">
              <w:trPr>
                <w:jc w:val="center"/>
              </w:trPr>
              <w:tc>
                <w:tcPr>
                  <w:tcW w:w="1505" w:type="dxa"/>
                  <w:noWrap/>
                  <w:tcMar>
                    <w:top w:w="0" w:type="dxa"/>
                    <w:left w:w="108" w:type="dxa"/>
                    <w:bottom w:w="0" w:type="dxa"/>
                    <w:right w:w="108" w:type="dxa"/>
                  </w:tcMar>
                  <w:vAlign w:val="center"/>
                  <w:hideMark/>
                </w:tcPr>
                <w:p w:rsidR="00061DA5" w:rsidRPr="004B208C" w:rsidRDefault="00061DA5" w:rsidP="008D6C3F">
                  <w:pPr>
                    <w:jc w:val="center"/>
                    <w:rPr>
                      <w:rFonts w:eastAsia="Calibri" w:cs="Tahoma"/>
                      <w:b/>
                      <w:color w:val="000000"/>
                    </w:rPr>
                  </w:pPr>
                  <w:r w:rsidRPr="004B208C">
                    <w:rPr>
                      <w:rFonts w:cs="Tahoma"/>
                      <w:b/>
                      <w:color w:val="000000"/>
                    </w:rPr>
                    <w:t>SQL Server</w:t>
                  </w:r>
                </w:p>
              </w:tc>
              <w:tc>
                <w:tcPr>
                  <w:tcW w:w="5213" w:type="dxa"/>
                  <w:noWrap/>
                  <w:tcMar>
                    <w:top w:w="0" w:type="dxa"/>
                    <w:left w:w="108" w:type="dxa"/>
                    <w:bottom w:w="0" w:type="dxa"/>
                    <w:right w:w="108" w:type="dxa"/>
                  </w:tcMar>
                  <w:vAlign w:val="center"/>
                </w:tcPr>
                <w:p w:rsidR="00061DA5" w:rsidRPr="004B208C" w:rsidRDefault="00061DA5" w:rsidP="008D6C3F">
                  <w:pPr>
                    <w:rPr>
                      <w:rFonts w:cs="Tahoma"/>
                    </w:rPr>
                  </w:pPr>
                  <w:r w:rsidRPr="004B208C">
                    <w:rPr>
                      <w:rFonts w:cs="Tahoma"/>
                    </w:rPr>
                    <w:t>A quantidade de licenças de SQL Por Núcleo necessárias para 50 núcleos OU</w:t>
                  </w:r>
                </w:p>
                <w:p w:rsidR="00061DA5" w:rsidRPr="004B208C" w:rsidRDefault="00061DA5" w:rsidP="008D6C3F">
                  <w:pPr>
                    <w:rPr>
                      <w:rFonts w:cs="Tahoma"/>
                    </w:rPr>
                  </w:pPr>
                  <w:r w:rsidRPr="004B208C">
                    <w:rPr>
                      <w:rFonts w:cs="Tahoma"/>
                    </w:rPr>
                    <w:t>Cinco edições do SQL Server com 250 CALs (edições do SQL Server exigem CALs)</w:t>
                  </w:r>
                </w:p>
              </w:tc>
            </w:tr>
            <w:tr w:rsidR="00171160" w:rsidRPr="004B208C" w:rsidTr="00171160">
              <w:trPr>
                <w:jc w:val="center"/>
              </w:trPr>
              <w:tc>
                <w:tcPr>
                  <w:tcW w:w="1505" w:type="dxa"/>
                  <w:noWrap/>
                  <w:tcMar>
                    <w:top w:w="0" w:type="dxa"/>
                    <w:left w:w="108" w:type="dxa"/>
                    <w:bottom w:w="0" w:type="dxa"/>
                    <w:right w:w="108" w:type="dxa"/>
                  </w:tcMar>
                  <w:vAlign w:val="center"/>
                </w:tcPr>
                <w:p w:rsidR="00061DA5" w:rsidRPr="004B208C" w:rsidRDefault="00061DA5" w:rsidP="008D6C3F">
                  <w:pPr>
                    <w:jc w:val="center"/>
                    <w:rPr>
                      <w:rFonts w:cs="Tahoma"/>
                      <w:b/>
                      <w:color w:val="000000"/>
                    </w:rPr>
                  </w:pPr>
                  <w:r w:rsidRPr="004B208C">
                    <w:rPr>
                      <w:rFonts w:cs="Tahoma"/>
                      <w:b/>
                      <w:color w:val="000000"/>
                    </w:rPr>
                    <w:t>Data Warehouse em Paralelo do SQL Server</w:t>
                  </w:r>
                </w:p>
              </w:tc>
              <w:tc>
                <w:tcPr>
                  <w:tcW w:w="5213" w:type="dxa"/>
                  <w:noWrap/>
                  <w:tcMar>
                    <w:top w:w="0" w:type="dxa"/>
                    <w:left w:w="108" w:type="dxa"/>
                    <w:bottom w:w="0" w:type="dxa"/>
                    <w:right w:w="108" w:type="dxa"/>
                  </w:tcMar>
                  <w:vAlign w:val="center"/>
                </w:tcPr>
                <w:p w:rsidR="00061DA5" w:rsidRPr="004B208C" w:rsidRDefault="00061DA5" w:rsidP="008D6C3F">
                  <w:pPr>
                    <w:rPr>
                      <w:rFonts w:cs="Tahoma"/>
                      <w:color w:val="000000"/>
                    </w:rPr>
                  </w:pPr>
                  <w:r w:rsidRPr="004B208C">
                    <w:rPr>
                      <w:rFonts w:cs="Tahoma"/>
                    </w:rPr>
                    <w:t>32 Núcleos. A família de produtos SQL Server deve ser selecionada na tabela acima. Os Núcleos do SQL Parallel Data Warehouse se aplicam em relação à quantidade mínima da edição SQL Por Núcleo.</w:t>
                  </w:r>
                </w:p>
              </w:tc>
            </w:tr>
            <w:tr w:rsidR="00171160" w:rsidRPr="004B208C" w:rsidTr="00171160">
              <w:trPr>
                <w:jc w:val="center"/>
              </w:trPr>
              <w:tc>
                <w:tcPr>
                  <w:tcW w:w="1505" w:type="dxa"/>
                  <w:noWrap/>
                  <w:tcMar>
                    <w:top w:w="0" w:type="dxa"/>
                    <w:left w:w="108" w:type="dxa"/>
                    <w:bottom w:w="0" w:type="dxa"/>
                    <w:right w:w="108" w:type="dxa"/>
                  </w:tcMar>
                  <w:vAlign w:val="center"/>
                  <w:hideMark/>
                </w:tcPr>
                <w:p w:rsidR="00061DA5" w:rsidRPr="004B208C" w:rsidRDefault="00061DA5" w:rsidP="008D6C3F">
                  <w:pPr>
                    <w:jc w:val="center"/>
                    <w:rPr>
                      <w:rFonts w:eastAsia="Calibri" w:cs="Tahoma"/>
                      <w:b/>
                      <w:color w:val="000000"/>
                    </w:rPr>
                  </w:pPr>
                  <w:r w:rsidRPr="004B208C">
                    <w:rPr>
                      <w:rFonts w:cs="Tahoma"/>
                      <w:b/>
                      <w:color w:val="000000"/>
                    </w:rPr>
                    <w:t>BizTalk Server</w:t>
                  </w:r>
                </w:p>
              </w:tc>
              <w:tc>
                <w:tcPr>
                  <w:tcW w:w="5213" w:type="dxa"/>
                  <w:noWrap/>
                  <w:tcMar>
                    <w:top w:w="0" w:type="dxa"/>
                    <w:left w:w="108" w:type="dxa"/>
                    <w:bottom w:w="0" w:type="dxa"/>
                    <w:right w:w="108" w:type="dxa"/>
                  </w:tcMar>
                  <w:vAlign w:val="center"/>
                  <w:hideMark/>
                </w:tcPr>
                <w:p w:rsidR="00061DA5" w:rsidRPr="004B208C" w:rsidRDefault="00061DA5" w:rsidP="008D6C3F">
                  <w:pPr>
                    <w:rPr>
                      <w:rFonts w:eastAsia="Calibri" w:cs="Tahoma"/>
                      <w:color w:val="000000"/>
                    </w:rPr>
                  </w:pPr>
                  <w:r w:rsidRPr="004B208C">
                    <w:rPr>
                      <w:rFonts w:cs="Tahoma"/>
                      <w:color w:val="000000"/>
                    </w:rPr>
                    <w:t>Vinte e Quatro Núcleos de qualquer combinação do BizTalk Server Editions.</w:t>
                  </w:r>
                  <w:r w:rsidRPr="004B208C">
                    <w:rPr>
                      <w:rFonts w:cs="Tahoma"/>
                    </w:rPr>
                    <w:t xml:space="preserve"> A família de produtos SQL Server deve ser selecionada na tabela acima.</w:t>
                  </w:r>
                </w:p>
              </w:tc>
            </w:tr>
            <w:tr w:rsidR="00171160" w:rsidRPr="004B208C" w:rsidTr="00171160">
              <w:trPr>
                <w:jc w:val="center"/>
              </w:trPr>
              <w:tc>
                <w:tcPr>
                  <w:tcW w:w="1505" w:type="dxa"/>
                  <w:noWrap/>
                  <w:tcMar>
                    <w:top w:w="0" w:type="dxa"/>
                    <w:left w:w="108" w:type="dxa"/>
                    <w:bottom w:w="0" w:type="dxa"/>
                    <w:right w:w="108" w:type="dxa"/>
                  </w:tcMar>
                  <w:vAlign w:val="center"/>
                  <w:hideMark/>
                </w:tcPr>
                <w:p w:rsidR="00061DA5" w:rsidRPr="004B208C" w:rsidRDefault="00061DA5" w:rsidP="008D6C3F">
                  <w:pPr>
                    <w:jc w:val="center"/>
                    <w:rPr>
                      <w:rFonts w:eastAsia="Calibri" w:cs="Tahoma"/>
                      <w:b/>
                      <w:color w:val="000000"/>
                    </w:rPr>
                  </w:pPr>
                  <w:r w:rsidRPr="004B208C">
                    <w:rPr>
                      <w:rFonts w:cs="Tahoma"/>
                      <w:b/>
                      <w:color w:val="000000"/>
                    </w:rPr>
                    <w:t xml:space="preserve">Visual Studio </w:t>
                  </w:r>
                </w:p>
              </w:tc>
              <w:tc>
                <w:tcPr>
                  <w:tcW w:w="5213" w:type="dxa"/>
                  <w:noWrap/>
                  <w:tcMar>
                    <w:top w:w="0" w:type="dxa"/>
                    <w:left w:w="108" w:type="dxa"/>
                    <w:bottom w:w="0" w:type="dxa"/>
                    <w:right w:w="108" w:type="dxa"/>
                  </w:tcMar>
                  <w:vAlign w:val="center"/>
                  <w:hideMark/>
                </w:tcPr>
                <w:p w:rsidR="00061DA5" w:rsidRPr="004B208C" w:rsidRDefault="00061DA5" w:rsidP="00171160">
                  <w:pPr>
                    <w:rPr>
                      <w:rFonts w:cs="Tahoma"/>
                      <w:color w:val="000000"/>
                    </w:rPr>
                  </w:pPr>
                  <w:r w:rsidRPr="004B208C">
                    <w:rPr>
                      <w:rFonts w:cs="Tahoma"/>
                    </w:rPr>
                    <w:t>20 Licenças de qualquer combinação de: Visual Studio Ultimate com MSDN e Visual Studio Premium com MSDN.</w:t>
                  </w:r>
                  <w:r>
                    <w:rPr>
                      <w:rFonts w:cs="Tahoma"/>
                    </w:rPr>
                    <w:t xml:space="preserve"> </w:t>
                  </w:r>
                  <w:r w:rsidRPr="004B208C">
                    <w:rPr>
                      <w:rFonts w:cs="Tahoma"/>
                    </w:rPr>
                    <w:t>Uma</w:t>
                  </w:r>
                  <w:r w:rsidR="00171160">
                    <w:rPr>
                      <w:rFonts w:cs="Tahoma"/>
                    </w:rPr>
                    <w:t> </w:t>
                  </w:r>
                  <w:r w:rsidRPr="004B208C">
                    <w:rPr>
                      <w:rFonts w:cs="Tahoma"/>
                    </w:rPr>
                    <w:t>Licença de Linha de Base é exigida para cada usuário de qualquer software licenciado por meio da assinatura do MSDN. O uso de Software MSDN inclui, mas não se limita a, programas de desenvolvimento e teste usando o software, bem como instalar, configurar e gerenciar o software. Exemplos de usuários incluem (mas não se limitam a): desenvolvedores, testadores e outros funcionários de TI que</w:t>
                  </w:r>
                  <w:r w:rsidR="00171160">
                    <w:rPr>
                      <w:rFonts w:cs="Tahoma"/>
                    </w:rPr>
                    <w:t> </w:t>
                  </w:r>
                  <w:r w:rsidRPr="004B208C">
                    <w:rPr>
                      <w:rFonts w:cs="Tahoma"/>
                    </w:rPr>
                    <w:t>interagem com a infraestrutura de desenvolvimento de</w:t>
                  </w:r>
                  <w:r w:rsidR="00171160">
                    <w:rPr>
                      <w:rFonts w:cs="Tahoma"/>
                    </w:rPr>
                    <w:t> </w:t>
                  </w:r>
                  <w:r w:rsidRPr="004B208C">
                    <w:rPr>
                      <w:rFonts w:cs="Tahoma"/>
                    </w:rPr>
                    <w:t xml:space="preserve">aplicativos. </w:t>
                  </w:r>
                </w:p>
              </w:tc>
            </w:tr>
            <w:tr w:rsidR="00171160" w:rsidRPr="004B208C" w:rsidTr="00171160">
              <w:trPr>
                <w:jc w:val="center"/>
              </w:trPr>
              <w:tc>
                <w:tcPr>
                  <w:tcW w:w="1505" w:type="dxa"/>
                  <w:noWrap/>
                  <w:tcMar>
                    <w:top w:w="0" w:type="dxa"/>
                    <w:left w:w="108" w:type="dxa"/>
                    <w:bottom w:w="0" w:type="dxa"/>
                    <w:right w:w="108" w:type="dxa"/>
                  </w:tcMar>
                  <w:vAlign w:val="center"/>
                  <w:hideMark/>
                </w:tcPr>
                <w:p w:rsidR="00061DA5" w:rsidRPr="004B208C" w:rsidRDefault="00061DA5" w:rsidP="008D6C3F">
                  <w:pPr>
                    <w:jc w:val="center"/>
                    <w:rPr>
                      <w:rFonts w:eastAsia="Calibri" w:cs="Tahoma"/>
                      <w:b/>
                      <w:color w:val="000000"/>
                    </w:rPr>
                  </w:pPr>
                  <w:r w:rsidRPr="004B208C">
                    <w:rPr>
                      <w:rFonts w:cs="Tahoma"/>
                      <w:b/>
                      <w:color w:val="000000"/>
                    </w:rPr>
                    <w:t>SharePoint Server</w:t>
                  </w:r>
                </w:p>
              </w:tc>
              <w:tc>
                <w:tcPr>
                  <w:tcW w:w="5213" w:type="dxa"/>
                  <w:noWrap/>
                  <w:tcMar>
                    <w:top w:w="0" w:type="dxa"/>
                    <w:left w:w="108" w:type="dxa"/>
                    <w:bottom w:w="0" w:type="dxa"/>
                    <w:right w:w="108" w:type="dxa"/>
                  </w:tcMar>
                  <w:vAlign w:val="center"/>
                  <w:hideMark/>
                </w:tcPr>
                <w:p w:rsidR="00061DA5" w:rsidRPr="004B208C" w:rsidRDefault="00061DA5" w:rsidP="008D6C3F">
                  <w:pPr>
                    <w:rPr>
                      <w:rFonts w:eastAsia="Calibri" w:cs="Tahoma"/>
                      <w:color w:val="000000"/>
                    </w:rPr>
                  </w:pPr>
                  <w:r w:rsidRPr="004B208C">
                    <w:rPr>
                      <w:rFonts w:cs="Tahoma"/>
                    </w:rPr>
                    <w:t>5 Servidores. A família de produtos SQL Server deve ser selecionada na tabela acima.</w:t>
                  </w:r>
                </w:p>
              </w:tc>
            </w:tr>
            <w:tr w:rsidR="00171160" w:rsidRPr="004B208C" w:rsidTr="00171160">
              <w:trPr>
                <w:jc w:val="center"/>
              </w:trPr>
              <w:tc>
                <w:tcPr>
                  <w:tcW w:w="1505" w:type="dxa"/>
                  <w:noWrap/>
                  <w:tcMar>
                    <w:top w:w="0" w:type="dxa"/>
                    <w:left w:w="108" w:type="dxa"/>
                    <w:bottom w:w="0" w:type="dxa"/>
                    <w:right w:w="108" w:type="dxa"/>
                  </w:tcMar>
                  <w:vAlign w:val="center"/>
                </w:tcPr>
                <w:p w:rsidR="00061DA5" w:rsidRPr="004B208C" w:rsidRDefault="00061DA5" w:rsidP="008D6C3F">
                  <w:pPr>
                    <w:jc w:val="center"/>
                    <w:rPr>
                      <w:rFonts w:cs="Tahoma"/>
                      <w:b/>
                      <w:color w:val="000000"/>
                    </w:rPr>
                  </w:pPr>
                  <w:r w:rsidRPr="004B208C">
                    <w:rPr>
                      <w:rFonts w:cs="Tahoma"/>
                      <w:b/>
                      <w:color w:val="000000"/>
                    </w:rPr>
                    <w:t>Core Infrastructure Suites</w:t>
                  </w:r>
                </w:p>
              </w:tc>
              <w:tc>
                <w:tcPr>
                  <w:tcW w:w="5213" w:type="dxa"/>
                  <w:noWrap/>
                  <w:tcMar>
                    <w:top w:w="0" w:type="dxa"/>
                    <w:left w:w="108" w:type="dxa"/>
                    <w:bottom w:w="0" w:type="dxa"/>
                    <w:right w:w="108" w:type="dxa"/>
                  </w:tcMar>
                  <w:vAlign w:val="center"/>
                </w:tcPr>
                <w:p w:rsidR="00061DA5" w:rsidRPr="004B208C" w:rsidRDefault="00061DA5" w:rsidP="0065137B">
                  <w:pPr>
                    <w:rPr>
                      <w:rFonts w:cs="Tahoma"/>
                    </w:rPr>
                  </w:pPr>
                  <w:r w:rsidRPr="004B208C">
                    <w:rPr>
                      <w:rFonts w:cs="Tahoma"/>
                    </w:rPr>
                    <w:t>Todas as implantações licenciadas do Windows Server devem</w:t>
                  </w:r>
                  <w:r w:rsidR="0065137B">
                    <w:rPr>
                      <w:rFonts w:cs="Tahoma"/>
                    </w:rPr>
                    <w:t> </w:t>
                  </w:r>
                  <w:r w:rsidRPr="004B208C">
                    <w:rPr>
                      <w:rFonts w:cs="Tahoma"/>
                    </w:rPr>
                    <w:t>ser licenciadas com o SKU do Core Infrastructure Suite apropriado.</w:t>
                  </w:r>
                  <w:r>
                    <w:rPr>
                      <w:rFonts w:cs="Tahoma"/>
                    </w:rPr>
                    <w:t xml:space="preserve"> </w:t>
                  </w:r>
                  <w:r w:rsidRPr="004B208C">
                    <w:rPr>
                      <w:rFonts w:cs="Tahoma"/>
                    </w:rPr>
                    <w:t>O pedido mínimo é de 25 licenças para 50 processadores (cada licença abrange até dois processadores físicos) para Core Infrastructure Server Suites Standard ou Datacenter (edição ou qualquer combinação de ambas)</w:t>
                  </w:r>
                </w:p>
              </w:tc>
            </w:tr>
          </w:tbl>
          <w:p w:rsidR="00B215EA" w:rsidRPr="004B208C" w:rsidRDefault="00B215EA" w:rsidP="00061DA5">
            <w:pPr>
              <w:pStyle w:val="ListParagraph"/>
              <w:spacing w:before="60"/>
              <w:ind w:left="0"/>
              <w:contextualSpacing w:val="0"/>
              <w:rPr>
                <w:rFonts w:ascii="Tahoma" w:hAnsi="Tahoma" w:cs="Tahoma"/>
                <w:sz w:val="18"/>
                <w:szCs w:val="18"/>
                <w:lang w:eastAsia="ja-JP"/>
              </w:rPr>
            </w:pPr>
          </w:p>
        </w:tc>
      </w:tr>
    </w:tbl>
    <w:p w:rsidR="00366502" w:rsidRPr="00171160" w:rsidRDefault="00366502" w:rsidP="00456002">
      <w:pPr>
        <w:pStyle w:val="Heading3"/>
        <w:ind w:right="720"/>
        <w:rPr>
          <w:rFonts w:ascii="Tahoma" w:hAnsi="Tahoma" w:cs="Tahoma"/>
          <w:sz w:val="18"/>
          <w:szCs w:val="18"/>
        </w:rPr>
      </w:pPr>
    </w:p>
    <w:p w:rsidR="00456002" w:rsidRPr="004B208C" w:rsidRDefault="00456002" w:rsidP="00456002">
      <w:pPr>
        <w:pStyle w:val="Heading3"/>
        <w:ind w:right="720"/>
        <w:rPr>
          <w:rFonts w:ascii="Tahoma" w:hAnsi="Tahoma" w:cs="Tahoma"/>
        </w:rPr>
      </w:pPr>
      <w:bookmarkStart w:id="610" w:name="_Toc370981306"/>
      <w:r w:rsidRPr="004B208C">
        <w:rPr>
          <w:rFonts w:ascii="Tahoma" w:hAnsi="Tahoma" w:cs="Tahoma"/>
          <w:sz w:val="24"/>
          <w:szCs w:val="22"/>
        </w:rPr>
        <w:t>Plataformas</w:t>
      </w:r>
      <w:bookmarkEnd w:id="607"/>
      <w:bookmarkEnd w:id="608"/>
      <w:bookmarkEnd w:id="609"/>
      <w:bookmarkEnd w:id="610"/>
    </w:p>
    <w:p w:rsidR="00456002" w:rsidRPr="004B208C"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4B208C" w:rsidTr="00171160">
        <w:trPr>
          <w:tblHeader/>
        </w:trPr>
        <w:tc>
          <w:tcPr>
            <w:tcW w:w="1890" w:type="dxa"/>
            <w:shd w:val="clear" w:color="auto" w:fill="FABF8F"/>
          </w:tcPr>
          <w:p w:rsidR="00456002" w:rsidRPr="004B208C" w:rsidRDefault="00456002" w:rsidP="00E64551">
            <w:pPr>
              <w:rPr>
                <w:rFonts w:cs="Tahoma"/>
                <w:b/>
                <w:sz w:val="22"/>
                <w:lang w:eastAsia="ja-JP"/>
              </w:rPr>
            </w:pPr>
            <w:r w:rsidRPr="004B208C">
              <w:rPr>
                <w:rFonts w:cs="Tahoma"/>
                <w:b/>
                <w:sz w:val="22"/>
              </w:rPr>
              <w:t>Programas</w:t>
            </w:r>
          </w:p>
        </w:tc>
        <w:tc>
          <w:tcPr>
            <w:tcW w:w="7308" w:type="dxa"/>
            <w:shd w:val="clear" w:color="auto" w:fill="FABF8F"/>
          </w:tcPr>
          <w:p w:rsidR="00456002" w:rsidRPr="004B208C" w:rsidRDefault="00456002" w:rsidP="005C647E">
            <w:pPr>
              <w:jc w:val="center"/>
              <w:rPr>
                <w:rFonts w:cs="Tahoma"/>
                <w:b/>
                <w:sz w:val="22"/>
                <w:lang w:eastAsia="ja-JP"/>
              </w:rPr>
            </w:pPr>
            <w:r w:rsidRPr="004B208C">
              <w:rPr>
                <w:rFonts w:cs="Tahoma"/>
                <w:b/>
                <w:sz w:val="22"/>
              </w:rPr>
              <w:t>Plataformas</w:t>
            </w:r>
          </w:p>
        </w:tc>
      </w:tr>
      <w:tr w:rsidR="00456002" w:rsidRPr="004B208C" w:rsidTr="00E72B9D">
        <w:tc>
          <w:tcPr>
            <w:tcW w:w="1890" w:type="dxa"/>
            <w:shd w:val="clear" w:color="auto" w:fill="auto"/>
          </w:tcPr>
          <w:p w:rsidR="00456002" w:rsidRPr="004B208C" w:rsidRDefault="00DD367D" w:rsidP="00171160">
            <w:pPr>
              <w:spacing w:before="60"/>
              <w:rPr>
                <w:rFonts w:cs="Tahoma"/>
                <w:b/>
                <w:lang w:eastAsia="ja-JP"/>
              </w:rPr>
            </w:pPr>
            <w:r w:rsidRPr="004B208C">
              <w:rPr>
                <w:rFonts w:cs="Tahoma"/>
                <w:b/>
              </w:rPr>
              <w:t>Contrato Enterprise e</w:t>
            </w:r>
            <w:r w:rsidR="00171160">
              <w:rPr>
                <w:rFonts w:cs="Tahoma"/>
                <w:b/>
              </w:rPr>
              <w:t> </w:t>
            </w:r>
            <w:r w:rsidRPr="004B208C">
              <w:rPr>
                <w:rFonts w:cs="Tahoma"/>
                <w:b/>
              </w:rPr>
              <w:t>Contrato Enterprise Subscription</w:t>
            </w:r>
          </w:p>
        </w:tc>
        <w:tc>
          <w:tcPr>
            <w:tcW w:w="7308" w:type="dxa"/>
            <w:shd w:val="clear" w:color="auto" w:fill="auto"/>
          </w:tcPr>
          <w:p w:rsidR="00456002" w:rsidRPr="00171160" w:rsidRDefault="00456002" w:rsidP="00A1385C">
            <w:pPr>
              <w:pStyle w:val="ListParagraph"/>
              <w:numPr>
                <w:ilvl w:val="0"/>
                <w:numId w:val="118"/>
              </w:numPr>
              <w:spacing w:before="60" w:after="60"/>
              <w:ind w:left="245"/>
              <w:rPr>
                <w:rFonts w:ascii="Tahoma" w:hAnsi="Tahoma" w:cs="Tahoma"/>
                <w:sz w:val="18"/>
                <w:szCs w:val="18"/>
              </w:rPr>
            </w:pPr>
            <w:r w:rsidRPr="00171160">
              <w:rPr>
                <w:rFonts w:ascii="Tahoma" w:hAnsi="Tahoma" w:cs="Tahoma"/>
                <w:b/>
                <w:sz w:val="18"/>
                <w:szCs w:val="18"/>
              </w:rPr>
              <w:t>Produtos da Plataforma de Desktop Empresarial</w:t>
            </w:r>
          </w:p>
          <w:p w:rsidR="00456002" w:rsidRPr="004B208C" w:rsidRDefault="00456002" w:rsidP="004B6D8C">
            <w:pPr>
              <w:rPr>
                <w:rFonts w:cs="Tahoma"/>
              </w:rPr>
            </w:pPr>
            <w:r w:rsidRPr="004B208C">
              <w:rPr>
                <w:rFonts w:cs="Tahoma"/>
                <w:color w:val="000000"/>
                <w:szCs w:val="18"/>
              </w:rPr>
              <w:t>Os produtos da plataforma Enterprise Desktop estão disponíveis para os clientes do Contrato Enterprise. A Plataforma de Desktop Enterprise inclui a versão mais atual do</w:t>
            </w:r>
            <w:r w:rsidR="0065137B">
              <w:rPr>
                <w:rFonts w:cs="Tahoma"/>
                <w:color w:val="000000"/>
                <w:szCs w:val="18"/>
              </w:rPr>
              <w:t> </w:t>
            </w:r>
            <w:r w:rsidRPr="004B208C">
              <w:rPr>
                <w:rFonts w:cs="Tahoma"/>
                <w:color w:val="000000"/>
                <w:szCs w:val="18"/>
              </w:rPr>
              <w:t xml:space="preserve">Office </w:t>
            </w:r>
            <w:r w:rsidRPr="004B208C">
              <w:rPr>
                <w:rFonts w:cs="Tahoma"/>
                <w:szCs w:val="18"/>
              </w:rPr>
              <w:t>Professional Plus</w:t>
            </w:r>
            <w:r w:rsidRPr="004B208C">
              <w:rPr>
                <w:rFonts w:cs="Tahoma"/>
                <w:color w:val="000000"/>
                <w:szCs w:val="18"/>
              </w:rPr>
              <w:t>, a Atualização de Sistema Operacional Windows 8 Pro ou Windows Virtual Desktop Access (VDA) e a licença de acesso para cliente do Pacote de CAL Empresarial. Os produtos da Plataforma de Desktop Empresarial são identificados por um “E” na coluna Contrato Enterprise.</w:t>
            </w:r>
            <w:r w:rsidR="00172F11">
              <w:rPr>
                <w:rFonts w:cs="Tahoma"/>
                <w:color w:val="000000"/>
                <w:szCs w:val="18"/>
              </w:rPr>
              <w:t xml:space="preserve"> </w:t>
            </w:r>
            <w:r w:rsidRPr="004B208C">
              <w:rPr>
                <w:rFonts w:cs="Tahoma"/>
                <w:color w:val="000000"/>
                <w:szCs w:val="18"/>
              </w:rPr>
              <w:t>Para os clientes de Contratos Enterprise e</w:t>
            </w:r>
            <w:r w:rsidR="00171160">
              <w:rPr>
                <w:rFonts w:cs="Tahoma"/>
                <w:color w:val="000000"/>
                <w:szCs w:val="18"/>
              </w:rPr>
              <w:t> </w:t>
            </w:r>
            <w:r w:rsidRPr="004B208C">
              <w:rPr>
                <w:rFonts w:cs="Tahoma"/>
                <w:color w:val="000000"/>
                <w:szCs w:val="18"/>
              </w:rPr>
              <w:t>Enterprise Subscription, a Plataforma de Desktop Empresarial também pode ser adquirida com o MDOP.</w:t>
            </w:r>
          </w:p>
          <w:p w:rsidR="00456002" w:rsidRPr="004B208C" w:rsidRDefault="00456002" w:rsidP="005C647E">
            <w:pPr>
              <w:rPr>
                <w:rFonts w:cs="Tahoma"/>
              </w:rPr>
            </w:pPr>
          </w:p>
          <w:p w:rsidR="00456002" w:rsidRPr="004B208C" w:rsidRDefault="00456002" w:rsidP="00A1385C">
            <w:pPr>
              <w:pStyle w:val="ListParagraph"/>
              <w:numPr>
                <w:ilvl w:val="0"/>
                <w:numId w:val="118"/>
              </w:numPr>
              <w:spacing w:after="60"/>
              <w:ind w:left="252"/>
              <w:rPr>
                <w:rFonts w:ascii="Tahoma" w:hAnsi="Tahoma" w:cs="Tahoma"/>
              </w:rPr>
            </w:pPr>
            <w:r w:rsidRPr="004B208C">
              <w:rPr>
                <w:rFonts w:ascii="Tahoma" w:hAnsi="Tahoma" w:cs="Tahoma"/>
                <w:b/>
                <w:sz w:val="18"/>
              </w:rPr>
              <w:t>Produtos da Plataforma de Desktop Profissional</w:t>
            </w:r>
          </w:p>
          <w:p w:rsidR="00456002" w:rsidRPr="004B208C" w:rsidRDefault="00456002" w:rsidP="00171160">
            <w:pPr>
              <w:rPr>
                <w:rFonts w:cs="Tahoma"/>
                <w:szCs w:val="18"/>
                <w:lang w:eastAsia="ja-JP"/>
              </w:rPr>
            </w:pPr>
            <w:r w:rsidRPr="004B208C">
              <w:rPr>
                <w:rFonts w:cs="Tahoma"/>
                <w:color w:val="000000"/>
                <w:szCs w:val="18"/>
              </w:rPr>
              <w:t>Os produtos da Plataforma de Desktop Profissional estão disponíveis para os clientes de</w:t>
            </w:r>
            <w:r w:rsidR="00171160">
              <w:rPr>
                <w:rFonts w:cs="Tahoma"/>
                <w:color w:val="000000"/>
                <w:szCs w:val="18"/>
              </w:rPr>
              <w:t> </w:t>
            </w:r>
            <w:r w:rsidRPr="004B208C">
              <w:rPr>
                <w:rFonts w:cs="Tahoma"/>
                <w:color w:val="000000"/>
                <w:szCs w:val="18"/>
              </w:rPr>
              <w:t>Contratos Enterprise. A Plataforma de Desktop Profissional inclui a versão mais atual do Office Professional Plus, a Atualização de Sistema Operacional Windows 8 Pro ou o</w:t>
            </w:r>
            <w:r w:rsidR="00171160">
              <w:rPr>
                <w:rFonts w:cs="Tahoma"/>
                <w:color w:val="000000"/>
                <w:szCs w:val="18"/>
              </w:rPr>
              <w:t> </w:t>
            </w:r>
            <w:r w:rsidRPr="004B208C">
              <w:rPr>
                <w:rFonts w:cs="Tahoma"/>
                <w:color w:val="000000"/>
                <w:szCs w:val="18"/>
              </w:rPr>
              <w:t>Windows Virtual Desktop Access (VDA) (somente para contratos EA) e a licença de acesso para cliente do Pacote de CAL Principal. Os produtos da Plataforma de Desktop Profissional são identificados por um “E” na coluna Contrato Enterprise. Para os clientes de Contratos Enterprise e Enterprise Subscription, a Plataforma de Desktop Profissional também pode ser adquirida com o MDOP.</w:t>
            </w:r>
          </w:p>
        </w:tc>
      </w:tr>
      <w:tr w:rsidR="00456002" w:rsidRPr="004B208C" w:rsidTr="00E72B9D">
        <w:trPr>
          <w:trHeight w:val="278"/>
        </w:trPr>
        <w:tc>
          <w:tcPr>
            <w:tcW w:w="1890" w:type="dxa"/>
            <w:shd w:val="clear" w:color="auto" w:fill="auto"/>
          </w:tcPr>
          <w:p w:rsidR="00456002" w:rsidRPr="004B208C" w:rsidRDefault="00456002" w:rsidP="00171160">
            <w:pPr>
              <w:spacing w:before="60"/>
              <w:rPr>
                <w:rFonts w:cs="Tahoma"/>
                <w:b/>
                <w:lang w:eastAsia="ja-JP"/>
              </w:rPr>
            </w:pPr>
            <w:r w:rsidRPr="004B208C">
              <w:rPr>
                <w:rFonts w:cs="Tahoma"/>
                <w:b/>
                <w:sz w:val="20"/>
              </w:rPr>
              <w:lastRenderedPageBreak/>
              <w:t>Open Value e</w:t>
            </w:r>
            <w:r w:rsidR="00171160">
              <w:rPr>
                <w:rFonts w:cs="Tahoma"/>
                <w:b/>
                <w:sz w:val="20"/>
              </w:rPr>
              <w:t> </w:t>
            </w:r>
            <w:r w:rsidRPr="004B208C">
              <w:rPr>
                <w:rFonts w:cs="Tahoma"/>
                <w:b/>
                <w:sz w:val="20"/>
              </w:rPr>
              <w:t>Open Value Subscription (Commercial e</w:t>
            </w:r>
            <w:r w:rsidR="00171160">
              <w:rPr>
                <w:rFonts w:cs="Tahoma"/>
                <w:b/>
                <w:sz w:val="20"/>
              </w:rPr>
              <w:t> </w:t>
            </w:r>
            <w:r w:rsidRPr="004B208C">
              <w:rPr>
                <w:rFonts w:cs="Tahoma"/>
                <w:b/>
                <w:sz w:val="20"/>
              </w:rPr>
              <w:t>Government)</w:t>
            </w:r>
          </w:p>
        </w:tc>
        <w:tc>
          <w:tcPr>
            <w:tcW w:w="7308" w:type="dxa"/>
            <w:shd w:val="clear" w:color="auto" w:fill="auto"/>
          </w:tcPr>
          <w:p w:rsidR="00456002" w:rsidRPr="004B208C" w:rsidRDefault="00456002" w:rsidP="00A1385C">
            <w:pPr>
              <w:pStyle w:val="ListParagraph"/>
              <w:numPr>
                <w:ilvl w:val="0"/>
                <w:numId w:val="118"/>
              </w:numPr>
              <w:spacing w:before="60" w:after="60"/>
              <w:ind w:left="245"/>
              <w:rPr>
                <w:rFonts w:ascii="Tahoma" w:hAnsi="Tahoma" w:cs="Tahoma"/>
              </w:rPr>
            </w:pPr>
            <w:r w:rsidRPr="004B208C">
              <w:rPr>
                <w:rFonts w:ascii="Tahoma" w:hAnsi="Tahoma" w:cs="Tahoma"/>
                <w:b/>
                <w:sz w:val="18"/>
              </w:rPr>
              <w:t>Produtos da Plataforma de Desktop Personalizado</w:t>
            </w:r>
          </w:p>
          <w:p w:rsidR="00456002" w:rsidRPr="004B208C" w:rsidRDefault="00456002" w:rsidP="004B6D8C">
            <w:pPr>
              <w:rPr>
                <w:rFonts w:cs="Tahoma"/>
              </w:rPr>
            </w:pPr>
            <w:r w:rsidRPr="004B208C">
              <w:rPr>
                <w:rFonts w:cs="Tahoma"/>
                <w:color w:val="000000"/>
                <w:szCs w:val="18"/>
              </w:rPr>
              <w:t xml:space="preserve">Os produtos da Plataforma Desktop Personalizados estão disponíveis para os clientes Open Value e Open Value Subscription quando selecionam a opção </w:t>
            </w:r>
            <w:r w:rsidRPr="004B208C">
              <w:rPr>
                <w:rFonts w:cs="Tahoma"/>
                <w:szCs w:val="18"/>
              </w:rPr>
              <w:t>para toda a Organização/Empresa</w:t>
            </w:r>
            <w:r w:rsidRPr="004B208C">
              <w:rPr>
                <w:rFonts w:cs="Tahoma"/>
                <w:color w:val="000000"/>
                <w:szCs w:val="18"/>
              </w:rPr>
              <w:t>. 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 Os produtos da Plataforma de Desktop Personalizado são identificados por um “E” nas colunas Open Value.</w:t>
            </w:r>
            <w:r w:rsidR="00172F11">
              <w:rPr>
                <w:rFonts w:cs="Tahoma"/>
                <w:color w:val="000000"/>
                <w:szCs w:val="18"/>
              </w:rPr>
              <w:t xml:space="preserve"> </w:t>
            </w:r>
          </w:p>
          <w:p w:rsidR="00456002" w:rsidRPr="004B208C" w:rsidRDefault="00456002" w:rsidP="005C647E">
            <w:pPr>
              <w:rPr>
                <w:rFonts w:cs="Tahoma"/>
                <w:szCs w:val="18"/>
                <w:lang w:eastAsia="ja-JP"/>
              </w:rPr>
            </w:pPr>
          </w:p>
        </w:tc>
      </w:tr>
      <w:tr w:rsidR="00456002" w:rsidRPr="004B208C" w:rsidTr="00E72B9D">
        <w:trPr>
          <w:trHeight w:val="278"/>
        </w:trPr>
        <w:tc>
          <w:tcPr>
            <w:tcW w:w="1890" w:type="dxa"/>
            <w:shd w:val="clear" w:color="auto" w:fill="auto"/>
          </w:tcPr>
          <w:p w:rsidR="00456002" w:rsidRPr="004B208C" w:rsidRDefault="00456002" w:rsidP="0065137B">
            <w:pPr>
              <w:spacing w:before="60"/>
              <w:rPr>
                <w:rFonts w:cs="Tahoma"/>
                <w:b/>
                <w:lang w:eastAsia="ja-JP"/>
              </w:rPr>
            </w:pPr>
            <w:r w:rsidRPr="004B208C">
              <w:rPr>
                <w:rFonts w:cs="Tahoma"/>
                <w:b/>
                <w:sz w:val="20"/>
              </w:rPr>
              <w:t>Academic Platforms (EES,</w:t>
            </w:r>
            <w:r w:rsidR="00171160">
              <w:rPr>
                <w:rFonts w:cs="Tahoma"/>
                <w:b/>
                <w:sz w:val="20"/>
              </w:rPr>
              <w:t> </w:t>
            </w:r>
            <w:r w:rsidRPr="004B208C">
              <w:rPr>
                <w:rFonts w:cs="Tahoma"/>
                <w:b/>
                <w:sz w:val="20"/>
              </w:rPr>
              <w:t>OVS-ES e</w:t>
            </w:r>
            <w:r w:rsidR="00171160">
              <w:rPr>
                <w:rFonts w:cs="Tahoma"/>
                <w:b/>
                <w:sz w:val="20"/>
              </w:rPr>
              <w:t> </w:t>
            </w:r>
            <w:r w:rsidRPr="004B208C">
              <w:rPr>
                <w:rFonts w:cs="Tahoma"/>
                <w:b/>
                <w:sz w:val="20"/>
              </w:rPr>
              <w:t>Contrato para</w:t>
            </w:r>
            <w:r w:rsidR="0065137B">
              <w:rPr>
                <w:rFonts w:cs="Tahoma"/>
                <w:b/>
                <w:sz w:val="20"/>
              </w:rPr>
              <w:t> </w:t>
            </w:r>
            <w:r w:rsidRPr="004B208C">
              <w:rPr>
                <w:rFonts w:cs="Tahoma"/>
                <w:b/>
                <w:sz w:val="20"/>
              </w:rPr>
              <w:t>Campus e</w:t>
            </w:r>
            <w:r w:rsidR="00171160">
              <w:rPr>
                <w:rFonts w:cs="Tahoma"/>
                <w:b/>
                <w:sz w:val="20"/>
              </w:rPr>
              <w:t> </w:t>
            </w:r>
            <w:r w:rsidRPr="004B208C">
              <w:rPr>
                <w:rFonts w:cs="Tahoma"/>
                <w:b/>
                <w:sz w:val="20"/>
              </w:rPr>
              <w:t>School)</w:t>
            </w:r>
          </w:p>
        </w:tc>
        <w:tc>
          <w:tcPr>
            <w:tcW w:w="7308" w:type="dxa"/>
            <w:shd w:val="clear" w:color="auto" w:fill="auto"/>
          </w:tcPr>
          <w:p w:rsidR="00821966" w:rsidRPr="004B208C" w:rsidRDefault="00456002" w:rsidP="00A1385C">
            <w:pPr>
              <w:pStyle w:val="ListParagraph"/>
              <w:numPr>
                <w:ilvl w:val="0"/>
                <w:numId w:val="118"/>
              </w:numPr>
              <w:spacing w:before="60" w:after="60"/>
              <w:ind w:left="245"/>
              <w:contextualSpacing w:val="0"/>
              <w:rPr>
                <w:rFonts w:ascii="Tahoma" w:hAnsi="Tahoma" w:cs="Tahoma"/>
              </w:rPr>
            </w:pPr>
            <w:r w:rsidRPr="004B208C">
              <w:rPr>
                <w:rFonts w:ascii="Tahoma" w:hAnsi="Tahoma" w:cs="Tahoma"/>
                <w:b/>
                <w:sz w:val="18"/>
              </w:rPr>
              <w:t>Produtos da Plataforma Desktop Educacional e da Plataforma Desktop School com Enterprise CAL Suite</w:t>
            </w:r>
          </w:p>
          <w:p w:rsidR="00456002" w:rsidRPr="004B208C" w:rsidRDefault="00456002" w:rsidP="00A1385C">
            <w:pPr>
              <w:pStyle w:val="ListParagraph"/>
              <w:numPr>
                <w:ilvl w:val="0"/>
                <w:numId w:val="118"/>
              </w:numPr>
              <w:spacing w:after="60"/>
              <w:ind w:left="252"/>
              <w:rPr>
                <w:rFonts w:ascii="Tahoma" w:hAnsi="Tahoma" w:cs="Tahoma"/>
              </w:rPr>
            </w:pPr>
            <w:r w:rsidRPr="004B208C">
              <w:rPr>
                <w:rFonts w:ascii="Tahoma" w:hAnsi="Tahoma" w:cs="Tahoma"/>
                <w:b/>
                <w:sz w:val="18"/>
              </w:rPr>
              <w:t>Produtos da Plataforma Desktop Educacional e da Plataforma Desktop School com Core CAL Suite</w:t>
            </w:r>
          </w:p>
          <w:p w:rsidR="00456002" w:rsidRPr="004B208C" w:rsidRDefault="00456002" w:rsidP="00821966">
            <w:pPr>
              <w:rPr>
                <w:rFonts w:cs="Tahoma"/>
              </w:rPr>
            </w:pPr>
            <w:r w:rsidRPr="004B208C">
              <w:rPr>
                <w:rFonts w:cs="Tahoma"/>
                <w:szCs w:val="18"/>
              </w:rPr>
              <w:t>Os Produtos da Plataforma Desktop Educacional estão disponíveis para os clientes das</w:t>
            </w:r>
            <w:r w:rsidR="00171160">
              <w:rPr>
                <w:rFonts w:cs="Tahoma"/>
                <w:szCs w:val="18"/>
              </w:rPr>
              <w:t> </w:t>
            </w:r>
            <w:r w:rsidRPr="004B208C">
              <w:rPr>
                <w:rFonts w:cs="Tahoma"/>
                <w:szCs w:val="18"/>
              </w:rPr>
              <w:t xml:space="preserve">Soluções Educacionais do Registro (EES) e Open Value Subscription – Soluções Educacionais (OVS-ES). Os Produtos das Plataformas de Desktop School estão disponíveis para os clientes de Contratos para Campus e Contratos School. A Plataforma de Desktop Educacional com Enterprise CAL Suite e a Plataforma de Desktop School com Enterprise CAL Suite incluem a versão mais atual do Office Professional Plus ou Office para Mac, a Atualização de Sistema Operacional Windows 8 Pro e a licença de acesso para cliente Enterprise CAL Suite. </w:t>
            </w:r>
          </w:p>
          <w:p w:rsidR="00456002" w:rsidRPr="004B208C" w:rsidRDefault="00456002" w:rsidP="00E64551">
            <w:pPr>
              <w:ind w:left="360"/>
              <w:rPr>
                <w:rFonts w:cs="Tahoma"/>
              </w:rPr>
            </w:pPr>
          </w:p>
          <w:p w:rsidR="00456002" w:rsidRPr="004B208C" w:rsidRDefault="00456002" w:rsidP="00821966">
            <w:pPr>
              <w:rPr>
                <w:rFonts w:cs="Tahoma"/>
              </w:rPr>
            </w:pPr>
            <w:r w:rsidRPr="004B208C">
              <w:rPr>
                <w:rFonts w:cs="Tahoma"/>
                <w:iCs/>
                <w:szCs w:val="18"/>
              </w:rPr>
              <w:t>O Produto de Plataforma Desktop School na lista de preços conta como 3 unidades.</w:t>
            </w:r>
          </w:p>
          <w:p w:rsidR="00456002" w:rsidRPr="004B208C" w:rsidRDefault="00456002" w:rsidP="00821966">
            <w:pPr>
              <w:rPr>
                <w:rFonts w:cs="Tahoma"/>
              </w:rPr>
            </w:pPr>
          </w:p>
          <w:p w:rsidR="00456002" w:rsidRPr="004B208C" w:rsidRDefault="00456002" w:rsidP="00821966">
            <w:pPr>
              <w:tabs>
                <w:tab w:val="left" w:pos="8640"/>
              </w:tabs>
              <w:ind w:right="720"/>
              <w:rPr>
                <w:rFonts w:cs="Tahoma"/>
              </w:rPr>
            </w:pPr>
            <w:r w:rsidRPr="004B208C">
              <w:rPr>
                <w:rFonts w:cs="Tahoma"/>
                <w:b/>
                <w:bCs/>
                <w:color w:val="000000"/>
                <w:szCs w:val="18"/>
              </w:rPr>
              <w:t xml:space="preserve">Observação: </w:t>
            </w:r>
            <w:r w:rsidRPr="004B208C">
              <w:rPr>
                <w:rFonts w:cs="Tahoma"/>
                <w:bCs/>
                <w:color w:val="000000"/>
                <w:szCs w:val="18"/>
              </w:rPr>
              <w:t>Os clientes EES e OVS-ES não estão qualificados para optar pelos Produtos de Plataforma Desktop e produtos individuais de CAL incluídos no Core CAL Suíte ou Enterprise CAL Suite somente para uma parte da Contagem para toda a Organização e/ou Contagem de Estudantes. 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p>
          <w:p w:rsidR="00456002" w:rsidRPr="004B208C" w:rsidRDefault="00456002" w:rsidP="005C647E">
            <w:pPr>
              <w:rPr>
                <w:rFonts w:cs="Tahoma"/>
                <w:szCs w:val="18"/>
                <w:lang w:eastAsia="ja-JP"/>
              </w:rPr>
            </w:pPr>
          </w:p>
        </w:tc>
      </w:tr>
    </w:tbl>
    <w:p w:rsidR="00456002" w:rsidRPr="00171160" w:rsidRDefault="00456002" w:rsidP="00456002">
      <w:pPr>
        <w:pStyle w:val="Heading4"/>
        <w:tabs>
          <w:tab w:val="clear" w:pos="720"/>
          <w:tab w:val="num" w:pos="0"/>
        </w:tabs>
        <w:ind w:left="0" w:right="720" w:firstLine="0"/>
        <w:rPr>
          <w:rFonts w:ascii="Tahoma" w:hAnsi="Tahoma" w:cs="Tahoma"/>
          <w:b w:val="0"/>
          <w:sz w:val="18"/>
          <w:szCs w:val="18"/>
        </w:rPr>
      </w:pPr>
    </w:p>
    <w:p w:rsidR="004641FD" w:rsidRPr="004B208C" w:rsidRDefault="00755633" w:rsidP="004641FD">
      <w:pPr>
        <w:pStyle w:val="Heading3"/>
        <w:ind w:right="720"/>
        <w:rPr>
          <w:rFonts w:ascii="Tahoma" w:hAnsi="Tahoma" w:cs="Tahoma"/>
        </w:rPr>
      </w:pPr>
      <w:bookmarkStart w:id="611" w:name="_Toc336338193"/>
      <w:bookmarkStart w:id="612" w:name="_Toc370981307"/>
      <w:r w:rsidRPr="004B208C">
        <w:rPr>
          <w:rFonts w:ascii="Tahoma" w:hAnsi="Tahoma" w:cs="Tahoma"/>
          <w:sz w:val="24"/>
          <w:szCs w:val="22"/>
        </w:rPr>
        <w:t>Definição de Gerenciamento para Dispositivos Qualificados</w:t>
      </w:r>
      <w:bookmarkEnd w:id="611"/>
      <w:bookmarkEnd w:id="612"/>
    </w:p>
    <w:p w:rsidR="00406CB0" w:rsidRPr="004B208C" w:rsidRDefault="00406CB0" w:rsidP="00406CB0">
      <w:pPr>
        <w:rPr>
          <w:rFonts w:cs="Tahoma"/>
        </w:rPr>
      </w:pPr>
    </w:p>
    <w:p w:rsidR="004641FD" w:rsidRPr="004B208C" w:rsidRDefault="004641FD" w:rsidP="004641FD">
      <w:pPr>
        <w:rPr>
          <w:rFonts w:cs="Tahoma"/>
        </w:rPr>
      </w:pPr>
      <w:r w:rsidRPr="004B208C">
        <w:rPr>
          <w:rFonts w:cs="Tahoma"/>
        </w:rPr>
        <w:t>Um cliente de Licenciamento por Volume “gerencia” qualquer dispositivo no qual ele controla direta ou indiretamente um ou mais ambientes de sistema operacional.</w:t>
      </w:r>
      <w:r w:rsidR="00172F11">
        <w:rPr>
          <w:rFonts w:cs="Tahoma"/>
        </w:rPr>
        <w:t xml:space="preserve"> </w:t>
      </w:r>
      <w:r w:rsidRPr="004B208C">
        <w:rPr>
          <w:rFonts w:cs="Tahoma"/>
        </w:rPr>
        <w:t>Por exemplo, um cliente de Licenciamento por Volume gerencia qualquer dispositivo</w:t>
      </w:r>
    </w:p>
    <w:p w:rsidR="00406CB0" w:rsidRPr="004B208C" w:rsidRDefault="00406CB0" w:rsidP="00822871">
      <w:pPr>
        <w:spacing w:after="60"/>
        <w:rPr>
          <w:rFonts w:cs="Tahoma"/>
        </w:rPr>
      </w:pPr>
    </w:p>
    <w:p w:rsidR="004641FD" w:rsidRPr="00171160" w:rsidRDefault="004641FD" w:rsidP="00822871">
      <w:pPr>
        <w:numPr>
          <w:ilvl w:val="0"/>
          <w:numId w:val="19"/>
        </w:numPr>
        <w:spacing w:after="60"/>
        <w:rPr>
          <w:rFonts w:cs="Tahoma"/>
          <w:szCs w:val="18"/>
        </w:rPr>
      </w:pPr>
      <w:r w:rsidRPr="00171160">
        <w:rPr>
          <w:rFonts w:cs="Tahoma"/>
          <w:szCs w:val="18"/>
        </w:rPr>
        <w:t>que ele permite ingressar em seu domínio OU</w:t>
      </w:r>
    </w:p>
    <w:p w:rsidR="004641FD" w:rsidRPr="00171160" w:rsidRDefault="004641FD" w:rsidP="00822871">
      <w:pPr>
        <w:numPr>
          <w:ilvl w:val="0"/>
          <w:numId w:val="19"/>
        </w:numPr>
        <w:spacing w:after="60"/>
        <w:rPr>
          <w:rFonts w:cs="Tahoma"/>
          <w:szCs w:val="18"/>
        </w:rPr>
      </w:pPr>
      <w:r w:rsidRPr="00171160">
        <w:rPr>
          <w:rFonts w:cs="Tahoma"/>
          <w:szCs w:val="18"/>
        </w:rPr>
        <w:t>que ele autentica como um requisito para usar aplicativos enquanto ele está em suas instalações</w:t>
      </w:r>
      <w:r w:rsidR="0080475F">
        <w:rPr>
          <w:rFonts w:cs="Tahoma"/>
          <w:szCs w:val="18"/>
        </w:rPr>
        <w:t> </w:t>
      </w:r>
      <w:r w:rsidRPr="00171160">
        <w:rPr>
          <w:rFonts w:cs="Tahoma"/>
          <w:szCs w:val="18"/>
        </w:rPr>
        <w:t>OU</w:t>
      </w:r>
    </w:p>
    <w:p w:rsidR="004641FD" w:rsidRPr="00171160" w:rsidRDefault="004641FD" w:rsidP="00822871">
      <w:pPr>
        <w:numPr>
          <w:ilvl w:val="0"/>
          <w:numId w:val="19"/>
        </w:numPr>
        <w:spacing w:after="60"/>
        <w:rPr>
          <w:rFonts w:cs="Tahoma"/>
          <w:szCs w:val="18"/>
        </w:rPr>
      </w:pPr>
      <w:r w:rsidRPr="00171160">
        <w:rPr>
          <w:rFonts w:cs="Tahoma"/>
          <w:szCs w:val="18"/>
        </w:rPr>
        <w:t>no qual que ele instala agentes (por exemplo, antivírus, antimalware ou outros agentes autorizados pela política do cliente) OU</w:t>
      </w:r>
    </w:p>
    <w:p w:rsidR="004641FD" w:rsidRPr="00171160" w:rsidRDefault="004641FD" w:rsidP="00822871">
      <w:pPr>
        <w:numPr>
          <w:ilvl w:val="0"/>
          <w:numId w:val="19"/>
        </w:numPr>
        <w:spacing w:after="60"/>
        <w:rPr>
          <w:rFonts w:cs="Tahoma"/>
          <w:szCs w:val="18"/>
        </w:rPr>
      </w:pPr>
      <w:r w:rsidRPr="00171160">
        <w:rPr>
          <w:rFonts w:cs="Tahoma"/>
          <w:szCs w:val="18"/>
        </w:rPr>
        <w:t>ao qual ele se aplica direta ou indiretamente e impõe* políticas de grupo OU</w:t>
      </w:r>
    </w:p>
    <w:p w:rsidR="004641FD" w:rsidRPr="00171160" w:rsidRDefault="004641FD" w:rsidP="00822871">
      <w:pPr>
        <w:numPr>
          <w:ilvl w:val="0"/>
          <w:numId w:val="19"/>
        </w:numPr>
        <w:spacing w:after="60"/>
        <w:rPr>
          <w:rFonts w:cs="Tahoma"/>
          <w:szCs w:val="18"/>
        </w:rPr>
      </w:pPr>
      <w:r w:rsidRPr="00171160">
        <w:rPr>
          <w:rFonts w:cs="Tahoma"/>
          <w:szCs w:val="18"/>
        </w:rPr>
        <w:t>no qual ele solicita ou recebe dados e configura ou fornece instruções sobre o hardware ou</w:t>
      </w:r>
      <w:r w:rsidR="00477088">
        <w:rPr>
          <w:rFonts w:cs="Tahoma"/>
          <w:szCs w:val="18"/>
        </w:rPr>
        <w:t> </w:t>
      </w:r>
      <w:r w:rsidRPr="00171160">
        <w:rPr>
          <w:rFonts w:cs="Tahoma"/>
          <w:szCs w:val="18"/>
        </w:rPr>
        <w:t>software direta ou indiretamente associado ao ambiente de sistema operacional OU</w:t>
      </w:r>
    </w:p>
    <w:p w:rsidR="004641FD" w:rsidRPr="00171160" w:rsidRDefault="004641FD" w:rsidP="00822871">
      <w:pPr>
        <w:numPr>
          <w:ilvl w:val="0"/>
          <w:numId w:val="19"/>
        </w:numPr>
        <w:spacing w:after="60"/>
        <w:rPr>
          <w:rFonts w:cs="Tahoma"/>
          <w:szCs w:val="18"/>
        </w:rPr>
      </w:pPr>
      <w:r w:rsidRPr="00171160">
        <w:rPr>
          <w:rFonts w:cs="Tahoma"/>
          <w:szCs w:val="18"/>
        </w:rPr>
        <w:t>que ele permite acessar uma infraestrutura de desktop virtual (VDI) fora do Windows Software Assurance, Windows Intune (Por Dispositivo) ou Direitos de Roaming do Windows Virtual Desktop</w:t>
      </w:r>
      <w:r w:rsidR="00171160">
        <w:rPr>
          <w:rFonts w:cs="Tahoma"/>
          <w:szCs w:val="18"/>
        </w:rPr>
        <w:t> </w:t>
      </w:r>
      <w:r w:rsidRPr="00171160">
        <w:rPr>
          <w:rFonts w:cs="Tahoma"/>
          <w:szCs w:val="18"/>
        </w:rPr>
        <w:t>Access.</w:t>
      </w:r>
    </w:p>
    <w:p w:rsidR="00755633" w:rsidRPr="00171160" w:rsidRDefault="00755633" w:rsidP="00755633">
      <w:pPr>
        <w:ind w:left="1440"/>
        <w:rPr>
          <w:rFonts w:cs="Tahoma"/>
          <w:szCs w:val="18"/>
        </w:rPr>
      </w:pPr>
    </w:p>
    <w:p w:rsidR="004641FD" w:rsidRPr="004B208C" w:rsidRDefault="004641FD" w:rsidP="004641FD">
      <w:pPr>
        <w:rPr>
          <w:rFonts w:cs="Tahoma"/>
        </w:rPr>
      </w:pPr>
      <w:r w:rsidRPr="004B208C">
        <w:rPr>
          <w:rFonts w:cs="Tahoma"/>
        </w:rPr>
        <w:lastRenderedPageBreak/>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755633" w:rsidRPr="004B208C" w:rsidRDefault="00755633" w:rsidP="004641FD">
      <w:pPr>
        <w:rPr>
          <w:rFonts w:cs="Tahoma"/>
        </w:rPr>
      </w:pPr>
    </w:p>
    <w:p w:rsidR="00371299" w:rsidRPr="004B208C" w:rsidRDefault="004641FD" w:rsidP="00510F6B">
      <w:pPr>
        <w:rPr>
          <w:rFonts w:cs="Tahoma"/>
        </w:rPr>
      </w:pPr>
      <w:r w:rsidRPr="004B208C">
        <w:rPr>
          <w:rFonts w:cs="Tahoma"/>
        </w:rPr>
        <w:t>*Um cliente de Licenciamento por Volume que procura por atualizações de segurança/vírus ou software de sistema operacional atualizado e só notifica o usuário se eles não estiverem atualizados, não é uma “política de grupo imposta” para fins deste exemplo.</w:t>
      </w:r>
      <w:r w:rsidR="00172F11">
        <w:rPr>
          <w:rFonts w:cs="Tahoma"/>
        </w:rPr>
        <w:t xml:space="preserve"> </w:t>
      </w:r>
    </w:p>
    <w:p w:rsidR="00991DD4" w:rsidRPr="004B208C" w:rsidRDefault="00991DD4" w:rsidP="00510F6B">
      <w:pPr>
        <w:rPr>
          <w:rFonts w:cs="Tahoma"/>
        </w:rPr>
      </w:pPr>
    </w:p>
    <w:p w:rsidR="00406CB0" w:rsidRPr="004B208C" w:rsidRDefault="00023FE7" w:rsidP="00406CB0">
      <w:pPr>
        <w:pStyle w:val="Heading3"/>
        <w:rPr>
          <w:rFonts w:ascii="Tahoma" w:hAnsi="Tahoma" w:cs="Tahoma"/>
        </w:rPr>
      </w:pPr>
      <w:bookmarkStart w:id="613" w:name="_Toc243157227"/>
      <w:bookmarkStart w:id="614" w:name="_Toc336338194"/>
      <w:bookmarkStart w:id="615" w:name="_Toc370981308"/>
      <w:r w:rsidRPr="004B208C">
        <w:rPr>
          <w:rFonts w:ascii="Tahoma" w:hAnsi="Tahoma" w:cs="Tahoma"/>
          <w:sz w:val="24"/>
        </w:rPr>
        <w:t>Produtos qualificados para o Desconto de Atualização (UTD)</w:t>
      </w:r>
      <w:bookmarkEnd w:id="613"/>
      <w:bookmarkEnd w:id="614"/>
      <w:bookmarkEnd w:id="615"/>
    </w:p>
    <w:p w:rsidR="00406CB0" w:rsidRPr="00171160" w:rsidRDefault="00406CB0" w:rsidP="00406CB0">
      <w:pPr>
        <w:pStyle w:val="Heading3"/>
        <w:rPr>
          <w:rFonts w:ascii="Tahoma" w:hAnsi="Tahoma" w:cs="Tahoma"/>
          <w:b w:val="0"/>
          <w:sz w:val="18"/>
          <w:szCs w:val="18"/>
        </w:rPr>
      </w:pPr>
    </w:p>
    <w:p w:rsidR="00023FE7" w:rsidRPr="004B208C" w:rsidRDefault="00023FE7" w:rsidP="00477B4D">
      <w:pPr>
        <w:rPr>
          <w:rFonts w:cs="Tahoma"/>
        </w:rPr>
      </w:pPr>
      <w:r w:rsidRPr="004B208C">
        <w:rPr>
          <w:rFonts w:cs="Tahoma"/>
        </w:rPr>
        <w:t>Os clientes Open Value Subscription estão qualificados para o Desconto UTD durante o primeiro ano do contrato da assinatura.</w:t>
      </w:r>
      <w:r w:rsidR="00172F11">
        <w:rPr>
          <w:rFonts w:cs="Tahoma"/>
        </w:rPr>
        <w:t xml:space="preserve"> </w:t>
      </w:r>
      <w:r w:rsidRPr="004B208C">
        <w:rPr>
          <w:rFonts w:cs="Tahoma"/>
        </w:rPr>
        <w:t>Os clientes qualificados podem adquirir qualquer Licença UTD identificada abaixo se estiverem licenciados para uma das versões qualificadas correspondentes, anteriores ou atuais, por meio de OEM, FPP ou Licenciamento por Volume.</w:t>
      </w:r>
      <w:r w:rsidR="00172F11">
        <w:rPr>
          <w:rFonts w:cs="Tahoma"/>
        </w:rPr>
        <w:t xml:space="preserve"> </w:t>
      </w:r>
      <w:r w:rsidRPr="004B208C">
        <w:rPr>
          <w:rFonts w:cs="Tahoma"/>
          <w:color w:val="000000"/>
        </w:rPr>
        <w:t>Em geral, esse desconto só é dado para a versão atual ou a imediatamente anterior do produto. O</w:t>
      </w:r>
      <w:r w:rsidR="00171160">
        <w:rPr>
          <w:rFonts w:cs="Tahoma"/>
          <w:color w:val="000000"/>
        </w:rPr>
        <w:t> </w:t>
      </w:r>
      <w:r w:rsidRPr="004B208C">
        <w:rPr>
          <w:rFonts w:cs="Tahoma"/>
          <w:color w:val="000000"/>
        </w:rPr>
        <w:t>Desconto UTD é independente da plataforma, de modo que usuários de Mac também estão qualificados.</w:t>
      </w:r>
    </w:p>
    <w:p w:rsidR="00C353DE" w:rsidRPr="00171160" w:rsidRDefault="00C353DE">
      <w:pPr>
        <w:pStyle w:val="FootnoteBulletLevel1"/>
        <w:ind w:left="360" w:right="720" w:firstLine="0"/>
        <w:rPr>
          <w:rFonts w:ascii="Tahoma"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4B208C"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4B208C" w:rsidRDefault="00023FE7">
            <w:pPr>
              <w:ind w:right="720"/>
              <w:jc w:val="center"/>
              <w:rPr>
                <w:rFonts w:eastAsia="Calibri" w:cs="Tahoma"/>
                <w:b/>
                <w:bCs/>
                <w:color w:val="404040"/>
              </w:rPr>
            </w:pPr>
            <w:r w:rsidRPr="004B208C">
              <w:rPr>
                <w:rFonts w:cs="Tahoma"/>
                <w:b/>
                <w:bCs/>
              </w:rPr>
              <w:t>Licença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4B208C" w:rsidRDefault="00023FE7">
            <w:pPr>
              <w:ind w:right="720"/>
              <w:jc w:val="center"/>
              <w:rPr>
                <w:rFonts w:eastAsia="Calibri" w:cs="Tahoma"/>
                <w:b/>
                <w:bCs/>
                <w:color w:val="404040"/>
              </w:rPr>
            </w:pPr>
            <w:r w:rsidRPr="004B208C">
              <w:rPr>
                <w:rFonts w:cs="Tahoma"/>
                <w:b/>
                <w:bCs/>
              </w:rPr>
              <w:t>Versão qualificada</w:t>
            </w:r>
          </w:p>
        </w:tc>
      </w:tr>
      <w:tr w:rsidR="00023FE7" w:rsidRPr="004B208C" w:rsidTr="0044720D">
        <w:trPr>
          <w:trHeight w:val="576"/>
        </w:trPr>
        <w:tc>
          <w:tcPr>
            <w:tcW w:w="3809" w:type="dxa"/>
            <w:tcBorders>
              <w:top w:val="nil"/>
              <w:left w:val="single" w:sz="8" w:space="0" w:color="auto"/>
              <w:bottom w:val="single" w:sz="8" w:space="0" w:color="auto"/>
              <w:right w:val="single" w:sz="8" w:space="0" w:color="auto"/>
            </w:tcBorders>
          </w:tcPr>
          <w:p w:rsidR="00023FE7" w:rsidRPr="004B208C" w:rsidRDefault="00023FE7" w:rsidP="00171160">
            <w:pPr>
              <w:spacing w:before="60"/>
              <w:ind w:left="360" w:right="720"/>
              <w:jc w:val="center"/>
              <w:rPr>
                <w:rFonts w:eastAsia="Calibri" w:cs="Tahoma"/>
                <w:szCs w:val="18"/>
              </w:rPr>
            </w:pPr>
            <w:r w:rsidRPr="004B208C">
              <w:rPr>
                <w:rFonts w:cs="Tahoma"/>
                <w:szCs w:val="18"/>
              </w:rPr>
              <w:t>CAL Principal (Dispositivo ou</w:t>
            </w:r>
            <w:r w:rsidR="00171160">
              <w:rPr>
                <w:rFonts w:cs="Tahoma"/>
                <w:szCs w:val="18"/>
              </w:rPr>
              <w:t> </w:t>
            </w:r>
            <w:r w:rsidRPr="004B208C">
              <w:rPr>
                <w:rFonts w:cs="Tahoma"/>
                <w:szCs w:val="18"/>
              </w:rPr>
              <w:t>Usuário)</w:t>
            </w:r>
          </w:p>
        </w:tc>
        <w:tc>
          <w:tcPr>
            <w:tcW w:w="4298" w:type="dxa"/>
            <w:tcBorders>
              <w:top w:val="nil"/>
              <w:left w:val="nil"/>
              <w:bottom w:val="single" w:sz="8" w:space="0" w:color="auto"/>
              <w:right w:val="single" w:sz="8" w:space="0" w:color="auto"/>
            </w:tcBorders>
          </w:tcPr>
          <w:p w:rsidR="00023FE7" w:rsidRPr="00171160" w:rsidRDefault="00023FE7" w:rsidP="00230E01">
            <w:pPr>
              <w:pStyle w:val="Bulletedlistflush"/>
              <w:spacing w:before="60"/>
              <w:ind w:left="576" w:right="720" w:firstLine="0"/>
              <w:jc w:val="center"/>
              <w:rPr>
                <w:rFonts w:ascii="Tahoma" w:hAnsi="Tahoma" w:cs="Tahoma"/>
                <w:sz w:val="18"/>
                <w:szCs w:val="18"/>
              </w:rPr>
            </w:pPr>
            <w:r w:rsidRPr="00171160">
              <w:rPr>
                <w:rFonts w:ascii="Tahoma" w:hAnsi="Tahoma" w:cs="Tahoma"/>
                <w:sz w:val="18"/>
                <w:szCs w:val="18"/>
              </w:rPr>
              <w:t>Qualquer CAL Principal</w:t>
            </w:r>
          </w:p>
          <w:p w:rsidR="00023FE7" w:rsidRPr="00171160" w:rsidRDefault="00023FE7" w:rsidP="00230E01">
            <w:pPr>
              <w:pStyle w:val="Bulletedlistflush"/>
              <w:ind w:left="576" w:right="720" w:firstLine="0"/>
              <w:jc w:val="center"/>
              <w:rPr>
                <w:rFonts w:ascii="Tahoma" w:hAnsi="Tahoma" w:cs="Tahoma"/>
                <w:sz w:val="18"/>
                <w:szCs w:val="18"/>
              </w:rPr>
            </w:pPr>
          </w:p>
        </w:tc>
      </w:tr>
      <w:tr w:rsidR="00023FE7" w:rsidRPr="004B208C" w:rsidTr="0044720D">
        <w:trPr>
          <w:trHeight w:val="576"/>
        </w:trPr>
        <w:tc>
          <w:tcPr>
            <w:tcW w:w="3809" w:type="dxa"/>
            <w:tcBorders>
              <w:top w:val="nil"/>
              <w:left w:val="single" w:sz="8" w:space="0" w:color="auto"/>
              <w:bottom w:val="single" w:sz="8" w:space="0" w:color="auto"/>
              <w:right w:val="single" w:sz="8" w:space="0" w:color="auto"/>
            </w:tcBorders>
          </w:tcPr>
          <w:p w:rsidR="00023FE7" w:rsidRPr="004B208C" w:rsidRDefault="00023FE7" w:rsidP="00171160">
            <w:pPr>
              <w:spacing w:before="60"/>
              <w:ind w:left="360" w:right="720"/>
              <w:jc w:val="center"/>
              <w:rPr>
                <w:rFonts w:eastAsia="Calibri" w:cs="Tahoma"/>
                <w:szCs w:val="18"/>
              </w:rPr>
            </w:pPr>
            <w:r w:rsidRPr="004B208C">
              <w:rPr>
                <w:rFonts w:cs="Tahoma"/>
                <w:szCs w:val="18"/>
              </w:rPr>
              <w:t>CAL Empresarial (Dispositivo ou</w:t>
            </w:r>
            <w:r w:rsidR="00171160">
              <w:rPr>
                <w:rFonts w:cs="Tahoma"/>
                <w:szCs w:val="18"/>
              </w:rPr>
              <w:t> </w:t>
            </w:r>
            <w:r w:rsidRPr="004B208C">
              <w:rPr>
                <w:rFonts w:cs="Tahoma"/>
                <w:szCs w:val="18"/>
              </w:rPr>
              <w:t>Usuário)</w:t>
            </w:r>
          </w:p>
        </w:tc>
        <w:tc>
          <w:tcPr>
            <w:tcW w:w="4298" w:type="dxa"/>
            <w:tcBorders>
              <w:top w:val="nil"/>
              <w:left w:val="nil"/>
              <w:bottom w:val="single" w:sz="8" w:space="0" w:color="auto"/>
              <w:right w:val="single" w:sz="8" w:space="0" w:color="auto"/>
            </w:tcBorders>
          </w:tcPr>
          <w:p w:rsidR="00023FE7" w:rsidRPr="00171160" w:rsidRDefault="00023FE7" w:rsidP="00230E01">
            <w:pPr>
              <w:pStyle w:val="Bulletedlistflush"/>
              <w:spacing w:before="60"/>
              <w:ind w:left="576" w:right="720" w:firstLine="0"/>
              <w:jc w:val="center"/>
              <w:rPr>
                <w:rFonts w:ascii="Tahoma" w:hAnsi="Tahoma" w:cs="Tahoma"/>
                <w:sz w:val="18"/>
                <w:szCs w:val="18"/>
              </w:rPr>
            </w:pPr>
            <w:r w:rsidRPr="00171160">
              <w:rPr>
                <w:rFonts w:ascii="Tahoma" w:hAnsi="Tahoma" w:cs="Tahoma"/>
                <w:sz w:val="18"/>
                <w:szCs w:val="18"/>
              </w:rPr>
              <w:t>Qualquer CAL Empresarial</w:t>
            </w:r>
          </w:p>
        </w:tc>
      </w:tr>
      <w:tr w:rsidR="0000615E" w:rsidRPr="004B208C" w:rsidTr="0044720D">
        <w:trPr>
          <w:trHeight w:val="576"/>
        </w:trPr>
        <w:tc>
          <w:tcPr>
            <w:tcW w:w="3809" w:type="dxa"/>
            <w:tcBorders>
              <w:top w:val="nil"/>
              <w:left w:val="single" w:sz="8" w:space="0" w:color="auto"/>
              <w:bottom w:val="single" w:sz="8" w:space="0" w:color="auto"/>
              <w:right w:val="single" w:sz="8" w:space="0" w:color="auto"/>
            </w:tcBorders>
          </w:tcPr>
          <w:p w:rsidR="0000615E" w:rsidRPr="004B208C" w:rsidRDefault="0000615E" w:rsidP="00230E01">
            <w:pPr>
              <w:spacing w:before="60"/>
              <w:ind w:left="360" w:right="720"/>
              <w:jc w:val="center"/>
              <w:rPr>
                <w:rFonts w:eastAsia="Calibri" w:cs="Tahoma"/>
                <w:szCs w:val="18"/>
              </w:rPr>
            </w:pPr>
            <w:r w:rsidRPr="004B208C">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171160" w:rsidRDefault="008B2AA7" w:rsidP="00230E01">
            <w:pPr>
              <w:pStyle w:val="Bulletedlistflush"/>
              <w:spacing w:before="60"/>
              <w:ind w:left="576" w:right="720" w:firstLine="0"/>
              <w:jc w:val="center"/>
              <w:rPr>
                <w:rFonts w:ascii="Tahoma" w:hAnsi="Tahoma" w:cs="Tahoma"/>
                <w:sz w:val="18"/>
                <w:szCs w:val="18"/>
              </w:rPr>
            </w:pPr>
            <w:r w:rsidRPr="00171160">
              <w:rPr>
                <w:rFonts w:ascii="Tahoma" w:hAnsi="Tahoma" w:cs="Tahoma"/>
                <w:sz w:val="18"/>
                <w:szCs w:val="18"/>
              </w:rPr>
              <w:t>Office Professional Plus 2013</w:t>
            </w:r>
          </w:p>
          <w:p w:rsidR="0000615E" w:rsidRPr="00171160" w:rsidRDefault="0000615E" w:rsidP="00230E01">
            <w:pPr>
              <w:pStyle w:val="Bulletedlistflush"/>
              <w:ind w:left="576" w:right="720" w:firstLine="0"/>
              <w:jc w:val="center"/>
              <w:rPr>
                <w:rFonts w:ascii="Tahoma" w:hAnsi="Tahoma" w:cs="Tahoma"/>
                <w:sz w:val="18"/>
                <w:szCs w:val="18"/>
              </w:rPr>
            </w:pPr>
            <w:r w:rsidRPr="00171160">
              <w:rPr>
                <w:rFonts w:ascii="Tahoma" w:hAnsi="Tahoma" w:cs="Tahoma"/>
                <w:sz w:val="18"/>
                <w:szCs w:val="18"/>
              </w:rPr>
              <w:t>Office Professional Plus 2010</w:t>
            </w:r>
          </w:p>
          <w:p w:rsidR="002D0FAC" w:rsidRPr="00171160" w:rsidRDefault="002D0FAC" w:rsidP="00230E01">
            <w:pPr>
              <w:pStyle w:val="Bulletedlistflush"/>
              <w:ind w:left="576" w:right="720" w:firstLine="0"/>
              <w:jc w:val="center"/>
              <w:rPr>
                <w:rFonts w:ascii="Tahoma" w:hAnsi="Tahoma" w:cs="Tahoma"/>
                <w:sz w:val="18"/>
                <w:szCs w:val="18"/>
              </w:rPr>
            </w:pPr>
            <w:r w:rsidRPr="00171160">
              <w:rPr>
                <w:rFonts w:ascii="Tahoma" w:hAnsi="Tahoma" w:cs="Tahoma"/>
                <w:sz w:val="18"/>
                <w:szCs w:val="18"/>
              </w:rPr>
              <w:t>Office 2013 Professional</w:t>
            </w:r>
          </w:p>
          <w:p w:rsidR="0000615E" w:rsidRPr="00171160" w:rsidRDefault="0000615E" w:rsidP="00230E01">
            <w:pPr>
              <w:pStyle w:val="Bulletedlistflush"/>
              <w:ind w:left="576" w:right="720" w:firstLine="0"/>
              <w:jc w:val="center"/>
              <w:rPr>
                <w:rFonts w:ascii="Tahoma" w:hAnsi="Tahoma" w:cs="Tahoma"/>
                <w:sz w:val="18"/>
                <w:szCs w:val="18"/>
              </w:rPr>
            </w:pPr>
            <w:r w:rsidRPr="00171160">
              <w:rPr>
                <w:rFonts w:ascii="Tahoma" w:hAnsi="Tahoma" w:cs="Tahoma"/>
                <w:sz w:val="18"/>
                <w:szCs w:val="18"/>
              </w:rPr>
              <w:t>Office 2010 Professional</w:t>
            </w:r>
          </w:p>
          <w:p w:rsidR="0000615E" w:rsidRPr="00171160" w:rsidRDefault="0000615E" w:rsidP="008B2AA7">
            <w:pPr>
              <w:pStyle w:val="Bulletedlistflush"/>
              <w:ind w:left="576" w:right="720" w:firstLine="0"/>
              <w:jc w:val="center"/>
              <w:rPr>
                <w:rFonts w:ascii="Tahoma" w:hAnsi="Tahoma" w:cs="Tahoma"/>
                <w:sz w:val="18"/>
                <w:szCs w:val="18"/>
              </w:rPr>
            </w:pPr>
          </w:p>
        </w:tc>
      </w:tr>
      <w:tr w:rsidR="00023FE7" w:rsidRPr="004B208C" w:rsidTr="0044720D">
        <w:trPr>
          <w:trHeight w:val="576"/>
        </w:trPr>
        <w:tc>
          <w:tcPr>
            <w:tcW w:w="3809" w:type="dxa"/>
            <w:tcBorders>
              <w:top w:val="nil"/>
              <w:left w:val="single" w:sz="8" w:space="0" w:color="auto"/>
              <w:bottom w:val="single" w:sz="8" w:space="0" w:color="auto"/>
              <w:right w:val="single" w:sz="8" w:space="0" w:color="auto"/>
            </w:tcBorders>
          </w:tcPr>
          <w:p w:rsidR="00023FE7" w:rsidRPr="004B208C" w:rsidRDefault="00023FE7" w:rsidP="00171160">
            <w:pPr>
              <w:spacing w:before="60"/>
              <w:ind w:left="360" w:right="720"/>
              <w:jc w:val="center"/>
              <w:rPr>
                <w:rFonts w:eastAsia="Calibri" w:cs="Tahoma"/>
                <w:color w:val="000000"/>
                <w:szCs w:val="18"/>
              </w:rPr>
            </w:pPr>
            <w:r w:rsidRPr="004B208C">
              <w:rPr>
                <w:rFonts w:cs="Tahoma"/>
                <w:color w:val="000000"/>
                <w:szCs w:val="18"/>
              </w:rPr>
              <w:t>CAL do Small Business Server Standard 2011 (Dispositivo ou</w:t>
            </w:r>
            <w:r w:rsidR="00171160">
              <w:rPr>
                <w:rFonts w:cs="Tahoma"/>
                <w:color w:val="000000"/>
                <w:szCs w:val="18"/>
              </w:rPr>
              <w:t> </w:t>
            </w:r>
            <w:r w:rsidRPr="004B208C">
              <w:rPr>
                <w:rFonts w:cs="Tahoma"/>
                <w:color w:val="000000"/>
                <w:szCs w:val="18"/>
              </w:rPr>
              <w:t>Usuário)</w:t>
            </w:r>
          </w:p>
        </w:tc>
        <w:tc>
          <w:tcPr>
            <w:tcW w:w="4298" w:type="dxa"/>
            <w:tcBorders>
              <w:top w:val="nil"/>
              <w:left w:val="nil"/>
              <w:bottom w:val="single" w:sz="8" w:space="0" w:color="auto"/>
              <w:right w:val="single" w:sz="8" w:space="0" w:color="auto"/>
            </w:tcBorders>
          </w:tcPr>
          <w:p w:rsidR="00684C4D" w:rsidRPr="00171160" w:rsidRDefault="00684C4D" w:rsidP="00230E01">
            <w:pPr>
              <w:spacing w:before="60"/>
              <w:ind w:left="576" w:right="720"/>
              <w:jc w:val="center"/>
              <w:rPr>
                <w:rFonts w:cs="Tahoma"/>
                <w:szCs w:val="18"/>
              </w:rPr>
            </w:pPr>
            <w:r w:rsidRPr="00171160">
              <w:rPr>
                <w:rFonts w:eastAsia="Calibri" w:cs="Tahoma"/>
                <w:color w:val="000000"/>
                <w:szCs w:val="18"/>
              </w:rPr>
              <w:t>CAL do Windows Small Business Server 2011</w:t>
            </w:r>
          </w:p>
          <w:p w:rsidR="00023FE7" w:rsidRPr="00171160" w:rsidRDefault="00023FE7">
            <w:pPr>
              <w:pStyle w:val="Bulletedlistflush"/>
              <w:ind w:left="576" w:right="720" w:firstLine="0"/>
              <w:jc w:val="center"/>
              <w:rPr>
                <w:rFonts w:ascii="Tahoma" w:hAnsi="Tahoma" w:cs="Tahoma"/>
                <w:sz w:val="18"/>
                <w:szCs w:val="18"/>
              </w:rPr>
            </w:pPr>
            <w:r w:rsidRPr="00171160">
              <w:rPr>
                <w:rFonts w:ascii="Tahoma" w:hAnsi="Tahoma" w:cs="Tahoma"/>
                <w:color w:val="000000"/>
                <w:sz w:val="18"/>
                <w:szCs w:val="18"/>
              </w:rPr>
              <w:t>CAL do Windows Small Business Server Standard 2008</w:t>
            </w:r>
          </w:p>
          <w:p w:rsidR="00023FE7" w:rsidRPr="00171160" w:rsidRDefault="00023FE7" w:rsidP="00230E01">
            <w:pPr>
              <w:pStyle w:val="Bulletedlistflush"/>
              <w:ind w:left="576" w:right="720" w:firstLine="0"/>
              <w:jc w:val="center"/>
              <w:rPr>
                <w:rFonts w:ascii="Tahoma" w:hAnsi="Tahoma" w:cs="Tahoma"/>
                <w:color w:val="000000"/>
                <w:sz w:val="18"/>
                <w:szCs w:val="18"/>
              </w:rPr>
            </w:pPr>
          </w:p>
        </w:tc>
      </w:tr>
      <w:tr w:rsidR="00023FE7" w:rsidRPr="004B208C" w:rsidTr="0044720D">
        <w:trPr>
          <w:trHeight w:val="576"/>
        </w:trPr>
        <w:tc>
          <w:tcPr>
            <w:tcW w:w="3809" w:type="dxa"/>
            <w:tcBorders>
              <w:top w:val="nil"/>
              <w:left w:val="single" w:sz="8" w:space="0" w:color="auto"/>
              <w:bottom w:val="single" w:sz="8" w:space="0" w:color="auto"/>
              <w:right w:val="single" w:sz="8" w:space="0" w:color="auto"/>
            </w:tcBorders>
          </w:tcPr>
          <w:p w:rsidR="00023FE7" w:rsidRPr="004B208C" w:rsidRDefault="00023FE7" w:rsidP="00171160">
            <w:pPr>
              <w:spacing w:before="60"/>
              <w:ind w:left="360" w:right="720"/>
              <w:jc w:val="center"/>
              <w:rPr>
                <w:rFonts w:eastAsia="Calibri" w:cs="Tahoma"/>
                <w:szCs w:val="18"/>
              </w:rPr>
            </w:pPr>
            <w:r w:rsidRPr="004B208C">
              <w:rPr>
                <w:rFonts w:cs="Tahoma"/>
                <w:szCs w:val="18"/>
              </w:rPr>
              <w:t>CAL do Small Business Server Premium 2011 (Dispositivo ou</w:t>
            </w:r>
            <w:r w:rsidR="00171160">
              <w:rPr>
                <w:rFonts w:cs="Tahoma"/>
                <w:szCs w:val="18"/>
              </w:rPr>
              <w:t> </w:t>
            </w:r>
            <w:r w:rsidRPr="004B208C">
              <w:rPr>
                <w:rFonts w:cs="Tahoma"/>
                <w:szCs w:val="18"/>
              </w:rPr>
              <w:t>Usuário)</w:t>
            </w:r>
          </w:p>
        </w:tc>
        <w:tc>
          <w:tcPr>
            <w:tcW w:w="4298" w:type="dxa"/>
            <w:tcBorders>
              <w:top w:val="nil"/>
              <w:left w:val="nil"/>
              <w:bottom w:val="single" w:sz="8" w:space="0" w:color="auto"/>
              <w:right w:val="single" w:sz="8" w:space="0" w:color="auto"/>
            </w:tcBorders>
          </w:tcPr>
          <w:p w:rsidR="00684C4D" w:rsidRPr="00171160" w:rsidRDefault="00684C4D" w:rsidP="00230E01">
            <w:pPr>
              <w:spacing w:before="60"/>
              <w:ind w:left="576" w:right="720"/>
              <w:jc w:val="center"/>
              <w:rPr>
                <w:rFonts w:cs="Tahoma"/>
                <w:szCs w:val="18"/>
              </w:rPr>
            </w:pPr>
            <w:r w:rsidRPr="00171160">
              <w:rPr>
                <w:rFonts w:eastAsia="Calibri" w:cs="Tahoma"/>
                <w:color w:val="000000"/>
                <w:szCs w:val="18"/>
              </w:rPr>
              <w:t>CAL do Windows Small Business Server Premium 2011</w:t>
            </w:r>
          </w:p>
          <w:p w:rsidR="00023FE7" w:rsidRPr="00171160" w:rsidRDefault="00023FE7">
            <w:pPr>
              <w:pStyle w:val="Bulletedlistflush"/>
              <w:ind w:left="576" w:right="720" w:firstLine="0"/>
              <w:jc w:val="center"/>
              <w:rPr>
                <w:rFonts w:ascii="Tahoma" w:hAnsi="Tahoma" w:cs="Tahoma"/>
                <w:sz w:val="18"/>
                <w:szCs w:val="18"/>
              </w:rPr>
            </w:pPr>
            <w:r w:rsidRPr="00171160">
              <w:rPr>
                <w:rFonts w:ascii="Tahoma" w:hAnsi="Tahoma" w:cs="Tahoma"/>
                <w:color w:val="000000"/>
                <w:sz w:val="18"/>
                <w:szCs w:val="18"/>
              </w:rPr>
              <w:t>CAL do Windows Small Business Server Premium 2008</w:t>
            </w:r>
          </w:p>
          <w:p w:rsidR="00023FE7" w:rsidRPr="00171160" w:rsidRDefault="00023FE7" w:rsidP="00230E01">
            <w:pPr>
              <w:pStyle w:val="Bulletedlistflush"/>
              <w:ind w:left="576" w:right="720" w:firstLine="0"/>
              <w:jc w:val="center"/>
              <w:rPr>
                <w:rFonts w:ascii="Tahoma" w:hAnsi="Tahoma" w:cs="Tahoma"/>
                <w:sz w:val="18"/>
                <w:szCs w:val="18"/>
              </w:rPr>
            </w:pPr>
          </w:p>
        </w:tc>
      </w:tr>
      <w:tr w:rsidR="00023FE7" w:rsidRPr="004B208C" w:rsidTr="0044720D">
        <w:trPr>
          <w:trHeight w:val="576"/>
        </w:trPr>
        <w:tc>
          <w:tcPr>
            <w:tcW w:w="3809" w:type="dxa"/>
            <w:tcBorders>
              <w:top w:val="nil"/>
              <w:left w:val="single" w:sz="8" w:space="0" w:color="auto"/>
              <w:bottom w:val="single" w:sz="8" w:space="0" w:color="auto"/>
              <w:right w:val="single" w:sz="8" w:space="0" w:color="auto"/>
            </w:tcBorders>
          </w:tcPr>
          <w:p w:rsidR="00023FE7" w:rsidRPr="004B208C" w:rsidRDefault="00023FE7" w:rsidP="00230E01">
            <w:pPr>
              <w:spacing w:before="60"/>
              <w:ind w:left="360" w:right="720"/>
              <w:jc w:val="center"/>
              <w:rPr>
                <w:rFonts w:cs="Tahoma"/>
              </w:rPr>
            </w:pPr>
            <w:r w:rsidRPr="004B208C">
              <w:rPr>
                <w:rFonts w:cs="Tahoma"/>
                <w:szCs w:val="18"/>
              </w:rPr>
              <w:t>CAL do Essential Business Server Standard 2008 (Dispositivo ou Usuário)</w:t>
            </w:r>
          </w:p>
          <w:p w:rsidR="00230E01" w:rsidRPr="004B208C"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171160" w:rsidRDefault="00023FE7" w:rsidP="00230E01">
            <w:pPr>
              <w:pStyle w:val="Bulletedlistflush"/>
              <w:spacing w:before="60"/>
              <w:ind w:left="576" w:right="720" w:firstLine="0"/>
              <w:jc w:val="center"/>
              <w:rPr>
                <w:rFonts w:ascii="Tahoma" w:hAnsi="Tahoma" w:cs="Tahoma"/>
                <w:sz w:val="18"/>
                <w:szCs w:val="18"/>
              </w:rPr>
            </w:pPr>
            <w:r w:rsidRPr="00171160">
              <w:rPr>
                <w:rFonts w:ascii="Tahoma" w:hAnsi="Tahoma" w:cs="Tahoma"/>
                <w:sz w:val="18"/>
                <w:szCs w:val="18"/>
              </w:rPr>
              <w:t>CAL do Windows Essential Business Server Standard 2008</w:t>
            </w:r>
          </w:p>
        </w:tc>
      </w:tr>
      <w:tr w:rsidR="00023FE7" w:rsidRPr="004B208C" w:rsidTr="0044720D">
        <w:trPr>
          <w:trHeight w:val="576"/>
        </w:trPr>
        <w:tc>
          <w:tcPr>
            <w:tcW w:w="3809" w:type="dxa"/>
            <w:tcBorders>
              <w:top w:val="nil"/>
              <w:left w:val="single" w:sz="8" w:space="0" w:color="auto"/>
              <w:bottom w:val="single" w:sz="8" w:space="0" w:color="auto"/>
              <w:right w:val="single" w:sz="8" w:space="0" w:color="auto"/>
            </w:tcBorders>
          </w:tcPr>
          <w:p w:rsidR="00023FE7" w:rsidRPr="004B208C" w:rsidRDefault="00023FE7" w:rsidP="00230E01">
            <w:pPr>
              <w:spacing w:before="60"/>
              <w:ind w:left="360" w:right="720"/>
              <w:jc w:val="center"/>
              <w:rPr>
                <w:rFonts w:cs="Tahoma"/>
              </w:rPr>
            </w:pPr>
            <w:r w:rsidRPr="004B208C">
              <w:rPr>
                <w:rFonts w:cs="Tahoma"/>
                <w:szCs w:val="18"/>
              </w:rPr>
              <w:t>CAL do Essential Business Server Premium 2008 (Dispositivo ou</w:t>
            </w:r>
            <w:r w:rsidR="00171160">
              <w:rPr>
                <w:rFonts w:cs="Tahoma"/>
                <w:szCs w:val="18"/>
              </w:rPr>
              <w:t> </w:t>
            </w:r>
            <w:r w:rsidRPr="004B208C">
              <w:rPr>
                <w:rFonts w:cs="Tahoma"/>
                <w:szCs w:val="18"/>
              </w:rPr>
              <w:t>Usuário)</w:t>
            </w:r>
          </w:p>
          <w:p w:rsidR="00230E01" w:rsidRPr="004B208C"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171160" w:rsidRDefault="00023FE7" w:rsidP="00230E01">
            <w:pPr>
              <w:pStyle w:val="Bulletedlistflush"/>
              <w:spacing w:before="60"/>
              <w:ind w:left="576" w:right="720" w:firstLine="0"/>
              <w:jc w:val="center"/>
              <w:rPr>
                <w:rFonts w:ascii="Tahoma" w:hAnsi="Tahoma" w:cs="Tahoma"/>
                <w:sz w:val="18"/>
                <w:szCs w:val="18"/>
              </w:rPr>
            </w:pPr>
            <w:r w:rsidRPr="00171160">
              <w:rPr>
                <w:rFonts w:ascii="Tahoma" w:hAnsi="Tahoma" w:cs="Tahoma"/>
                <w:sz w:val="18"/>
                <w:szCs w:val="18"/>
              </w:rPr>
              <w:t>CAL do Windows Essential Business Server Premium 2008</w:t>
            </w:r>
          </w:p>
        </w:tc>
      </w:tr>
      <w:tr w:rsidR="00023FE7" w:rsidRPr="004B208C" w:rsidTr="0044720D">
        <w:trPr>
          <w:trHeight w:val="576"/>
        </w:trPr>
        <w:tc>
          <w:tcPr>
            <w:tcW w:w="3809" w:type="dxa"/>
            <w:tcBorders>
              <w:top w:val="nil"/>
              <w:left w:val="single" w:sz="8" w:space="0" w:color="auto"/>
              <w:bottom w:val="single" w:sz="8" w:space="0" w:color="auto"/>
              <w:right w:val="single" w:sz="8" w:space="0" w:color="auto"/>
            </w:tcBorders>
          </w:tcPr>
          <w:p w:rsidR="00023FE7" w:rsidRPr="004B208C" w:rsidRDefault="00023FE7" w:rsidP="00281082">
            <w:pPr>
              <w:spacing w:before="60"/>
              <w:ind w:left="360" w:right="720"/>
              <w:jc w:val="center"/>
              <w:rPr>
                <w:rFonts w:eastAsia="Calibri" w:cs="Tahoma"/>
                <w:szCs w:val="18"/>
              </w:rPr>
            </w:pPr>
            <w:r w:rsidRPr="004B208C">
              <w:rPr>
                <w:rFonts w:cs="Tahoma"/>
                <w:szCs w:val="18"/>
              </w:rPr>
              <w:t>Atualização do Windows 8 Pro</w:t>
            </w:r>
          </w:p>
        </w:tc>
        <w:tc>
          <w:tcPr>
            <w:tcW w:w="4298" w:type="dxa"/>
            <w:tcBorders>
              <w:top w:val="nil"/>
              <w:left w:val="nil"/>
              <w:bottom w:val="single" w:sz="8" w:space="0" w:color="auto"/>
              <w:right w:val="single" w:sz="8" w:space="0" w:color="auto"/>
            </w:tcBorders>
          </w:tcPr>
          <w:p w:rsidR="008B6EDD" w:rsidRPr="00171160" w:rsidRDefault="008B6EDD" w:rsidP="00230E01">
            <w:pPr>
              <w:pStyle w:val="Bulletedlistflush"/>
              <w:spacing w:before="60"/>
              <w:ind w:left="576" w:right="720" w:firstLine="0"/>
              <w:jc w:val="center"/>
              <w:rPr>
                <w:rFonts w:ascii="Tahoma" w:hAnsi="Tahoma" w:cs="Tahoma"/>
                <w:sz w:val="18"/>
                <w:szCs w:val="18"/>
              </w:rPr>
            </w:pPr>
            <w:r w:rsidRPr="00171160">
              <w:rPr>
                <w:rFonts w:ascii="Tahoma" w:hAnsi="Tahoma" w:cs="Tahoma"/>
                <w:sz w:val="18"/>
                <w:szCs w:val="18"/>
              </w:rPr>
              <w:t>Windows 8 Pro</w:t>
            </w:r>
          </w:p>
          <w:p w:rsidR="00023FE7" w:rsidRPr="00171160" w:rsidRDefault="00023FE7" w:rsidP="008B6EDD">
            <w:pPr>
              <w:pStyle w:val="Bulletedlistflush"/>
              <w:ind w:left="576" w:right="720" w:firstLine="0"/>
              <w:jc w:val="center"/>
              <w:rPr>
                <w:rFonts w:ascii="Tahoma" w:hAnsi="Tahoma" w:cs="Tahoma"/>
                <w:sz w:val="18"/>
                <w:szCs w:val="18"/>
              </w:rPr>
            </w:pPr>
            <w:r w:rsidRPr="00171160">
              <w:rPr>
                <w:rFonts w:ascii="Tahoma" w:hAnsi="Tahoma" w:cs="Tahoma"/>
                <w:sz w:val="18"/>
                <w:szCs w:val="18"/>
              </w:rPr>
              <w:t>Windows 7 Professional</w:t>
            </w:r>
          </w:p>
        </w:tc>
      </w:tr>
    </w:tbl>
    <w:p w:rsidR="00991DD4" w:rsidRDefault="00991DD4">
      <w:pPr>
        <w:rPr>
          <w:rFonts w:cs="Tahoma"/>
        </w:rPr>
      </w:pPr>
    </w:p>
    <w:p w:rsidR="00171160" w:rsidRDefault="00171160">
      <w:pPr>
        <w:rPr>
          <w:rFonts w:cs="Tahoma"/>
        </w:rPr>
      </w:pPr>
    </w:p>
    <w:p w:rsidR="00171160" w:rsidRDefault="00171160">
      <w:pPr>
        <w:rPr>
          <w:rFonts w:cs="Tahoma"/>
        </w:rPr>
      </w:pPr>
    </w:p>
    <w:p w:rsidR="00171160" w:rsidRDefault="00171160">
      <w:pPr>
        <w:rPr>
          <w:rFonts w:cs="Tahoma"/>
        </w:rPr>
      </w:pPr>
    </w:p>
    <w:p w:rsidR="00171160" w:rsidRDefault="00171160">
      <w:pPr>
        <w:rPr>
          <w:rFonts w:cs="Tahoma"/>
        </w:rPr>
      </w:pPr>
    </w:p>
    <w:p w:rsidR="00171160" w:rsidRDefault="00171160">
      <w:pPr>
        <w:rPr>
          <w:rFonts w:cs="Tahoma"/>
        </w:rPr>
      </w:pPr>
    </w:p>
    <w:p w:rsidR="00171160" w:rsidRPr="004B208C" w:rsidRDefault="00171160">
      <w:pPr>
        <w:rPr>
          <w:rFonts w:cs="Tahoma"/>
        </w:rPr>
      </w:pPr>
    </w:p>
    <w:p w:rsidR="00456002" w:rsidRPr="004B208C" w:rsidRDefault="00456002" w:rsidP="00456002">
      <w:pPr>
        <w:pStyle w:val="Heading2"/>
        <w:ind w:left="0"/>
        <w:rPr>
          <w:rFonts w:ascii="Tahoma" w:hAnsi="Tahoma" w:cs="Tahoma"/>
        </w:rPr>
      </w:pPr>
      <w:bookmarkStart w:id="616" w:name="_Toc336338195"/>
      <w:bookmarkStart w:id="617" w:name="_Toc370981309"/>
      <w:r w:rsidRPr="004B208C">
        <w:rPr>
          <w:rFonts w:ascii="Tahoma" w:hAnsi="Tahoma" w:cs="Tahoma"/>
        </w:rPr>
        <w:lastRenderedPageBreak/>
        <w:t>Termos de Programa Atualizados dos Contratos Enterprise e Subscription</w:t>
      </w:r>
      <w:bookmarkEnd w:id="616"/>
      <w:bookmarkEnd w:id="617"/>
    </w:p>
    <w:p w:rsidR="00456002" w:rsidRPr="004B208C" w:rsidRDefault="00456002" w:rsidP="00456002">
      <w:pPr>
        <w:tabs>
          <w:tab w:val="left" w:pos="360"/>
        </w:tabs>
        <w:rPr>
          <w:rFonts w:cs="Tahoma"/>
        </w:rPr>
      </w:pPr>
    </w:p>
    <w:p w:rsidR="00456002" w:rsidRPr="004B208C" w:rsidRDefault="00456002" w:rsidP="00F06EC5">
      <w:pPr>
        <w:keepNext/>
        <w:spacing w:after="60"/>
        <w:outlineLvl w:val="3"/>
        <w:rPr>
          <w:rFonts w:cs="Tahoma"/>
        </w:rPr>
      </w:pPr>
      <w:r w:rsidRPr="004B208C">
        <w:rPr>
          <w:rFonts w:cs="Tahoma"/>
          <w:b/>
          <w:szCs w:val="20"/>
        </w:rPr>
        <w:t>Serviços Online Enterprise que satisfazem os requisitos do Produto Enterprise</w:t>
      </w:r>
    </w:p>
    <w:p w:rsidR="00456002" w:rsidRPr="004B208C" w:rsidRDefault="00456002" w:rsidP="00366502">
      <w:pPr>
        <w:tabs>
          <w:tab w:val="left" w:pos="360"/>
        </w:tabs>
        <w:rPr>
          <w:rFonts w:cs="Tahoma"/>
        </w:rPr>
      </w:pPr>
      <w:r w:rsidRPr="004B208C">
        <w:rPr>
          <w:rFonts w:cs="Tahoma"/>
          <w:b/>
          <w:szCs w:val="20"/>
        </w:rPr>
        <w:t>Observação:</w:t>
      </w:r>
      <w:r w:rsidRPr="004B208C">
        <w:rPr>
          <w:rFonts w:cs="Tahoma"/>
          <w:szCs w:val="20"/>
        </w:rPr>
        <w:t xml:space="preserve"> O seguinte se aplica aos clientes do Registro Enterprise e Enterprise Subscription qualificados para comprar os Serviços Online Enterprise.</w:t>
      </w:r>
      <w:r w:rsidR="00172F11">
        <w:rPr>
          <w:rFonts w:cs="Tahoma"/>
          <w:szCs w:val="20"/>
        </w:rPr>
        <w:t xml:space="preserve"> </w:t>
      </w:r>
      <w:r w:rsidRPr="004B208C">
        <w:rPr>
          <w:rFonts w:cs="Tahoma"/>
          <w:szCs w:val="20"/>
        </w:rPr>
        <w:t>Os clientes que tiverem dúvidas sobre sua qualificação para comprar os Serviços Online Enterprise devem entrar em contato com o Consultor de Software, Revendedor ou Gerente de Conta</w:t>
      </w:r>
      <w:r w:rsidR="00171160">
        <w:rPr>
          <w:rFonts w:cs="Tahoma"/>
          <w:szCs w:val="20"/>
        </w:rPr>
        <w:t> </w:t>
      </w:r>
      <w:r w:rsidRPr="004B208C">
        <w:rPr>
          <w:rFonts w:cs="Tahoma"/>
          <w:szCs w:val="20"/>
        </w:rPr>
        <w:t>Microsoft para obter mais informações.</w:t>
      </w:r>
      <w:r w:rsidR="00172F11">
        <w:rPr>
          <w:rFonts w:cs="Tahoma"/>
          <w:szCs w:val="20"/>
        </w:rPr>
        <w:t xml:space="preserve"> </w:t>
      </w:r>
    </w:p>
    <w:p w:rsidR="00456002" w:rsidRPr="004B208C" w:rsidRDefault="00456002" w:rsidP="00366502">
      <w:pPr>
        <w:tabs>
          <w:tab w:val="left" w:pos="360"/>
        </w:tabs>
        <w:rPr>
          <w:rFonts w:cs="Tahoma"/>
        </w:rPr>
      </w:pPr>
    </w:p>
    <w:p w:rsidR="00456002" w:rsidRPr="004B208C" w:rsidRDefault="00456002" w:rsidP="00366502">
      <w:pPr>
        <w:tabs>
          <w:tab w:val="left" w:pos="360"/>
        </w:tabs>
        <w:rPr>
          <w:rFonts w:cs="Tahoma"/>
        </w:rPr>
      </w:pPr>
      <w:r w:rsidRPr="004B208C">
        <w:rPr>
          <w:rFonts w:cs="Tahoma"/>
          <w:szCs w:val="20"/>
        </w:rPr>
        <w:t>Uma combinação dos Produtos Enterprise e dos Serviços Online Enterprise pode ser usada para atender aos</w:t>
      </w:r>
      <w:r w:rsidR="0065137B">
        <w:rPr>
          <w:rFonts w:cs="Tahoma"/>
          <w:szCs w:val="20"/>
        </w:rPr>
        <w:t> </w:t>
      </w:r>
      <w:r w:rsidRPr="004B208C">
        <w:rPr>
          <w:rFonts w:cs="Tahoma"/>
          <w:szCs w:val="20"/>
        </w:rPr>
        <w:t>requisitos de toda a Empresa em um Registro Enterprise ou Enterprise Subscription.</w:t>
      </w:r>
    </w:p>
    <w:p w:rsidR="00456002" w:rsidRPr="004B208C" w:rsidRDefault="00456002" w:rsidP="00366502">
      <w:pPr>
        <w:tabs>
          <w:tab w:val="left" w:pos="360"/>
        </w:tabs>
        <w:rPr>
          <w:rFonts w:cs="Tahoma"/>
        </w:rPr>
      </w:pPr>
    </w:p>
    <w:p w:rsidR="00456002" w:rsidRPr="004B208C" w:rsidRDefault="00456002" w:rsidP="00366502">
      <w:pPr>
        <w:tabs>
          <w:tab w:val="left" w:pos="360"/>
        </w:tabs>
        <w:rPr>
          <w:rFonts w:cs="Tahoma"/>
        </w:rPr>
      </w:pPr>
      <w:r w:rsidRPr="004B208C">
        <w:rPr>
          <w:rFonts w:cs="Tahoma"/>
          <w:szCs w:val="20"/>
        </w:rPr>
        <w:t>A tabela a seguir identifica os Serviços Online Enterprise e as CALs necessárias (se aplicável) que atendem aos</w:t>
      </w:r>
      <w:r w:rsidR="0065137B">
        <w:rPr>
          <w:rFonts w:cs="Tahoma"/>
          <w:szCs w:val="20"/>
        </w:rPr>
        <w:t> </w:t>
      </w:r>
      <w:r w:rsidRPr="004B208C">
        <w:rPr>
          <w:rFonts w:cs="Tahoma"/>
          <w:szCs w:val="20"/>
        </w:rPr>
        <w:t>requisitos de toda a Empresa para Produtos Enterprise.</w:t>
      </w:r>
      <w:r w:rsidR="00172F11">
        <w:rPr>
          <w:rFonts w:cs="Tahoma"/>
          <w:szCs w:val="20"/>
        </w:rPr>
        <w:t xml:space="preserve"> </w:t>
      </w:r>
    </w:p>
    <w:p w:rsidR="00456002" w:rsidRPr="004B208C"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4B208C"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B208C" w:rsidRDefault="00456002" w:rsidP="005C647E">
            <w:pPr>
              <w:keepNext/>
              <w:jc w:val="center"/>
              <w:rPr>
                <w:rFonts w:cs="Tahoma"/>
                <w:b/>
              </w:rPr>
            </w:pPr>
            <w:r w:rsidRPr="004B208C">
              <w:rPr>
                <w:rFonts w:cs="Tahoma"/>
                <w:b/>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4B208C" w:rsidRDefault="00456002" w:rsidP="005C647E">
            <w:pPr>
              <w:keepNext/>
              <w:jc w:val="center"/>
              <w:rPr>
                <w:rFonts w:cs="Tahoma"/>
                <w:b/>
              </w:rPr>
            </w:pPr>
            <w:r w:rsidRPr="004B208C">
              <w:rPr>
                <w:rFonts w:cs="Tahoma"/>
                <w:b/>
                <w:bCs/>
              </w:rPr>
              <w:t>Serviços Online Enterprise***</w:t>
            </w:r>
          </w:p>
        </w:tc>
      </w:tr>
      <w:tr w:rsidR="00E71EB9" w:rsidRPr="004B208C"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4B208C" w:rsidRDefault="00E71EB9" w:rsidP="005C647E">
            <w:pPr>
              <w:ind w:left="144"/>
              <w:rPr>
                <w:rFonts w:cs="Tahoma"/>
                <w:szCs w:val="18"/>
              </w:rPr>
            </w:pPr>
            <w:r w:rsidRPr="004B208C">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4B208C" w:rsidRDefault="00E71EB9" w:rsidP="00A1385C">
            <w:pPr>
              <w:numPr>
                <w:ilvl w:val="0"/>
                <w:numId w:val="34"/>
              </w:numPr>
              <w:spacing w:after="60"/>
              <w:ind w:left="907"/>
              <w:rPr>
                <w:rFonts w:cs="Tahoma"/>
              </w:rPr>
            </w:pPr>
            <w:r w:rsidRPr="004B208C">
              <w:rPr>
                <w:rFonts w:cs="Tahoma"/>
                <w:color w:val="000000"/>
                <w:szCs w:val="18"/>
              </w:rPr>
              <w:t>Office 365 (Enterprise E3)</w:t>
            </w:r>
          </w:p>
          <w:p w:rsidR="00E71EB9" w:rsidRPr="004B208C" w:rsidRDefault="00E71EB9" w:rsidP="00A1385C">
            <w:pPr>
              <w:numPr>
                <w:ilvl w:val="0"/>
                <w:numId w:val="34"/>
              </w:numPr>
              <w:spacing w:after="60"/>
              <w:ind w:left="907"/>
              <w:rPr>
                <w:rFonts w:cs="Tahoma"/>
              </w:rPr>
            </w:pPr>
            <w:r w:rsidRPr="004B208C">
              <w:rPr>
                <w:rFonts w:cs="Tahoma"/>
                <w:color w:val="000000"/>
                <w:szCs w:val="18"/>
              </w:rPr>
              <w:t xml:space="preserve">Office 365 (Enterprise E4) </w:t>
            </w:r>
          </w:p>
          <w:p w:rsidR="00E71EB9" w:rsidRPr="004B208C" w:rsidRDefault="00E71EB9" w:rsidP="00A1385C">
            <w:pPr>
              <w:numPr>
                <w:ilvl w:val="0"/>
                <w:numId w:val="34"/>
              </w:numPr>
              <w:spacing w:after="60"/>
              <w:ind w:left="907"/>
              <w:rPr>
                <w:rFonts w:cs="Tahoma"/>
              </w:rPr>
            </w:pPr>
            <w:r w:rsidRPr="004B208C">
              <w:rPr>
                <w:rFonts w:cs="Tahoma"/>
                <w:color w:val="000000"/>
                <w:szCs w:val="18"/>
              </w:rPr>
              <w:t>Office 365 (Government G3)</w:t>
            </w:r>
          </w:p>
          <w:p w:rsidR="00E71EB9" w:rsidRPr="004B208C" w:rsidRDefault="00E71EB9" w:rsidP="00A1385C">
            <w:pPr>
              <w:numPr>
                <w:ilvl w:val="0"/>
                <w:numId w:val="34"/>
              </w:numPr>
              <w:spacing w:after="60"/>
              <w:ind w:left="907"/>
              <w:rPr>
                <w:rFonts w:cs="Tahoma"/>
              </w:rPr>
            </w:pPr>
            <w:r w:rsidRPr="004B208C">
              <w:rPr>
                <w:rFonts w:cs="Tahoma"/>
                <w:color w:val="000000"/>
                <w:szCs w:val="18"/>
              </w:rPr>
              <w:t>Office 365 (Government G4)</w:t>
            </w:r>
          </w:p>
          <w:p w:rsidR="00C571BD" w:rsidRPr="004B208C" w:rsidRDefault="00C571BD" w:rsidP="00F06EC5">
            <w:pPr>
              <w:ind w:left="907"/>
              <w:rPr>
                <w:rFonts w:cs="Tahoma"/>
                <w:color w:val="000000"/>
                <w:szCs w:val="18"/>
              </w:rPr>
            </w:pPr>
          </w:p>
        </w:tc>
      </w:tr>
      <w:tr w:rsidR="00E71EB9" w:rsidRPr="004B208C"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4B208C" w:rsidRDefault="00E71EB9" w:rsidP="005C647E">
            <w:pPr>
              <w:ind w:left="144"/>
              <w:rPr>
                <w:rFonts w:cs="Tahoma"/>
                <w:szCs w:val="18"/>
              </w:rPr>
            </w:pPr>
            <w:r w:rsidRPr="004B208C">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4B208C" w:rsidRDefault="008368B4" w:rsidP="00A1385C">
            <w:pPr>
              <w:numPr>
                <w:ilvl w:val="0"/>
                <w:numId w:val="34"/>
              </w:numPr>
              <w:spacing w:before="60" w:after="60"/>
              <w:ind w:left="907"/>
              <w:rPr>
                <w:rFonts w:cs="Tahoma"/>
              </w:rPr>
            </w:pPr>
            <w:r w:rsidRPr="004B208C">
              <w:rPr>
                <w:rFonts w:cs="Tahoma"/>
                <w:color w:val="000000"/>
                <w:szCs w:val="18"/>
              </w:rPr>
              <w:t>Office 365 (Enterprise E1)*</w:t>
            </w:r>
          </w:p>
          <w:p w:rsidR="008368B4" w:rsidRPr="004B208C" w:rsidRDefault="008368B4" w:rsidP="00A1385C">
            <w:pPr>
              <w:numPr>
                <w:ilvl w:val="0"/>
                <w:numId w:val="34"/>
              </w:numPr>
              <w:spacing w:after="60"/>
              <w:rPr>
                <w:rFonts w:cs="Tahoma"/>
              </w:rPr>
            </w:pPr>
            <w:r w:rsidRPr="004B208C">
              <w:rPr>
                <w:rFonts w:cs="Tahoma"/>
                <w:color w:val="000000"/>
                <w:szCs w:val="18"/>
              </w:rPr>
              <w:t>Office 365 (Enterprise E3)*</w:t>
            </w:r>
          </w:p>
          <w:p w:rsidR="008368B4" w:rsidRPr="004B208C" w:rsidRDefault="008368B4" w:rsidP="00A1385C">
            <w:pPr>
              <w:numPr>
                <w:ilvl w:val="0"/>
                <w:numId w:val="34"/>
              </w:numPr>
              <w:spacing w:after="60"/>
              <w:rPr>
                <w:rFonts w:cs="Tahoma"/>
              </w:rPr>
            </w:pPr>
            <w:r w:rsidRPr="004B208C">
              <w:rPr>
                <w:rFonts w:cs="Tahoma"/>
                <w:color w:val="000000"/>
                <w:szCs w:val="18"/>
              </w:rPr>
              <w:t>Office 365 (Enterprise E4)*</w:t>
            </w:r>
          </w:p>
          <w:p w:rsidR="008368B4" w:rsidRPr="004B208C" w:rsidRDefault="008368B4" w:rsidP="00A1385C">
            <w:pPr>
              <w:numPr>
                <w:ilvl w:val="0"/>
                <w:numId w:val="34"/>
              </w:numPr>
              <w:spacing w:after="60"/>
              <w:rPr>
                <w:rFonts w:cs="Tahoma"/>
              </w:rPr>
            </w:pPr>
            <w:r w:rsidRPr="004B208C">
              <w:rPr>
                <w:rFonts w:cs="Tahoma"/>
                <w:color w:val="000000"/>
                <w:szCs w:val="18"/>
              </w:rPr>
              <w:t>Office 365 (Government G1)*</w:t>
            </w:r>
          </w:p>
          <w:p w:rsidR="008368B4" w:rsidRPr="004B208C" w:rsidRDefault="004D2744" w:rsidP="00A1385C">
            <w:pPr>
              <w:numPr>
                <w:ilvl w:val="0"/>
                <w:numId w:val="34"/>
              </w:numPr>
              <w:spacing w:after="60"/>
              <w:rPr>
                <w:rFonts w:cs="Tahoma"/>
              </w:rPr>
            </w:pPr>
            <w:r w:rsidRPr="004B208C">
              <w:rPr>
                <w:rFonts w:cs="Tahoma"/>
                <w:color w:val="000000"/>
                <w:szCs w:val="18"/>
              </w:rPr>
              <w:t>Office 365 (Government G3)*</w:t>
            </w:r>
          </w:p>
          <w:p w:rsidR="008368B4" w:rsidRPr="004B208C" w:rsidRDefault="008368B4" w:rsidP="00A1385C">
            <w:pPr>
              <w:numPr>
                <w:ilvl w:val="0"/>
                <w:numId w:val="34"/>
              </w:numPr>
              <w:spacing w:after="60"/>
              <w:rPr>
                <w:rFonts w:cs="Tahoma"/>
              </w:rPr>
            </w:pPr>
            <w:r w:rsidRPr="004B208C">
              <w:rPr>
                <w:rFonts w:cs="Tahoma"/>
                <w:color w:val="000000"/>
                <w:szCs w:val="18"/>
              </w:rPr>
              <w:t>Office 365 (Government G4)*</w:t>
            </w:r>
          </w:p>
          <w:p w:rsidR="00822871" w:rsidRPr="004B208C" w:rsidRDefault="00E71EB9" w:rsidP="00A1385C">
            <w:pPr>
              <w:numPr>
                <w:ilvl w:val="0"/>
                <w:numId w:val="34"/>
              </w:numPr>
              <w:spacing w:after="60"/>
              <w:rPr>
                <w:rFonts w:cs="Tahoma"/>
              </w:rPr>
            </w:pPr>
            <w:r w:rsidRPr="004B208C">
              <w:rPr>
                <w:rFonts w:cs="Tahoma"/>
                <w:color w:val="000000"/>
                <w:szCs w:val="18"/>
              </w:rPr>
              <w:t xml:space="preserve">Windows Intune* </w:t>
            </w:r>
          </w:p>
          <w:p w:rsidR="00822871" w:rsidRPr="004B208C" w:rsidRDefault="00822871" w:rsidP="00F06EC5">
            <w:pPr>
              <w:ind w:left="907"/>
              <w:rPr>
                <w:rFonts w:cs="Tahoma"/>
                <w:color w:val="000000"/>
                <w:szCs w:val="18"/>
              </w:rPr>
            </w:pPr>
          </w:p>
        </w:tc>
      </w:tr>
      <w:tr w:rsidR="00E71EB9" w:rsidRPr="004B208C"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4B208C" w:rsidRDefault="00E71EB9" w:rsidP="005C647E">
            <w:pPr>
              <w:ind w:left="144"/>
              <w:rPr>
                <w:rFonts w:cs="Tahoma"/>
                <w:szCs w:val="18"/>
              </w:rPr>
            </w:pPr>
            <w:r w:rsidRPr="004B208C">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4B208C" w:rsidRDefault="008368B4" w:rsidP="00A1385C">
            <w:pPr>
              <w:numPr>
                <w:ilvl w:val="0"/>
                <w:numId w:val="35"/>
              </w:numPr>
              <w:spacing w:before="60" w:after="60"/>
              <w:ind w:left="907"/>
              <w:rPr>
                <w:rFonts w:cs="Tahoma"/>
              </w:rPr>
            </w:pPr>
            <w:r w:rsidRPr="004B208C">
              <w:rPr>
                <w:rFonts w:eastAsia="Calibri" w:cs="Tahoma"/>
                <w:color w:val="000000"/>
                <w:szCs w:val="18"/>
              </w:rPr>
              <w:t xml:space="preserve">Office 365 </w:t>
            </w:r>
            <w:r w:rsidRPr="004B208C">
              <w:rPr>
                <w:rFonts w:cs="Tahoma"/>
                <w:color w:val="000000"/>
                <w:szCs w:val="18"/>
              </w:rPr>
              <w:t>(Enterprise E3)*</w:t>
            </w:r>
          </w:p>
          <w:p w:rsidR="008368B4" w:rsidRPr="004B208C" w:rsidRDefault="008368B4" w:rsidP="00A1385C">
            <w:pPr>
              <w:numPr>
                <w:ilvl w:val="0"/>
                <w:numId w:val="35"/>
              </w:numPr>
              <w:spacing w:after="60"/>
              <w:rPr>
                <w:rFonts w:cs="Tahoma"/>
              </w:rPr>
            </w:pPr>
            <w:r w:rsidRPr="004B208C">
              <w:rPr>
                <w:rFonts w:eastAsia="Calibri" w:cs="Tahoma"/>
                <w:color w:val="000000"/>
                <w:szCs w:val="18"/>
              </w:rPr>
              <w:t xml:space="preserve">Office 365 </w:t>
            </w:r>
            <w:r w:rsidRPr="004B208C">
              <w:rPr>
                <w:rFonts w:cs="Tahoma"/>
                <w:color w:val="000000"/>
                <w:szCs w:val="18"/>
              </w:rPr>
              <w:t>(Enterprise E4)*</w:t>
            </w:r>
          </w:p>
          <w:p w:rsidR="008368B4" w:rsidRPr="004B208C" w:rsidRDefault="008368B4" w:rsidP="00A1385C">
            <w:pPr>
              <w:numPr>
                <w:ilvl w:val="0"/>
                <w:numId w:val="35"/>
              </w:numPr>
              <w:spacing w:after="60"/>
              <w:rPr>
                <w:rFonts w:cs="Tahoma"/>
              </w:rPr>
            </w:pPr>
            <w:r w:rsidRPr="004B208C">
              <w:rPr>
                <w:rFonts w:eastAsia="Calibri" w:cs="Tahoma"/>
                <w:color w:val="000000"/>
                <w:szCs w:val="18"/>
              </w:rPr>
              <w:t xml:space="preserve">Office 365 </w:t>
            </w:r>
            <w:r w:rsidRPr="004B208C">
              <w:rPr>
                <w:rFonts w:cs="Tahoma"/>
                <w:color w:val="000000"/>
                <w:szCs w:val="18"/>
              </w:rPr>
              <w:t>(Government G3)*</w:t>
            </w:r>
          </w:p>
          <w:p w:rsidR="008368B4" w:rsidRPr="004B208C" w:rsidRDefault="008368B4" w:rsidP="00A1385C">
            <w:pPr>
              <w:numPr>
                <w:ilvl w:val="0"/>
                <w:numId w:val="35"/>
              </w:numPr>
              <w:spacing w:after="60"/>
              <w:rPr>
                <w:rFonts w:cs="Tahoma"/>
              </w:rPr>
            </w:pPr>
            <w:r w:rsidRPr="004B208C">
              <w:rPr>
                <w:rFonts w:eastAsia="Calibri" w:cs="Tahoma"/>
                <w:color w:val="000000"/>
                <w:szCs w:val="18"/>
              </w:rPr>
              <w:t xml:space="preserve">Office 365 </w:t>
            </w:r>
            <w:r w:rsidRPr="004B208C">
              <w:rPr>
                <w:rFonts w:cs="Tahoma"/>
                <w:color w:val="000000"/>
                <w:szCs w:val="18"/>
              </w:rPr>
              <w:t>(Government G4)*</w:t>
            </w:r>
          </w:p>
          <w:p w:rsidR="00822871" w:rsidRPr="004B208C" w:rsidRDefault="00E71EB9" w:rsidP="00A1385C">
            <w:pPr>
              <w:numPr>
                <w:ilvl w:val="0"/>
                <w:numId w:val="35"/>
              </w:numPr>
              <w:spacing w:after="60"/>
              <w:rPr>
                <w:rFonts w:cs="Tahoma"/>
              </w:rPr>
            </w:pPr>
            <w:r w:rsidRPr="004B208C">
              <w:rPr>
                <w:rFonts w:cs="Tahoma"/>
                <w:color w:val="000000"/>
                <w:szCs w:val="18"/>
              </w:rPr>
              <w:t>Windows Intune*</w:t>
            </w:r>
          </w:p>
          <w:p w:rsidR="00E71EB9" w:rsidRPr="004B208C" w:rsidRDefault="00E71EB9" w:rsidP="0038120B">
            <w:pPr>
              <w:ind w:left="907"/>
              <w:rPr>
                <w:rFonts w:cs="Tahoma"/>
                <w:color w:val="000000"/>
                <w:szCs w:val="18"/>
              </w:rPr>
            </w:pPr>
            <w:r w:rsidRPr="004B208C">
              <w:rPr>
                <w:rFonts w:cs="Tahoma"/>
                <w:color w:val="000000"/>
                <w:szCs w:val="18"/>
              </w:rPr>
              <w:t xml:space="preserve"> </w:t>
            </w:r>
          </w:p>
        </w:tc>
      </w:tr>
    </w:tbl>
    <w:p w:rsidR="00456002" w:rsidRPr="00171160" w:rsidRDefault="00456002" w:rsidP="00456002">
      <w:pPr>
        <w:tabs>
          <w:tab w:val="left" w:pos="360"/>
        </w:tabs>
        <w:ind w:left="720"/>
        <w:rPr>
          <w:rFonts w:cs="Tahoma"/>
          <w:sz w:val="16"/>
          <w:szCs w:val="16"/>
        </w:rPr>
      </w:pPr>
      <w:r w:rsidRPr="00171160">
        <w:rPr>
          <w:rFonts w:cs="Tahoma"/>
          <w:i/>
          <w:sz w:val="16"/>
          <w:szCs w:val="16"/>
        </w:rPr>
        <w:t>* Requer Bridge do Pacote de CALs adequado. Para obter mais informações sobre o Bridge do Pacote de CALs, consulte a seção de notas do produto neste documento.</w:t>
      </w:r>
    </w:p>
    <w:p w:rsidR="00456002" w:rsidRPr="00171160" w:rsidRDefault="00456002" w:rsidP="00456002">
      <w:pPr>
        <w:tabs>
          <w:tab w:val="left" w:pos="360"/>
        </w:tabs>
        <w:ind w:left="720"/>
        <w:rPr>
          <w:rFonts w:cs="Tahoma"/>
          <w:sz w:val="16"/>
          <w:szCs w:val="16"/>
        </w:rPr>
      </w:pPr>
      <w:r w:rsidRPr="00171160">
        <w:rPr>
          <w:rFonts w:cs="Tahoma"/>
          <w:i/>
          <w:sz w:val="16"/>
          <w:szCs w:val="16"/>
        </w:rPr>
        <w:t>**</w:t>
      </w:r>
      <w:r w:rsidR="00171160" w:rsidRPr="00171160">
        <w:rPr>
          <w:rFonts w:cs="Tahoma"/>
          <w:i/>
          <w:sz w:val="16"/>
          <w:szCs w:val="16"/>
        </w:rPr>
        <w:t xml:space="preserve"> </w:t>
      </w:r>
      <w:r w:rsidRPr="00171160">
        <w:rPr>
          <w:rFonts w:cs="Tahoma"/>
          <w:i/>
          <w:sz w:val="16"/>
          <w:szCs w:val="16"/>
        </w:rPr>
        <w:t>O Office 365 ProPlus e o Windows VDA são Produtos Empresariais e também podem atender aos requisitos para toda a Empresa.</w:t>
      </w:r>
    </w:p>
    <w:p w:rsidR="00456002" w:rsidRPr="00171160" w:rsidRDefault="00456002" w:rsidP="00366502">
      <w:pPr>
        <w:tabs>
          <w:tab w:val="left" w:pos="360"/>
        </w:tabs>
        <w:ind w:left="720"/>
        <w:rPr>
          <w:rFonts w:cs="Tahoma"/>
          <w:sz w:val="16"/>
          <w:szCs w:val="16"/>
        </w:rPr>
      </w:pPr>
      <w:r w:rsidRPr="00171160">
        <w:rPr>
          <w:rFonts w:cs="Tahoma"/>
          <w:i/>
          <w:sz w:val="16"/>
          <w:szCs w:val="16"/>
        </w:rPr>
        <w:t>*** Os Serviços Online Enterprise incluem somente USLs completas.</w:t>
      </w:r>
      <w:r w:rsidR="00172F11" w:rsidRPr="00171160">
        <w:rPr>
          <w:rFonts w:cs="Tahoma"/>
          <w:i/>
          <w:sz w:val="16"/>
          <w:szCs w:val="16"/>
        </w:rPr>
        <w:t xml:space="preserve"> </w:t>
      </w:r>
      <w:r w:rsidRPr="00171160">
        <w:rPr>
          <w:rFonts w:cs="Tahoma"/>
          <w:i/>
          <w:sz w:val="16"/>
          <w:szCs w:val="16"/>
        </w:rPr>
        <w:t>As USLs do Software Assurance, que requerem CAL Principal ou CAL Empresarial para compra, não são Serviços Online Enterprise.</w:t>
      </w:r>
    </w:p>
    <w:p w:rsidR="00366502" w:rsidRPr="004B208C" w:rsidRDefault="00366502" w:rsidP="00456002">
      <w:pPr>
        <w:tabs>
          <w:tab w:val="left" w:pos="360"/>
        </w:tabs>
        <w:ind w:left="720"/>
        <w:rPr>
          <w:rFonts w:cs="Tahoma"/>
        </w:rPr>
      </w:pPr>
    </w:p>
    <w:p w:rsidR="00456002" w:rsidRPr="004B208C" w:rsidRDefault="00456002" w:rsidP="0055442E">
      <w:pPr>
        <w:tabs>
          <w:tab w:val="left" w:pos="360"/>
        </w:tabs>
        <w:spacing w:after="60"/>
        <w:rPr>
          <w:rFonts w:cs="Tahoma"/>
        </w:rPr>
      </w:pPr>
      <w:r w:rsidRPr="004B208C">
        <w:rPr>
          <w:rFonts w:cs="Tahoma"/>
          <w:b/>
          <w:szCs w:val="18"/>
        </w:rPr>
        <w:t>Transições Permitidas</w:t>
      </w:r>
    </w:p>
    <w:p w:rsidR="00456002" w:rsidRPr="004B208C" w:rsidRDefault="0014632E" w:rsidP="00366502">
      <w:pPr>
        <w:tabs>
          <w:tab w:val="left" w:pos="360"/>
        </w:tabs>
        <w:rPr>
          <w:rFonts w:cs="Tahoma"/>
        </w:rPr>
      </w:pPr>
      <w:r w:rsidRPr="004B208C">
        <w:rPr>
          <w:rFonts w:cs="Tahoma"/>
          <w:b/>
          <w:szCs w:val="20"/>
        </w:rPr>
        <w:t xml:space="preserve">Observação: </w:t>
      </w:r>
      <w:r w:rsidRPr="004B208C">
        <w:rPr>
          <w:rFonts w:cs="Tahoma"/>
          <w:szCs w:val="20"/>
        </w:rPr>
        <w:t>O seguinte se aplica aos clientes do Registro Enterprise e Enterprise Subscription que tenham direitos de Transição.</w:t>
      </w:r>
      <w:r w:rsidR="00172F11">
        <w:rPr>
          <w:rFonts w:cs="Tahoma"/>
          <w:szCs w:val="20"/>
        </w:rPr>
        <w:t xml:space="preserve"> </w:t>
      </w:r>
      <w:r w:rsidRPr="004B208C">
        <w:rPr>
          <w:rFonts w:cs="Tahoma"/>
          <w:szCs w:val="20"/>
        </w:rPr>
        <w:t>Os clientes que tiverem dúvidas sobre os direitos de Transição do seu registro devem entrar em contato com o Consultor de Software, Revendedor ou Gerente de Conta Microsoft para obter mais informações.</w:t>
      </w:r>
      <w:r w:rsidR="00172F11">
        <w:rPr>
          <w:rFonts w:cs="Tahoma"/>
          <w:szCs w:val="20"/>
        </w:rPr>
        <w:t xml:space="preserve"> </w:t>
      </w:r>
    </w:p>
    <w:p w:rsidR="00456002" w:rsidRPr="004B208C" w:rsidRDefault="00456002" w:rsidP="00366502">
      <w:pPr>
        <w:tabs>
          <w:tab w:val="left" w:pos="360"/>
        </w:tabs>
        <w:rPr>
          <w:rFonts w:cs="Tahoma"/>
        </w:rPr>
      </w:pPr>
    </w:p>
    <w:p w:rsidR="00456002" w:rsidRPr="004B208C" w:rsidRDefault="00456002" w:rsidP="00366502">
      <w:pPr>
        <w:tabs>
          <w:tab w:val="left" w:pos="360"/>
        </w:tabs>
        <w:rPr>
          <w:rFonts w:cs="Tahoma"/>
        </w:rPr>
      </w:pPr>
      <w:r w:rsidRPr="004B208C">
        <w:rPr>
          <w:rFonts w:cs="Tahoma"/>
          <w:szCs w:val="20"/>
        </w:rPr>
        <w:t>A tabela a seguir identifica os produtos qualificados para a Transição e as Transições permitidas.</w:t>
      </w:r>
      <w:r w:rsidR="00172F11">
        <w:rPr>
          <w:rFonts w:cs="Tahoma"/>
          <w:szCs w:val="20"/>
        </w:rPr>
        <w:t xml:space="preserve"> </w:t>
      </w:r>
      <w:r w:rsidRPr="004B208C">
        <w:rPr>
          <w:rFonts w:cs="Tahoma"/>
          <w:szCs w:val="20"/>
        </w:rPr>
        <w:t>Ela inclui produtos submetidos a transição quando comprados como parte de uma plataforma de desktop.</w:t>
      </w:r>
    </w:p>
    <w:p w:rsidR="00456002" w:rsidRPr="004B208C"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4B208C"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4B208C" w:rsidRDefault="00456002" w:rsidP="005C647E">
            <w:pPr>
              <w:keepNext/>
              <w:jc w:val="center"/>
              <w:rPr>
                <w:rFonts w:cs="Tahoma"/>
                <w:b/>
              </w:rPr>
            </w:pPr>
            <w:r w:rsidRPr="004B208C">
              <w:rPr>
                <w:rFonts w:cs="Tahoma"/>
                <w:b/>
              </w:rPr>
              <w:lastRenderedPageBreak/>
              <w:t>Produtos em Transição</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4B208C" w:rsidRDefault="00456002" w:rsidP="005C647E">
            <w:pPr>
              <w:keepNext/>
              <w:jc w:val="center"/>
              <w:rPr>
                <w:rFonts w:cs="Tahoma"/>
                <w:b/>
              </w:rPr>
            </w:pPr>
            <w:r w:rsidRPr="004B208C">
              <w:rPr>
                <w:rFonts w:cs="Tahoma"/>
                <w:b/>
              </w:rPr>
              <w:t>Opções de Transições Válidas</w:t>
            </w:r>
          </w:p>
        </w:tc>
      </w:tr>
      <w:tr w:rsidR="00A32052" w:rsidRPr="004B208C"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B208C" w:rsidRDefault="00A32052" w:rsidP="005C647E">
            <w:pPr>
              <w:spacing w:before="60" w:after="60"/>
              <w:ind w:left="144"/>
              <w:rPr>
                <w:rFonts w:cs="Tahoma"/>
              </w:rPr>
            </w:pPr>
            <w:r w:rsidRPr="004B208C">
              <w:rPr>
                <w:rFonts w:cs="Tahoma"/>
              </w:rPr>
              <w:t xml:space="preserve">Pacote de CALs Principais </w:t>
            </w:r>
          </w:p>
        </w:tc>
        <w:tc>
          <w:tcPr>
            <w:tcW w:w="4334" w:type="dxa"/>
            <w:tcBorders>
              <w:top w:val="nil"/>
              <w:left w:val="nil"/>
              <w:bottom w:val="single" w:sz="8" w:space="0" w:color="auto"/>
              <w:right w:val="single" w:sz="8" w:space="0" w:color="auto"/>
            </w:tcBorders>
            <w:vAlign w:val="center"/>
          </w:tcPr>
          <w:p w:rsidR="008368B4" w:rsidRPr="004B208C" w:rsidRDefault="008368B4" w:rsidP="00A1385C">
            <w:pPr>
              <w:numPr>
                <w:ilvl w:val="0"/>
                <w:numId w:val="36"/>
              </w:numPr>
              <w:spacing w:before="60" w:after="60"/>
              <w:rPr>
                <w:rFonts w:cs="Tahoma"/>
              </w:rPr>
            </w:pPr>
            <w:r w:rsidRPr="004B208C">
              <w:rPr>
                <w:rFonts w:cs="Tahoma"/>
                <w:color w:val="000000"/>
                <w:szCs w:val="18"/>
              </w:rPr>
              <w:t>Office 365 (Enterprise E1)*</w:t>
            </w:r>
          </w:p>
          <w:p w:rsidR="008368B4" w:rsidRPr="004B208C" w:rsidRDefault="008368B4" w:rsidP="00A1385C">
            <w:pPr>
              <w:numPr>
                <w:ilvl w:val="0"/>
                <w:numId w:val="36"/>
              </w:numPr>
              <w:spacing w:after="60"/>
              <w:rPr>
                <w:rFonts w:cs="Tahoma"/>
              </w:rPr>
            </w:pPr>
            <w:r w:rsidRPr="004B208C">
              <w:rPr>
                <w:rFonts w:cs="Tahoma"/>
                <w:color w:val="000000"/>
                <w:szCs w:val="18"/>
              </w:rPr>
              <w:t>Office 365 (Enterprise E3)*</w:t>
            </w:r>
          </w:p>
          <w:p w:rsidR="008368B4" w:rsidRPr="004B208C" w:rsidRDefault="008368B4" w:rsidP="00A1385C">
            <w:pPr>
              <w:numPr>
                <w:ilvl w:val="0"/>
                <w:numId w:val="36"/>
              </w:numPr>
              <w:spacing w:after="60"/>
              <w:rPr>
                <w:rFonts w:cs="Tahoma"/>
              </w:rPr>
            </w:pPr>
            <w:r w:rsidRPr="004B208C">
              <w:rPr>
                <w:rFonts w:cs="Tahoma"/>
                <w:color w:val="000000"/>
                <w:szCs w:val="18"/>
              </w:rPr>
              <w:t>Office 365 (Enterprise E4)*</w:t>
            </w:r>
          </w:p>
          <w:p w:rsidR="008368B4" w:rsidRPr="004B208C" w:rsidRDefault="008368B4" w:rsidP="00A1385C">
            <w:pPr>
              <w:numPr>
                <w:ilvl w:val="0"/>
                <w:numId w:val="36"/>
              </w:numPr>
              <w:spacing w:after="60"/>
              <w:rPr>
                <w:rFonts w:cs="Tahoma"/>
              </w:rPr>
            </w:pPr>
            <w:r w:rsidRPr="004B208C">
              <w:rPr>
                <w:rFonts w:cs="Tahoma"/>
                <w:color w:val="000000"/>
                <w:szCs w:val="18"/>
              </w:rPr>
              <w:t>Office 365 (Government G1)*</w:t>
            </w:r>
          </w:p>
          <w:p w:rsidR="008368B4" w:rsidRPr="004B208C" w:rsidRDefault="008368B4" w:rsidP="00A1385C">
            <w:pPr>
              <w:numPr>
                <w:ilvl w:val="0"/>
                <w:numId w:val="36"/>
              </w:numPr>
              <w:spacing w:after="60"/>
              <w:rPr>
                <w:rFonts w:cs="Tahoma"/>
              </w:rPr>
            </w:pPr>
            <w:r w:rsidRPr="004B208C">
              <w:rPr>
                <w:rFonts w:cs="Tahoma"/>
                <w:color w:val="000000"/>
                <w:szCs w:val="18"/>
              </w:rPr>
              <w:t>Office 365 (Government G3)*</w:t>
            </w:r>
          </w:p>
          <w:p w:rsidR="008368B4" w:rsidRPr="004B208C" w:rsidRDefault="008368B4" w:rsidP="00A1385C">
            <w:pPr>
              <w:numPr>
                <w:ilvl w:val="0"/>
                <w:numId w:val="36"/>
              </w:numPr>
              <w:spacing w:after="60"/>
              <w:rPr>
                <w:rFonts w:cs="Tahoma"/>
              </w:rPr>
            </w:pPr>
            <w:r w:rsidRPr="004B208C">
              <w:rPr>
                <w:rFonts w:cs="Tahoma"/>
                <w:color w:val="000000"/>
                <w:szCs w:val="18"/>
              </w:rPr>
              <w:t>Office 365 (Government G4)*</w:t>
            </w:r>
          </w:p>
          <w:p w:rsidR="00A32052" w:rsidRPr="004B208C" w:rsidRDefault="00A32052" w:rsidP="00A1385C">
            <w:pPr>
              <w:numPr>
                <w:ilvl w:val="0"/>
                <w:numId w:val="36"/>
              </w:numPr>
              <w:ind w:right="144"/>
              <w:rPr>
                <w:rFonts w:cs="Tahoma"/>
              </w:rPr>
            </w:pPr>
            <w:r w:rsidRPr="004B208C">
              <w:rPr>
                <w:rFonts w:cs="Tahoma"/>
                <w:color w:val="000000"/>
              </w:rPr>
              <w:t>Windows Intune*</w:t>
            </w:r>
          </w:p>
          <w:p w:rsidR="00A32052" w:rsidRPr="004B208C" w:rsidRDefault="00A32052" w:rsidP="0055442E">
            <w:pPr>
              <w:ind w:left="720" w:right="144"/>
              <w:rPr>
                <w:rFonts w:cs="Tahoma"/>
                <w:color w:val="000000"/>
              </w:rPr>
            </w:pPr>
          </w:p>
        </w:tc>
      </w:tr>
      <w:tr w:rsidR="00A32052" w:rsidRPr="004B208C"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4B208C" w:rsidRDefault="00A32052" w:rsidP="005C647E">
            <w:pPr>
              <w:spacing w:before="60" w:after="60"/>
              <w:ind w:left="144"/>
              <w:rPr>
                <w:rFonts w:cs="Tahoma"/>
              </w:rPr>
            </w:pPr>
            <w:r w:rsidRPr="004B208C">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4B208C" w:rsidRDefault="00A32052" w:rsidP="00A1385C">
            <w:pPr>
              <w:numPr>
                <w:ilvl w:val="0"/>
                <w:numId w:val="36"/>
              </w:numPr>
              <w:spacing w:before="60" w:after="60"/>
              <w:rPr>
                <w:rFonts w:cs="Tahoma"/>
              </w:rPr>
            </w:pPr>
            <w:r w:rsidRPr="004B208C">
              <w:rPr>
                <w:rFonts w:cs="Tahoma"/>
                <w:color w:val="000000"/>
                <w:szCs w:val="18"/>
              </w:rPr>
              <w:t>Office 365 (Enterprise E3)*</w:t>
            </w:r>
          </w:p>
          <w:p w:rsidR="00A32052" w:rsidRPr="004B208C" w:rsidRDefault="00A32052" w:rsidP="00A1385C">
            <w:pPr>
              <w:numPr>
                <w:ilvl w:val="0"/>
                <w:numId w:val="36"/>
              </w:numPr>
              <w:spacing w:after="60"/>
              <w:rPr>
                <w:rFonts w:cs="Tahoma"/>
              </w:rPr>
            </w:pPr>
            <w:r w:rsidRPr="004B208C">
              <w:rPr>
                <w:rFonts w:cs="Tahoma"/>
                <w:color w:val="000000"/>
                <w:szCs w:val="18"/>
              </w:rPr>
              <w:t>Office 365 (Enterprise E4)*</w:t>
            </w:r>
          </w:p>
          <w:p w:rsidR="004D2744" w:rsidRPr="004B208C" w:rsidRDefault="004D2744" w:rsidP="00A1385C">
            <w:pPr>
              <w:numPr>
                <w:ilvl w:val="0"/>
                <w:numId w:val="36"/>
              </w:numPr>
              <w:spacing w:after="60"/>
              <w:rPr>
                <w:rFonts w:cs="Tahoma"/>
              </w:rPr>
            </w:pPr>
            <w:r w:rsidRPr="004B208C">
              <w:rPr>
                <w:rFonts w:cs="Tahoma"/>
                <w:color w:val="000000"/>
                <w:szCs w:val="18"/>
              </w:rPr>
              <w:t>Office 365 (Enterprise G3)*</w:t>
            </w:r>
          </w:p>
          <w:p w:rsidR="004D2744" w:rsidRPr="004B208C" w:rsidRDefault="004D2744" w:rsidP="00A1385C">
            <w:pPr>
              <w:numPr>
                <w:ilvl w:val="0"/>
                <w:numId w:val="36"/>
              </w:numPr>
              <w:spacing w:after="60"/>
              <w:rPr>
                <w:rFonts w:cs="Tahoma"/>
              </w:rPr>
            </w:pPr>
            <w:r w:rsidRPr="004B208C">
              <w:rPr>
                <w:rFonts w:cs="Tahoma"/>
                <w:color w:val="000000"/>
                <w:szCs w:val="18"/>
              </w:rPr>
              <w:t>Office 365 (Enterprise G4)*</w:t>
            </w:r>
          </w:p>
          <w:p w:rsidR="00A32052" w:rsidRPr="004B208C" w:rsidRDefault="00A32052" w:rsidP="00A1385C">
            <w:pPr>
              <w:numPr>
                <w:ilvl w:val="0"/>
                <w:numId w:val="36"/>
              </w:numPr>
              <w:ind w:right="144"/>
              <w:rPr>
                <w:rFonts w:cs="Tahoma"/>
              </w:rPr>
            </w:pPr>
            <w:r w:rsidRPr="004B208C">
              <w:rPr>
                <w:rFonts w:cs="Tahoma"/>
                <w:color w:val="000000"/>
              </w:rPr>
              <w:t>Windows</w:t>
            </w:r>
            <w:r w:rsidR="00172F11" w:rsidRPr="00172F11">
              <w:rPr>
                <w:rFonts w:cs="Tahoma"/>
                <w:color w:val="000000"/>
                <w:vertAlign w:val="superscript"/>
              </w:rPr>
              <w:t>®</w:t>
            </w:r>
            <w:r w:rsidRPr="004B208C">
              <w:rPr>
                <w:rFonts w:cs="Tahoma"/>
                <w:color w:val="000000"/>
              </w:rPr>
              <w:t xml:space="preserve"> Intune*</w:t>
            </w:r>
          </w:p>
          <w:p w:rsidR="00A32052" w:rsidRPr="004B208C" w:rsidRDefault="00A32052" w:rsidP="00BD6C2C">
            <w:pPr>
              <w:ind w:right="144"/>
              <w:rPr>
                <w:rFonts w:cs="Tahoma"/>
                <w:color w:val="000000"/>
              </w:rPr>
            </w:pPr>
          </w:p>
        </w:tc>
      </w:tr>
      <w:tr w:rsidR="00A32052" w:rsidRPr="004B208C"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4B208C" w:rsidRDefault="00A32052" w:rsidP="005C647E">
            <w:pPr>
              <w:spacing w:before="60" w:after="60"/>
              <w:ind w:left="144"/>
              <w:rPr>
                <w:rFonts w:cs="Tahoma"/>
              </w:rPr>
            </w:pPr>
            <w:r w:rsidRPr="004B208C">
              <w:rPr>
                <w:rFonts w:cs="Tahoma"/>
              </w:rPr>
              <w:t>Office Professional Plus</w:t>
            </w:r>
          </w:p>
        </w:tc>
        <w:tc>
          <w:tcPr>
            <w:tcW w:w="4334" w:type="dxa"/>
            <w:tcBorders>
              <w:top w:val="single" w:sz="8" w:space="0" w:color="auto"/>
              <w:left w:val="nil"/>
              <w:bottom w:val="nil"/>
              <w:right w:val="single" w:sz="8" w:space="0" w:color="auto"/>
            </w:tcBorders>
            <w:vAlign w:val="center"/>
          </w:tcPr>
          <w:p w:rsidR="00A32052" w:rsidRPr="004B208C" w:rsidRDefault="00A32052" w:rsidP="00A1385C">
            <w:pPr>
              <w:numPr>
                <w:ilvl w:val="0"/>
                <w:numId w:val="36"/>
              </w:numPr>
              <w:spacing w:after="60"/>
              <w:rPr>
                <w:rFonts w:cs="Tahoma"/>
              </w:rPr>
            </w:pPr>
            <w:r w:rsidRPr="004B208C">
              <w:rPr>
                <w:rFonts w:cs="Tahoma"/>
                <w:color w:val="000000"/>
                <w:szCs w:val="18"/>
              </w:rPr>
              <w:t>Office 365 (Enterprise E3)*</w:t>
            </w:r>
          </w:p>
          <w:p w:rsidR="00A32052" w:rsidRPr="004B208C" w:rsidRDefault="00A32052" w:rsidP="00A1385C">
            <w:pPr>
              <w:numPr>
                <w:ilvl w:val="0"/>
                <w:numId w:val="36"/>
              </w:numPr>
              <w:spacing w:after="60"/>
              <w:rPr>
                <w:rFonts w:cs="Tahoma"/>
              </w:rPr>
            </w:pPr>
            <w:r w:rsidRPr="004B208C">
              <w:rPr>
                <w:rFonts w:cs="Tahoma"/>
                <w:color w:val="000000"/>
                <w:szCs w:val="18"/>
              </w:rPr>
              <w:t>Office 365 (Enterprise E4)*</w:t>
            </w:r>
          </w:p>
          <w:p w:rsidR="00A32052" w:rsidRPr="004B208C" w:rsidRDefault="00A32052" w:rsidP="00A1385C">
            <w:pPr>
              <w:numPr>
                <w:ilvl w:val="0"/>
                <w:numId w:val="36"/>
              </w:numPr>
              <w:spacing w:after="60"/>
              <w:rPr>
                <w:rFonts w:cs="Tahoma"/>
              </w:rPr>
            </w:pPr>
            <w:r w:rsidRPr="004B208C">
              <w:rPr>
                <w:rFonts w:cs="Tahoma"/>
                <w:color w:val="000000"/>
                <w:szCs w:val="18"/>
              </w:rPr>
              <w:t>Office 365 (Government G3)</w:t>
            </w:r>
          </w:p>
          <w:p w:rsidR="00A32052" w:rsidRPr="004B208C" w:rsidRDefault="00A32052" w:rsidP="00A1385C">
            <w:pPr>
              <w:numPr>
                <w:ilvl w:val="0"/>
                <w:numId w:val="36"/>
              </w:numPr>
              <w:spacing w:after="60"/>
              <w:rPr>
                <w:rFonts w:cs="Tahoma"/>
              </w:rPr>
            </w:pPr>
            <w:r w:rsidRPr="004B208C">
              <w:rPr>
                <w:rFonts w:cs="Tahoma"/>
                <w:color w:val="000000"/>
                <w:szCs w:val="18"/>
              </w:rPr>
              <w:t>Office 365 (Government G4)</w:t>
            </w:r>
          </w:p>
          <w:p w:rsidR="00A32052" w:rsidRPr="004B208C" w:rsidRDefault="004D2744" w:rsidP="00A1385C">
            <w:pPr>
              <w:numPr>
                <w:ilvl w:val="0"/>
                <w:numId w:val="36"/>
              </w:numPr>
              <w:spacing w:after="60"/>
              <w:rPr>
                <w:rFonts w:cs="Tahoma"/>
              </w:rPr>
            </w:pPr>
            <w:r w:rsidRPr="004B208C">
              <w:rPr>
                <w:rFonts w:cs="Tahoma"/>
                <w:color w:val="000000"/>
                <w:szCs w:val="18"/>
              </w:rPr>
              <w:t>Office 365 ProPlus**</w:t>
            </w:r>
          </w:p>
          <w:p w:rsidR="002D25C8" w:rsidRPr="004B208C" w:rsidRDefault="002D25C8" w:rsidP="0055442E">
            <w:pPr>
              <w:ind w:left="720"/>
              <w:rPr>
                <w:rFonts w:cs="Tahoma"/>
                <w:color w:val="000000"/>
              </w:rPr>
            </w:pPr>
          </w:p>
        </w:tc>
      </w:tr>
      <w:tr w:rsidR="00A32052" w:rsidRPr="004B208C"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4B208C" w:rsidRDefault="00A32052" w:rsidP="005C647E">
            <w:pPr>
              <w:spacing w:before="60" w:after="60"/>
              <w:ind w:left="144"/>
              <w:rPr>
                <w:rFonts w:cs="Tahoma"/>
              </w:rPr>
            </w:pPr>
            <w:r w:rsidRPr="004B208C">
              <w:rPr>
                <w:rFonts w:cs="Tahoma"/>
              </w:rPr>
              <w:t>Office Professional Plus e Pacote de CALs Principais</w:t>
            </w:r>
          </w:p>
        </w:tc>
        <w:tc>
          <w:tcPr>
            <w:tcW w:w="4334" w:type="dxa"/>
            <w:tcBorders>
              <w:top w:val="single" w:sz="8" w:space="0" w:color="auto"/>
              <w:left w:val="nil"/>
              <w:bottom w:val="nil"/>
              <w:right w:val="single" w:sz="8" w:space="0" w:color="auto"/>
            </w:tcBorders>
            <w:vAlign w:val="center"/>
          </w:tcPr>
          <w:p w:rsidR="008368B4" w:rsidRPr="004B208C" w:rsidRDefault="008368B4" w:rsidP="00A1385C">
            <w:pPr>
              <w:numPr>
                <w:ilvl w:val="0"/>
                <w:numId w:val="36"/>
              </w:numPr>
              <w:spacing w:after="60"/>
              <w:rPr>
                <w:rFonts w:cs="Tahoma"/>
              </w:rPr>
            </w:pPr>
            <w:r w:rsidRPr="004B208C">
              <w:rPr>
                <w:rFonts w:cs="Tahoma"/>
                <w:color w:val="000000"/>
                <w:szCs w:val="18"/>
              </w:rPr>
              <w:t>Office 365 (Enterprise E3)*</w:t>
            </w:r>
          </w:p>
          <w:p w:rsidR="008368B4" w:rsidRPr="004B208C" w:rsidRDefault="008368B4" w:rsidP="00A1385C">
            <w:pPr>
              <w:numPr>
                <w:ilvl w:val="0"/>
                <w:numId w:val="36"/>
              </w:numPr>
              <w:spacing w:after="60"/>
              <w:rPr>
                <w:rFonts w:cs="Tahoma"/>
              </w:rPr>
            </w:pPr>
            <w:r w:rsidRPr="004B208C">
              <w:rPr>
                <w:rFonts w:cs="Tahoma"/>
                <w:color w:val="000000"/>
                <w:szCs w:val="18"/>
              </w:rPr>
              <w:t>Office 365 (Enterprise E4)*</w:t>
            </w:r>
          </w:p>
          <w:p w:rsidR="008368B4" w:rsidRPr="004B208C" w:rsidRDefault="008368B4" w:rsidP="00A1385C">
            <w:pPr>
              <w:numPr>
                <w:ilvl w:val="0"/>
                <w:numId w:val="36"/>
              </w:numPr>
              <w:spacing w:after="60"/>
              <w:rPr>
                <w:rFonts w:cs="Tahoma"/>
              </w:rPr>
            </w:pPr>
            <w:r w:rsidRPr="004B208C">
              <w:rPr>
                <w:rFonts w:cs="Tahoma"/>
                <w:color w:val="000000"/>
                <w:szCs w:val="18"/>
              </w:rPr>
              <w:t>Office 365 (Government G3)*</w:t>
            </w:r>
          </w:p>
          <w:p w:rsidR="008368B4" w:rsidRPr="004B208C" w:rsidRDefault="008368B4" w:rsidP="00A1385C">
            <w:pPr>
              <w:numPr>
                <w:ilvl w:val="0"/>
                <w:numId w:val="36"/>
              </w:numPr>
              <w:spacing w:after="60"/>
              <w:rPr>
                <w:rFonts w:cs="Tahoma"/>
              </w:rPr>
            </w:pPr>
            <w:r w:rsidRPr="004B208C">
              <w:rPr>
                <w:rFonts w:cs="Tahoma"/>
                <w:color w:val="000000"/>
                <w:szCs w:val="18"/>
              </w:rPr>
              <w:t>Office 365 (Government G4)*</w:t>
            </w:r>
          </w:p>
          <w:p w:rsidR="002D25C8" w:rsidRPr="004B208C" w:rsidRDefault="002D25C8" w:rsidP="0055442E">
            <w:pPr>
              <w:ind w:left="720"/>
              <w:rPr>
                <w:rFonts w:cs="Tahoma"/>
                <w:color w:val="000000"/>
              </w:rPr>
            </w:pPr>
          </w:p>
        </w:tc>
      </w:tr>
      <w:tr w:rsidR="00A32052" w:rsidRPr="004B208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4B208C" w:rsidRDefault="00A32052" w:rsidP="005C647E">
            <w:pPr>
              <w:spacing w:before="60" w:after="60"/>
              <w:ind w:left="144"/>
              <w:rPr>
                <w:rFonts w:cs="Tahoma"/>
              </w:rPr>
            </w:pPr>
            <w:r w:rsidRPr="004B208C">
              <w:rPr>
                <w:rFonts w:cs="Tahoma"/>
              </w:rPr>
              <w:t>Office Professional Plus e Pacote de CALs Empresariais</w:t>
            </w:r>
          </w:p>
        </w:tc>
        <w:tc>
          <w:tcPr>
            <w:tcW w:w="4334" w:type="dxa"/>
            <w:tcBorders>
              <w:top w:val="single" w:sz="8" w:space="0" w:color="auto"/>
              <w:left w:val="nil"/>
              <w:bottom w:val="single" w:sz="8" w:space="0" w:color="auto"/>
              <w:right w:val="single" w:sz="8" w:space="0" w:color="auto"/>
            </w:tcBorders>
            <w:vAlign w:val="center"/>
          </w:tcPr>
          <w:p w:rsidR="008368B4" w:rsidRPr="004B208C" w:rsidRDefault="008368B4" w:rsidP="00A1385C">
            <w:pPr>
              <w:numPr>
                <w:ilvl w:val="0"/>
                <w:numId w:val="36"/>
              </w:numPr>
              <w:spacing w:before="60" w:after="60"/>
              <w:rPr>
                <w:rFonts w:cs="Tahoma"/>
              </w:rPr>
            </w:pPr>
            <w:r w:rsidRPr="004B208C">
              <w:rPr>
                <w:rFonts w:cs="Tahoma"/>
                <w:color w:val="000000"/>
                <w:szCs w:val="18"/>
              </w:rPr>
              <w:t>Office 365 (Enterprise E3)*</w:t>
            </w:r>
          </w:p>
          <w:p w:rsidR="008368B4" w:rsidRPr="004B208C" w:rsidRDefault="008368B4" w:rsidP="00A1385C">
            <w:pPr>
              <w:numPr>
                <w:ilvl w:val="0"/>
                <w:numId w:val="36"/>
              </w:numPr>
              <w:spacing w:after="60"/>
              <w:rPr>
                <w:rFonts w:cs="Tahoma"/>
              </w:rPr>
            </w:pPr>
            <w:r w:rsidRPr="004B208C">
              <w:rPr>
                <w:rFonts w:cs="Tahoma"/>
                <w:color w:val="000000"/>
                <w:szCs w:val="18"/>
              </w:rPr>
              <w:t>Office 365 (Enterprise E4)*</w:t>
            </w:r>
          </w:p>
          <w:p w:rsidR="008368B4" w:rsidRPr="004B208C" w:rsidRDefault="008368B4" w:rsidP="00A1385C">
            <w:pPr>
              <w:numPr>
                <w:ilvl w:val="0"/>
                <w:numId w:val="36"/>
              </w:numPr>
              <w:spacing w:after="60"/>
              <w:rPr>
                <w:rFonts w:cs="Tahoma"/>
              </w:rPr>
            </w:pPr>
            <w:r w:rsidRPr="004B208C">
              <w:rPr>
                <w:rFonts w:cs="Tahoma"/>
                <w:color w:val="000000"/>
                <w:szCs w:val="18"/>
              </w:rPr>
              <w:t>Office 365 (Government G3)*</w:t>
            </w:r>
          </w:p>
          <w:p w:rsidR="008368B4" w:rsidRPr="004B208C" w:rsidRDefault="008368B4" w:rsidP="00A1385C">
            <w:pPr>
              <w:numPr>
                <w:ilvl w:val="0"/>
                <w:numId w:val="36"/>
              </w:numPr>
              <w:spacing w:after="60"/>
              <w:rPr>
                <w:rFonts w:cs="Tahoma"/>
              </w:rPr>
            </w:pPr>
            <w:r w:rsidRPr="004B208C">
              <w:rPr>
                <w:rFonts w:cs="Tahoma"/>
                <w:color w:val="000000"/>
                <w:szCs w:val="18"/>
              </w:rPr>
              <w:t>Office 365 (Government G4)*</w:t>
            </w:r>
          </w:p>
          <w:p w:rsidR="002D25C8" w:rsidRPr="004B208C" w:rsidRDefault="002D25C8" w:rsidP="0055442E">
            <w:pPr>
              <w:ind w:left="720"/>
              <w:rPr>
                <w:rFonts w:cs="Tahoma"/>
                <w:color w:val="000000"/>
              </w:rPr>
            </w:pPr>
          </w:p>
        </w:tc>
      </w:tr>
      <w:tr w:rsidR="00454646" w:rsidRPr="004B208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B208C" w:rsidRDefault="00454646" w:rsidP="00B1054F">
            <w:pPr>
              <w:spacing w:before="60" w:after="60"/>
              <w:ind w:left="144"/>
              <w:rPr>
                <w:rFonts w:cs="Tahoma"/>
              </w:rPr>
            </w:pPr>
            <w:r w:rsidRPr="004B208C">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4B208C" w:rsidRDefault="00454646" w:rsidP="00A1385C">
            <w:pPr>
              <w:numPr>
                <w:ilvl w:val="0"/>
                <w:numId w:val="36"/>
              </w:numPr>
              <w:spacing w:before="60" w:after="60"/>
              <w:rPr>
                <w:rFonts w:cs="Tahoma"/>
                <w:color w:val="000000" w:themeColor="text1"/>
              </w:rPr>
            </w:pPr>
            <w:r w:rsidRPr="004B208C">
              <w:rPr>
                <w:rFonts w:cs="Tahoma"/>
                <w:color w:val="000000" w:themeColor="text1"/>
              </w:rPr>
              <w:t>Project Pro para Office 365</w:t>
            </w:r>
          </w:p>
        </w:tc>
      </w:tr>
      <w:tr w:rsidR="00454646" w:rsidRPr="004B208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B208C" w:rsidRDefault="00454646" w:rsidP="00B1054F">
            <w:pPr>
              <w:spacing w:before="60" w:after="60"/>
              <w:ind w:left="144"/>
              <w:rPr>
                <w:rFonts w:cs="Tahoma"/>
              </w:rPr>
            </w:pPr>
            <w:r w:rsidRPr="004B208C">
              <w:rPr>
                <w:rFonts w:cs="Tahoma"/>
              </w:rPr>
              <w:t>CAL do Project Server</w:t>
            </w:r>
          </w:p>
        </w:tc>
        <w:tc>
          <w:tcPr>
            <w:tcW w:w="4334" w:type="dxa"/>
            <w:tcBorders>
              <w:top w:val="single" w:sz="8" w:space="0" w:color="auto"/>
              <w:left w:val="nil"/>
              <w:bottom w:val="single" w:sz="8" w:space="0" w:color="auto"/>
              <w:right w:val="single" w:sz="8" w:space="0" w:color="auto"/>
            </w:tcBorders>
            <w:vAlign w:val="center"/>
          </w:tcPr>
          <w:p w:rsidR="00454646" w:rsidRPr="004B208C" w:rsidRDefault="00454646" w:rsidP="00A1385C">
            <w:pPr>
              <w:numPr>
                <w:ilvl w:val="0"/>
                <w:numId w:val="36"/>
              </w:numPr>
              <w:spacing w:before="60" w:after="60"/>
              <w:rPr>
                <w:rFonts w:cs="Tahoma"/>
                <w:color w:val="000000" w:themeColor="text1"/>
              </w:rPr>
            </w:pPr>
            <w:r w:rsidRPr="004B208C">
              <w:rPr>
                <w:rFonts w:cs="Tahoma"/>
                <w:color w:val="000000" w:themeColor="text1"/>
              </w:rPr>
              <w:t>Project Online</w:t>
            </w:r>
          </w:p>
        </w:tc>
      </w:tr>
      <w:tr w:rsidR="00454646" w:rsidRPr="004B208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4B208C" w:rsidRDefault="00454646" w:rsidP="00B1054F">
            <w:pPr>
              <w:spacing w:before="60" w:after="60"/>
              <w:ind w:left="144"/>
              <w:rPr>
                <w:rFonts w:cs="Tahoma"/>
              </w:rPr>
            </w:pPr>
            <w:r w:rsidRPr="004B208C">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4B208C" w:rsidRDefault="00454646" w:rsidP="00A1385C">
            <w:pPr>
              <w:numPr>
                <w:ilvl w:val="0"/>
                <w:numId w:val="36"/>
              </w:numPr>
              <w:spacing w:before="60" w:after="60"/>
              <w:rPr>
                <w:rFonts w:cs="Tahoma"/>
                <w:color w:val="000000" w:themeColor="text1"/>
              </w:rPr>
            </w:pPr>
            <w:r w:rsidRPr="004B208C">
              <w:rPr>
                <w:rFonts w:cs="Tahoma"/>
                <w:color w:val="000000" w:themeColor="text1"/>
              </w:rPr>
              <w:t>Visio Pro para Office 365</w:t>
            </w:r>
          </w:p>
        </w:tc>
      </w:tr>
      <w:tr w:rsidR="00B1054F" w:rsidRPr="004B208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B208C" w:rsidRDefault="00B1054F" w:rsidP="00B1054F">
            <w:pPr>
              <w:spacing w:before="60" w:after="60"/>
              <w:ind w:left="144"/>
              <w:rPr>
                <w:rFonts w:cs="Tahoma"/>
              </w:rPr>
            </w:pPr>
            <w:r w:rsidRPr="004B208C">
              <w:rPr>
                <w:rFonts w:cs="Tahoma"/>
              </w:rPr>
              <w:t xml:space="preserve">Atualização do Windows Pro </w:t>
            </w:r>
          </w:p>
        </w:tc>
        <w:tc>
          <w:tcPr>
            <w:tcW w:w="4334" w:type="dxa"/>
            <w:tcBorders>
              <w:top w:val="single" w:sz="8" w:space="0" w:color="auto"/>
              <w:left w:val="nil"/>
              <w:bottom w:val="single" w:sz="8" w:space="0" w:color="auto"/>
              <w:right w:val="single" w:sz="8" w:space="0" w:color="auto"/>
            </w:tcBorders>
            <w:vAlign w:val="center"/>
          </w:tcPr>
          <w:p w:rsidR="00B1054F" w:rsidRPr="004B208C" w:rsidRDefault="00B1054F" w:rsidP="00A1385C">
            <w:pPr>
              <w:numPr>
                <w:ilvl w:val="0"/>
                <w:numId w:val="36"/>
              </w:numPr>
              <w:spacing w:before="60" w:after="60"/>
              <w:rPr>
                <w:rFonts w:cs="Tahoma"/>
                <w:color w:val="000000"/>
                <w:szCs w:val="18"/>
              </w:rPr>
            </w:pPr>
            <w:r w:rsidRPr="004B208C">
              <w:rPr>
                <w:rFonts w:cs="Tahoma"/>
                <w:color w:val="000000" w:themeColor="text1"/>
              </w:rPr>
              <w:t>Windows Virtual Desktop Access</w:t>
            </w:r>
          </w:p>
        </w:tc>
      </w:tr>
      <w:tr w:rsidR="00B1054F" w:rsidRPr="004B208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B208C" w:rsidRDefault="00B1054F" w:rsidP="00B1054F">
            <w:pPr>
              <w:spacing w:before="60" w:after="60"/>
              <w:ind w:left="144"/>
              <w:rPr>
                <w:rFonts w:cs="Tahoma"/>
              </w:rPr>
            </w:pPr>
            <w:r w:rsidRPr="004B208C">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4B208C" w:rsidRDefault="00B1054F" w:rsidP="00A1385C">
            <w:pPr>
              <w:numPr>
                <w:ilvl w:val="0"/>
                <w:numId w:val="36"/>
              </w:numPr>
              <w:spacing w:before="60" w:after="60"/>
              <w:rPr>
                <w:rFonts w:cs="Tahoma"/>
                <w:color w:val="000000"/>
                <w:szCs w:val="18"/>
              </w:rPr>
            </w:pPr>
            <w:r w:rsidRPr="004B208C">
              <w:rPr>
                <w:rFonts w:cs="Tahoma"/>
                <w:color w:val="000000" w:themeColor="text1"/>
              </w:rPr>
              <w:t>Licença de Assinatura do Windows Companion</w:t>
            </w:r>
          </w:p>
        </w:tc>
      </w:tr>
      <w:tr w:rsidR="00B1054F" w:rsidRPr="004B208C"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4B208C" w:rsidRDefault="00B1054F" w:rsidP="00B1054F">
            <w:pPr>
              <w:spacing w:before="60" w:after="60"/>
              <w:ind w:left="144"/>
              <w:rPr>
                <w:rFonts w:cs="Tahoma"/>
              </w:rPr>
            </w:pPr>
            <w:r w:rsidRPr="004B208C">
              <w:rPr>
                <w:rFonts w:cs="Tahoma"/>
              </w:rPr>
              <w:t>Atualização do Windows Pro</w:t>
            </w:r>
          </w:p>
        </w:tc>
        <w:tc>
          <w:tcPr>
            <w:tcW w:w="4334" w:type="dxa"/>
            <w:tcBorders>
              <w:top w:val="single" w:sz="8" w:space="0" w:color="auto"/>
              <w:left w:val="nil"/>
              <w:bottom w:val="single" w:sz="8" w:space="0" w:color="auto"/>
              <w:right w:val="single" w:sz="8" w:space="0" w:color="auto"/>
            </w:tcBorders>
            <w:vAlign w:val="center"/>
          </w:tcPr>
          <w:p w:rsidR="00B1054F" w:rsidRPr="004B208C" w:rsidRDefault="00B1054F" w:rsidP="00A1385C">
            <w:pPr>
              <w:numPr>
                <w:ilvl w:val="0"/>
                <w:numId w:val="36"/>
              </w:numPr>
              <w:spacing w:before="60" w:after="60"/>
              <w:rPr>
                <w:rFonts w:cs="Tahoma"/>
                <w:color w:val="000000"/>
                <w:szCs w:val="18"/>
              </w:rPr>
            </w:pPr>
            <w:r w:rsidRPr="004B208C">
              <w:rPr>
                <w:rFonts w:cs="Tahoma"/>
                <w:color w:val="000000" w:themeColor="text1"/>
              </w:rPr>
              <w:t>Licença de Assinatura do Windows Companion</w:t>
            </w:r>
          </w:p>
        </w:tc>
      </w:tr>
    </w:tbl>
    <w:p w:rsidR="00456002" w:rsidRPr="004B208C" w:rsidRDefault="00456002" w:rsidP="00456002">
      <w:pPr>
        <w:tabs>
          <w:tab w:val="left" w:pos="360"/>
        </w:tabs>
        <w:ind w:left="720"/>
        <w:rPr>
          <w:rFonts w:cs="Tahoma"/>
        </w:rPr>
      </w:pPr>
      <w:r w:rsidRPr="004B208C">
        <w:rPr>
          <w:rFonts w:cs="Tahoma"/>
          <w:i/>
          <w:sz w:val="16"/>
          <w:szCs w:val="20"/>
        </w:rPr>
        <w:t>* Requer Bridge do Pacote de CALs adequado. Para obter mais informações sobre o Bridge do Pacote de CALs, consulte a</w:t>
      </w:r>
      <w:r w:rsidR="00171160">
        <w:rPr>
          <w:rFonts w:cs="Tahoma"/>
          <w:i/>
          <w:sz w:val="16"/>
          <w:szCs w:val="20"/>
        </w:rPr>
        <w:t> </w:t>
      </w:r>
      <w:r w:rsidRPr="004B208C">
        <w:rPr>
          <w:rFonts w:cs="Tahoma"/>
          <w:i/>
          <w:sz w:val="16"/>
          <w:szCs w:val="20"/>
        </w:rPr>
        <w:t>seção de notas do produto neste documento.</w:t>
      </w:r>
    </w:p>
    <w:p w:rsidR="00252E73" w:rsidRPr="004B208C" w:rsidRDefault="00252E73" w:rsidP="00252E73">
      <w:pPr>
        <w:tabs>
          <w:tab w:val="left" w:pos="360"/>
        </w:tabs>
        <w:ind w:left="720"/>
        <w:rPr>
          <w:rFonts w:cs="Tahoma"/>
        </w:rPr>
      </w:pPr>
      <w:r w:rsidRPr="004B208C">
        <w:rPr>
          <w:rFonts w:cs="Tahoma"/>
          <w:i/>
          <w:sz w:val="16"/>
          <w:szCs w:val="20"/>
        </w:rPr>
        <w:t>**</w:t>
      </w:r>
      <w:r w:rsidR="00171160">
        <w:rPr>
          <w:rFonts w:cs="Tahoma"/>
          <w:i/>
          <w:sz w:val="16"/>
          <w:szCs w:val="20"/>
        </w:rPr>
        <w:t xml:space="preserve"> </w:t>
      </w:r>
      <w:r w:rsidRPr="004B208C">
        <w:rPr>
          <w:rFonts w:cs="Tahoma"/>
          <w:i/>
          <w:sz w:val="16"/>
          <w:szCs w:val="20"/>
        </w:rPr>
        <w:t>O Office 365 ProPlus é um Produto Empresarial e também pode atender aos requisitos para toda a Empresa.</w:t>
      </w:r>
    </w:p>
    <w:p w:rsidR="00252E73" w:rsidRPr="00171160" w:rsidRDefault="00252E73" w:rsidP="00456002">
      <w:pPr>
        <w:tabs>
          <w:tab w:val="left" w:pos="360"/>
        </w:tabs>
        <w:ind w:left="720"/>
        <w:rPr>
          <w:rFonts w:cs="Tahoma"/>
          <w:i/>
          <w:sz w:val="16"/>
          <w:szCs w:val="20"/>
        </w:rPr>
      </w:pPr>
    </w:p>
    <w:p w:rsidR="00456002" w:rsidRPr="004B208C" w:rsidRDefault="00456002" w:rsidP="00456002">
      <w:pPr>
        <w:tabs>
          <w:tab w:val="left" w:pos="360"/>
        </w:tabs>
        <w:ind w:left="720"/>
        <w:rPr>
          <w:rFonts w:cs="Tahoma"/>
        </w:rPr>
      </w:pPr>
    </w:p>
    <w:p w:rsidR="00456002" w:rsidRPr="004B208C" w:rsidRDefault="00456002" w:rsidP="00366502">
      <w:pPr>
        <w:rPr>
          <w:rFonts w:cs="Tahoma"/>
        </w:rPr>
      </w:pPr>
      <w:r w:rsidRPr="004B208C">
        <w:rPr>
          <w:rFonts w:cs="Tahoma"/>
          <w:szCs w:val="20"/>
        </w:rPr>
        <w:t>Outras Transições podem ser adicionadas a critério da Microsoft.</w:t>
      </w:r>
      <w:r w:rsidR="00172F11">
        <w:rPr>
          <w:rFonts w:cs="Tahoma"/>
          <w:szCs w:val="20"/>
        </w:rPr>
        <w:t xml:space="preserve"> </w:t>
      </w:r>
      <w:r w:rsidRPr="004B208C">
        <w:rPr>
          <w:rFonts w:cs="Tahoma"/>
          <w:szCs w:val="20"/>
        </w:rPr>
        <w:t>Valores adicionais e requisitos de licença podem ser</w:t>
      </w:r>
      <w:r w:rsidR="00171160">
        <w:rPr>
          <w:rFonts w:cs="Tahoma"/>
          <w:szCs w:val="20"/>
        </w:rPr>
        <w:t> </w:t>
      </w:r>
      <w:r w:rsidRPr="004B208C">
        <w:rPr>
          <w:rFonts w:cs="Tahoma"/>
          <w:szCs w:val="20"/>
        </w:rPr>
        <w:t>aplicáveis.</w:t>
      </w:r>
      <w:r w:rsidR="00172F11">
        <w:rPr>
          <w:rFonts w:cs="Tahoma"/>
          <w:szCs w:val="20"/>
        </w:rPr>
        <w:t xml:space="preserve"> </w:t>
      </w:r>
    </w:p>
    <w:p w:rsidR="00456002" w:rsidRPr="004B208C" w:rsidRDefault="00456002" w:rsidP="0055442E">
      <w:pPr>
        <w:keepNext/>
        <w:tabs>
          <w:tab w:val="num" w:pos="720"/>
        </w:tabs>
        <w:spacing w:after="60"/>
        <w:outlineLvl w:val="3"/>
        <w:rPr>
          <w:rFonts w:cs="Tahoma"/>
        </w:rPr>
      </w:pPr>
      <w:r w:rsidRPr="004B208C">
        <w:rPr>
          <w:rFonts w:cs="Tahoma"/>
          <w:b/>
          <w:szCs w:val="20"/>
        </w:rPr>
        <w:lastRenderedPageBreak/>
        <w:t>Pedidos de adequação (“true-up”) ou anuais dos Serviços Online</w:t>
      </w:r>
      <w:r w:rsidRPr="004B208C">
        <w:rPr>
          <w:rFonts w:eastAsia="Times New Roman" w:cs="Tahoma"/>
          <w:b/>
          <w:sz w:val="22"/>
          <w:szCs w:val="20"/>
        </w:rPr>
        <w:t xml:space="preserve"> </w:t>
      </w:r>
    </w:p>
    <w:p w:rsidR="00456002" w:rsidRPr="004B208C" w:rsidRDefault="00456002" w:rsidP="00366502">
      <w:pPr>
        <w:rPr>
          <w:rFonts w:cs="Tahoma"/>
        </w:rPr>
      </w:pPr>
      <w:r w:rsidRPr="004B208C">
        <w:rPr>
          <w:rFonts w:cs="Tahoma"/>
          <w:b/>
          <w:szCs w:val="20"/>
        </w:rPr>
        <w:t>Observação:</w:t>
      </w:r>
      <w:r w:rsidRPr="004B208C">
        <w:rPr>
          <w:rFonts w:cs="Tahoma"/>
          <w:szCs w:val="20"/>
        </w:rPr>
        <w:t xml:space="preserve"> O seguinte se aplica aos clientes do Registro Enterprise e Enterprise Subscription qualificados para fazerem pedidos de adequação (“true-up”) ou anuais dos serviços online.</w:t>
      </w:r>
      <w:r w:rsidR="00172F11">
        <w:rPr>
          <w:rFonts w:cs="Tahoma"/>
          <w:szCs w:val="20"/>
        </w:rPr>
        <w:t xml:space="preserve"> </w:t>
      </w:r>
      <w:r w:rsidRPr="004B208C">
        <w:rPr>
          <w:rFonts w:cs="Tahoma"/>
          <w:szCs w:val="20"/>
        </w:rPr>
        <w:t>Os clientes que tiverem dúvidas sobre sua</w:t>
      </w:r>
      <w:r w:rsidR="0065137B">
        <w:rPr>
          <w:rFonts w:cs="Tahoma"/>
          <w:szCs w:val="20"/>
        </w:rPr>
        <w:t> </w:t>
      </w:r>
      <w:r w:rsidRPr="004B208C">
        <w:rPr>
          <w:rFonts w:cs="Tahoma"/>
          <w:szCs w:val="20"/>
        </w:rPr>
        <w:t>qualificação para fazer pedidos de adequação (“true-up”) ou anuais dos serviços online devem entrar em contato</w:t>
      </w:r>
      <w:r w:rsidR="0065137B">
        <w:rPr>
          <w:rFonts w:cs="Tahoma"/>
          <w:szCs w:val="20"/>
        </w:rPr>
        <w:t> </w:t>
      </w:r>
      <w:r w:rsidRPr="004B208C">
        <w:rPr>
          <w:rFonts w:cs="Tahoma"/>
          <w:szCs w:val="20"/>
        </w:rPr>
        <w:t>com o Consultor de Software, Revendedor ou Gerente de Conta Microsoft para obter mais informações.</w:t>
      </w:r>
    </w:p>
    <w:p w:rsidR="00456002" w:rsidRPr="004B208C" w:rsidRDefault="00456002" w:rsidP="00366502">
      <w:pPr>
        <w:rPr>
          <w:rFonts w:cs="Tahoma"/>
        </w:rPr>
      </w:pPr>
    </w:p>
    <w:p w:rsidR="00456002" w:rsidRPr="004B208C" w:rsidRDefault="00456002" w:rsidP="00366502">
      <w:pPr>
        <w:rPr>
          <w:rFonts w:cs="Tahoma"/>
        </w:rPr>
      </w:pPr>
      <w:r w:rsidRPr="004B208C">
        <w:rPr>
          <w:rFonts w:cs="Tahoma"/>
          <w:szCs w:val="20"/>
        </w:rPr>
        <w:t xml:space="preserve">Os seguintes Serviços Online estão qualificados para pedido de adequação (“true-up”) ou anual de Serviços Online: </w:t>
      </w:r>
    </w:p>
    <w:p w:rsidR="00456002" w:rsidRPr="004B208C"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61"/>
        <w:gridCol w:w="3954"/>
      </w:tblGrid>
      <w:tr w:rsidR="00456002" w:rsidRPr="004B208C" w:rsidTr="005C647E">
        <w:trPr>
          <w:trHeight w:val="80"/>
          <w:tblHeader/>
        </w:trPr>
        <w:tc>
          <w:tcPr>
            <w:tcW w:w="5000" w:type="pct"/>
            <w:gridSpan w:val="2"/>
            <w:shd w:val="clear" w:color="auto" w:fill="FABF8F"/>
          </w:tcPr>
          <w:p w:rsidR="00456002" w:rsidRPr="004B208C" w:rsidRDefault="00456002" w:rsidP="005C647E">
            <w:pPr>
              <w:jc w:val="center"/>
              <w:rPr>
                <w:rFonts w:cs="Tahoma"/>
                <w:b/>
              </w:rPr>
            </w:pPr>
            <w:r w:rsidRPr="004B208C">
              <w:rPr>
                <w:rFonts w:cs="Tahoma"/>
                <w:b/>
              </w:rPr>
              <w:t>Serviços Online</w:t>
            </w:r>
          </w:p>
        </w:tc>
      </w:tr>
      <w:tr w:rsidR="00456002" w:rsidRPr="004B208C" w:rsidTr="00171160">
        <w:trPr>
          <w:trHeight w:val="219"/>
        </w:trPr>
        <w:tc>
          <w:tcPr>
            <w:tcW w:w="2533" w:type="pct"/>
          </w:tcPr>
          <w:p w:rsidR="00D85FDD" w:rsidRPr="004B208C" w:rsidRDefault="00D85FDD" w:rsidP="00A1385C">
            <w:pPr>
              <w:numPr>
                <w:ilvl w:val="0"/>
                <w:numId w:val="37"/>
              </w:numPr>
              <w:spacing w:before="80"/>
              <w:ind w:left="625" w:hanging="345"/>
              <w:jc w:val="both"/>
              <w:rPr>
                <w:rFonts w:cs="Tahoma"/>
              </w:rPr>
            </w:pPr>
            <w:r w:rsidRPr="004B208C">
              <w:rPr>
                <w:rFonts w:cs="Tahoma"/>
              </w:rPr>
              <w:t>Arquivamento</w:t>
            </w:r>
            <w:r w:rsidR="00171160">
              <w:rPr>
                <w:rFonts w:cs="Tahoma"/>
              </w:rPr>
              <w:t> </w:t>
            </w:r>
            <w:r w:rsidRPr="004B208C">
              <w:rPr>
                <w:rFonts w:cs="Tahoma"/>
              </w:rPr>
              <w:t>do</w:t>
            </w:r>
            <w:r w:rsidR="00171160">
              <w:rPr>
                <w:rFonts w:cs="Tahoma"/>
              </w:rPr>
              <w:t> </w:t>
            </w:r>
            <w:r w:rsidRPr="004B208C">
              <w:rPr>
                <w:rFonts w:cs="Tahoma"/>
              </w:rPr>
              <w:t>Exchange</w:t>
            </w:r>
            <w:r w:rsidR="00171160">
              <w:rPr>
                <w:rFonts w:cs="Tahoma"/>
              </w:rPr>
              <w:t> </w:t>
            </w:r>
            <w:r w:rsidRPr="004B208C">
              <w:rPr>
                <w:rFonts w:cs="Tahoma"/>
              </w:rPr>
              <w:t>Online</w:t>
            </w:r>
            <w:r w:rsidR="00171160">
              <w:rPr>
                <w:rFonts w:cs="Tahoma"/>
              </w:rPr>
              <w:t> </w:t>
            </w:r>
            <w:r w:rsidRPr="004B208C">
              <w:rPr>
                <w:rFonts w:cs="Tahoma"/>
              </w:rPr>
              <w:t>para Exchange Online*</w:t>
            </w:r>
          </w:p>
          <w:p w:rsidR="00D85FDD" w:rsidRPr="004B208C" w:rsidRDefault="00D85FDD" w:rsidP="00A1385C">
            <w:pPr>
              <w:numPr>
                <w:ilvl w:val="0"/>
                <w:numId w:val="37"/>
              </w:numPr>
              <w:spacing w:before="80"/>
              <w:ind w:left="625" w:hanging="345"/>
              <w:jc w:val="both"/>
              <w:rPr>
                <w:rFonts w:cs="Tahoma"/>
              </w:rPr>
            </w:pPr>
            <w:r w:rsidRPr="004B208C">
              <w:rPr>
                <w:rFonts w:cs="Tahoma"/>
              </w:rPr>
              <w:t>Arquivamento</w:t>
            </w:r>
            <w:r w:rsidR="00171160">
              <w:rPr>
                <w:rFonts w:cs="Tahoma"/>
              </w:rPr>
              <w:t> </w:t>
            </w:r>
            <w:r w:rsidRPr="004B208C">
              <w:rPr>
                <w:rFonts w:cs="Tahoma"/>
              </w:rPr>
              <w:t>do</w:t>
            </w:r>
            <w:r w:rsidR="00171160">
              <w:rPr>
                <w:rFonts w:cs="Tahoma"/>
              </w:rPr>
              <w:t> </w:t>
            </w:r>
            <w:r w:rsidRPr="004B208C">
              <w:rPr>
                <w:rFonts w:cs="Tahoma"/>
              </w:rPr>
              <w:t>Exchange</w:t>
            </w:r>
            <w:r w:rsidR="00171160">
              <w:rPr>
                <w:rFonts w:cs="Tahoma"/>
              </w:rPr>
              <w:t> </w:t>
            </w:r>
            <w:r w:rsidRPr="004B208C">
              <w:rPr>
                <w:rFonts w:cs="Tahoma"/>
              </w:rPr>
              <w:t>Online</w:t>
            </w:r>
            <w:r w:rsidR="00171160">
              <w:rPr>
                <w:rFonts w:cs="Tahoma"/>
              </w:rPr>
              <w:t> </w:t>
            </w:r>
            <w:r w:rsidRPr="004B208C">
              <w:rPr>
                <w:rFonts w:cs="Tahoma"/>
              </w:rPr>
              <w:t>para Exchange Server*</w:t>
            </w:r>
          </w:p>
          <w:p w:rsidR="00456002" w:rsidRPr="004B208C" w:rsidRDefault="00456002" w:rsidP="00A1385C">
            <w:pPr>
              <w:numPr>
                <w:ilvl w:val="0"/>
                <w:numId w:val="37"/>
              </w:numPr>
              <w:spacing w:before="80"/>
              <w:ind w:left="625" w:hanging="345"/>
              <w:jc w:val="both"/>
              <w:rPr>
                <w:rFonts w:cs="Tahoma"/>
              </w:rPr>
            </w:pPr>
            <w:r w:rsidRPr="004B208C">
              <w:rPr>
                <w:rFonts w:cs="Tahoma"/>
              </w:rPr>
              <w:t>Quiosque do Exchange Online*</w:t>
            </w:r>
          </w:p>
          <w:p w:rsidR="00456002" w:rsidRPr="004B208C" w:rsidRDefault="00456002" w:rsidP="00A1385C">
            <w:pPr>
              <w:numPr>
                <w:ilvl w:val="0"/>
                <w:numId w:val="37"/>
              </w:numPr>
              <w:spacing w:before="80"/>
              <w:ind w:left="625" w:hanging="345"/>
              <w:jc w:val="both"/>
              <w:rPr>
                <w:rFonts w:cs="Tahoma"/>
              </w:rPr>
            </w:pPr>
            <w:r w:rsidRPr="004B208C">
              <w:rPr>
                <w:rFonts w:cs="Tahoma"/>
              </w:rPr>
              <w:t>Exchange Online Plano 1*</w:t>
            </w:r>
          </w:p>
          <w:p w:rsidR="00456002" w:rsidRPr="004B208C" w:rsidRDefault="00456002" w:rsidP="00A1385C">
            <w:pPr>
              <w:numPr>
                <w:ilvl w:val="0"/>
                <w:numId w:val="37"/>
              </w:numPr>
              <w:spacing w:before="80"/>
              <w:ind w:left="625" w:hanging="345"/>
              <w:jc w:val="both"/>
              <w:rPr>
                <w:rFonts w:cs="Tahoma"/>
              </w:rPr>
            </w:pPr>
            <w:r w:rsidRPr="004B208C">
              <w:rPr>
                <w:rFonts w:cs="Tahoma"/>
              </w:rPr>
              <w:t>Exchange Online Plano 2*</w:t>
            </w:r>
          </w:p>
          <w:p w:rsidR="00D85FDD" w:rsidRPr="004B208C" w:rsidRDefault="00D85FDD" w:rsidP="00A1385C">
            <w:pPr>
              <w:numPr>
                <w:ilvl w:val="0"/>
                <w:numId w:val="37"/>
              </w:numPr>
              <w:spacing w:before="80"/>
              <w:ind w:left="625" w:hanging="345"/>
              <w:jc w:val="both"/>
              <w:rPr>
                <w:rFonts w:cs="Tahoma"/>
              </w:rPr>
            </w:pPr>
            <w:r w:rsidRPr="004B208C">
              <w:rPr>
                <w:rFonts w:cs="Tahoma"/>
              </w:rPr>
              <w:t>Exchange Online Protection*</w:t>
            </w:r>
          </w:p>
          <w:p w:rsidR="00456002" w:rsidRPr="004B208C" w:rsidRDefault="00456002" w:rsidP="00A1385C">
            <w:pPr>
              <w:numPr>
                <w:ilvl w:val="0"/>
                <w:numId w:val="37"/>
              </w:numPr>
              <w:spacing w:before="80"/>
              <w:ind w:left="625" w:hanging="345"/>
              <w:jc w:val="both"/>
              <w:rPr>
                <w:rFonts w:cs="Tahoma"/>
              </w:rPr>
            </w:pPr>
            <w:r w:rsidRPr="004B208C">
              <w:rPr>
                <w:rFonts w:cs="Tahoma"/>
              </w:rPr>
              <w:t>Lync Online Plano 1*</w:t>
            </w:r>
          </w:p>
          <w:p w:rsidR="00456002" w:rsidRPr="004B208C" w:rsidRDefault="00456002" w:rsidP="00A1385C">
            <w:pPr>
              <w:numPr>
                <w:ilvl w:val="0"/>
                <w:numId w:val="37"/>
              </w:numPr>
              <w:spacing w:before="80"/>
              <w:ind w:left="625" w:hanging="345"/>
              <w:jc w:val="both"/>
              <w:rPr>
                <w:rFonts w:cs="Tahoma"/>
              </w:rPr>
            </w:pPr>
            <w:r w:rsidRPr="004B208C">
              <w:rPr>
                <w:rFonts w:cs="Tahoma"/>
              </w:rPr>
              <w:t>Lync Online Plano 2*</w:t>
            </w:r>
          </w:p>
          <w:p w:rsidR="00E77288" w:rsidRPr="004B208C" w:rsidRDefault="00E77288" w:rsidP="00A1385C">
            <w:pPr>
              <w:numPr>
                <w:ilvl w:val="0"/>
                <w:numId w:val="37"/>
              </w:numPr>
              <w:spacing w:before="80"/>
              <w:ind w:left="625" w:hanging="345"/>
              <w:jc w:val="both"/>
              <w:rPr>
                <w:rFonts w:cs="Tahoma"/>
              </w:rPr>
            </w:pPr>
            <w:r w:rsidRPr="004B208C">
              <w:rPr>
                <w:rFonts w:cs="Tahoma"/>
              </w:rPr>
              <w:t>Lync Online Plano 3*</w:t>
            </w:r>
          </w:p>
          <w:p w:rsidR="00456002" w:rsidRPr="004B208C" w:rsidRDefault="00456002" w:rsidP="00A1385C">
            <w:pPr>
              <w:numPr>
                <w:ilvl w:val="0"/>
                <w:numId w:val="37"/>
              </w:numPr>
              <w:spacing w:before="80"/>
              <w:ind w:left="625" w:hanging="345"/>
              <w:jc w:val="both"/>
              <w:rPr>
                <w:rFonts w:cs="Tahoma"/>
              </w:rPr>
            </w:pPr>
            <w:r w:rsidRPr="004B208C">
              <w:rPr>
                <w:rFonts w:cs="Tahoma"/>
              </w:rPr>
              <w:t>Office 365 (Enterprise K1)*</w:t>
            </w:r>
          </w:p>
          <w:p w:rsidR="00456002" w:rsidRPr="004B208C" w:rsidRDefault="00456002" w:rsidP="00A1385C">
            <w:pPr>
              <w:numPr>
                <w:ilvl w:val="0"/>
                <w:numId w:val="37"/>
              </w:numPr>
              <w:spacing w:before="80"/>
              <w:ind w:left="625" w:hanging="345"/>
              <w:jc w:val="both"/>
              <w:rPr>
                <w:rFonts w:cs="Tahoma"/>
              </w:rPr>
            </w:pPr>
            <w:r w:rsidRPr="004B208C">
              <w:rPr>
                <w:rFonts w:cs="Tahoma"/>
              </w:rPr>
              <w:t>Office 365 (Enterprise E1)</w:t>
            </w:r>
          </w:p>
          <w:p w:rsidR="00456002" w:rsidRPr="004B208C" w:rsidRDefault="00456002" w:rsidP="00A1385C">
            <w:pPr>
              <w:numPr>
                <w:ilvl w:val="0"/>
                <w:numId w:val="37"/>
              </w:numPr>
              <w:spacing w:before="80"/>
              <w:ind w:left="625" w:hanging="345"/>
              <w:jc w:val="both"/>
              <w:rPr>
                <w:rFonts w:cs="Tahoma"/>
              </w:rPr>
            </w:pPr>
            <w:r w:rsidRPr="004B208C">
              <w:rPr>
                <w:rFonts w:cs="Tahoma"/>
              </w:rPr>
              <w:t>Office 365 (Enterprise E3)</w:t>
            </w:r>
          </w:p>
          <w:p w:rsidR="00456002" w:rsidRPr="004B208C" w:rsidRDefault="00456002" w:rsidP="00A1385C">
            <w:pPr>
              <w:numPr>
                <w:ilvl w:val="0"/>
                <w:numId w:val="37"/>
              </w:numPr>
              <w:spacing w:before="80"/>
              <w:ind w:left="625" w:hanging="345"/>
              <w:jc w:val="both"/>
              <w:rPr>
                <w:rFonts w:cs="Tahoma"/>
              </w:rPr>
            </w:pPr>
            <w:r w:rsidRPr="004B208C">
              <w:rPr>
                <w:rFonts w:cs="Tahoma"/>
              </w:rPr>
              <w:t>Office 365 (Enterprise E4)</w:t>
            </w:r>
          </w:p>
        </w:tc>
        <w:tc>
          <w:tcPr>
            <w:tcW w:w="2467" w:type="pct"/>
          </w:tcPr>
          <w:p w:rsidR="00A32052" w:rsidRPr="004B208C" w:rsidRDefault="00A32052" w:rsidP="00A1385C">
            <w:pPr>
              <w:numPr>
                <w:ilvl w:val="0"/>
                <w:numId w:val="37"/>
              </w:numPr>
              <w:spacing w:before="80"/>
              <w:ind w:left="692"/>
              <w:jc w:val="both"/>
              <w:rPr>
                <w:rFonts w:cs="Tahoma"/>
              </w:rPr>
            </w:pPr>
            <w:r w:rsidRPr="004B208C">
              <w:rPr>
                <w:rFonts w:cs="Tahoma"/>
                <w:color w:val="000000"/>
              </w:rPr>
              <w:t>Office 365 (Government G1)</w:t>
            </w:r>
          </w:p>
          <w:p w:rsidR="00A32052" w:rsidRPr="004B208C" w:rsidRDefault="00A32052" w:rsidP="00A1385C">
            <w:pPr>
              <w:numPr>
                <w:ilvl w:val="0"/>
                <w:numId w:val="37"/>
              </w:numPr>
              <w:spacing w:before="80"/>
              <w:ind w:left="692"/>
              <w:jc w:val="both"/>
              <w:rPr>
                <w:rFonts w:cs="Tahoma"/>
              </w:rPr>
            </w:pPr>
            <w:r w:rsidRPr="004B208C">
              <w:rPr>
                <w:rFonts w:cs="Tahoma"/>
                <w:color w:val="000000"/>
              </w:rPr>
              <w:t>Office 365 (Government G3)</w:t>
            </w:r>
          </w:p>
          <w:p w:rsidR="00A32052" w:rsidRPr="004B208C" w:rsidRDefault="00A32052" w:rsidP="00A1385C">
            <w:pPr>
              <w:numPr>
                <w:ilvl w:val="0"/>
                <w:numId w:val="37"/>
              </w:numPr>
              <w:spacing w:before="80"/>
              <w:ind w:left="692"/>
              <w:jc w:val="both"/>
              <w:rPr>
                <w:rFonts w:cs="Tahoma"/>
              </w:rPr>
            </w:pPr>
            <w:r w:rsidRPr="004B208C">
              <w:rPr>
                <w:rFonts w:cs="Tahoma"/>
                <w:color w:val="000000"/>
              </w:rPr>
              <w:t>Office 365 (Government G4)</w:t>
            </w:r>
          </w:p>
          <w:p w:rsidR="00252E73" w:rsidRPr="004B208C" w:rsidRDefault="00252E73" w:rsidP="00A1385C">
            <w:pPr>
              <w:numPr>
                <w:ilvl w:val="0"/>
                <w:numId w:val="37"/>
              </w:numPr>
              <w:spacing w:before="80"/>
              <w:ind w:left="692"/>
              <w:jc w:val="both"/>
              <w:rPr>
                <w:rFonts w:cs="Tahoma"/>
              </w:rPr>
            </w:pPr>
            <w:r w:rsidRPr="004B208C">
              <w:rPr>
                <w:rFonts w:cs="Tahoma"/>
                <w:color w:val="000000"/>
              </w:rPr>
              <w:t>Office 365 ProPlus**</w:t>
            </w:r>
          </w:p>
          <w:p w:rsidR="00456002" w:rsidRPr="004B208C" w:rsidRDefault="00456002" w:rsidP="00A1385C">
            <w:pPr>
              <w:numPr>
                <w:ilvl w:val="0"/>
                <w:numId w:val="37"/>
              </w:numPr>
              <w:spacing w:before="80"/>
              <w:ind w:left="692"/>
              <w:jc w:val="both"/>
              <w:rPr>
                <w:rFonts w:cs="Tahoma"/>
              </w:rPr>
            </w:pPr>
            <w:r w:rsidRPr="004B208C">
              <w:rPr>
                <w:rFonts w:cs="Tahoma"/>
                <w:color w:val="000000"/>
              </w:rPr>
              <w:t>Office Web Applications*</w:t>
            </w:r>
          </w:p>
          <w:p w:rsidR="00454646" w:rsidRPr="004B208C" w:rsidRDefault="00454646" w:rsidP="00A1385C">
            <w:pPr>
              <w:numPr>
                <w:ilvl w:val="0"/>
                <w:numId w:val="37"/>
              </w:numPr>
              <w:spacing w:before="80"/>
              <w:ind w:left="692"/>
              <w:jc w:val="both"/>
              <w:rPr>
                <w:rFonts w:cs="Tahoma"/>
              </w:rPr>
            </w:pPr>
            <w:r w:rsidRPr="004B208C">
              <w:rPr>
                <w:rFonts w:cs="Tahoma"/>
                <w:color w:val="000000"/>
              </w:rPr>
              <w:t>Project Pro para Office 365*</w:t>
            </w:r>
          </w:p>
          <w:p w:rsidR="00454646" w:rsidRPr="004B208C" w:rsidRDefault="00454646" w:rsidP="00A1385C">
            <w:pPr>
              <w:numPr>
                <w:ilvl w:val="0"/>
                <w:numId w:val="37"/>
              </w:numPr>
              <w:spacing w:before="80"/>
              <w:ind w:left="692"/>
              <w:jc w:val="both"/>
              <w:rPr>
                <w:rFonts w:cs="Tahoma"/>
              </w:rPr>
            </w:pPr>
            <w:r w:rsidRPr="004B208C">
              <w:rPr>
                <w:rFonts w:cs="Tahoma"/>
                <w:color w:val="000000"/>
              </w:rPr>
              <w:t>Project Online*</w:t>
            </w:r>
          </w:p>
          <w:p w:rsidR="00456002" w:rsidRPr="004B208C" w:rsidRDefault="00456002" w:rsidP="00A1385C">
            <w:pPr>
              <w:numPr>
                <w:ilvl w:val="0"/>
                <w:numId w:val="37"/>
              </w:numPr>
              <w:spacing w:before="80"/>
              <w:ind w:left="692"/>
              <w:jc w:val="both"/>
              <w:rPr>
                <w:rFonts w:cs="Tahoma"/>
              </w:rPr>
            </w:pPr>
            <w:r w:rsidRPr="004B208C">
              <w:rPr>
                <w:rFonts w:cs="Tahoma"/>
                <w:color w:val="000000"/>
              </w:rPr>
              <w:t>SharePoint Online Plano 1*</w:t>
            </w:r>
          </w:p>
          <w:p w:rsidR="00456002" w:rsidRPr="004B208C" w:rsidRDefault="00456002" w:rsidP="00A1385C">
            <w:pPr>
              <w:numPr>
                <w:ilvl w:val="0"/>
                <w:numId w:val="37"/>
              </w:numPr>
              <w:spacing w:before="80"/>
              <w:ind w:left="692"/>
              <w:jc w:val="both"/>
              <w:rPr>
                <w:rFonts w:cs="Tahoma"/>
              </w:rPr>
            </w:pPr>
            <w:r w:rsidRPr="004B208C">
              <w:rPr>
                <w:rFonts w:cs="Tahoma"/>
                <w:color w:val="000000"/>
              </w:rPr>
              <w:t>SharePoint Online Plano 2*</w:t>
            </w:r>
          </w:p>
          <w:p w:rsidR="00456002" w:rsidRPr="004B208C" w:rsidRDefault="00456002" w:rsidP="00A1385C">
            <w:pPr>
              <w:numPr>
                <w:ilvl w:val="0"/>
                <w:numId w:val="37"/>
              </w:numPr>
              <w:spacing w:before="80"/>
              <w:ind w:left="692"/>
              <w:jc w:val="both"/>
              <w:rPr>
                <w:rFonts w:cs="Tahoma"/>
              </w:rPr>
            </w:pPr>
            <w:r w:rsidRPr="004B208C">
              <w:rPr>
                <w:rFonts w:cs="Tahoma"/>
                <w:color w:val="000000"/>
              </w:rPr>
              <w:t>Acesso</w:t>
            </w:r>
            <w:r w:rsidR="00B44A80">
              <w:rPr>
                <w:rFonts w:cs="Tahoma"/>
                <w:color w:val="000000"/>
              </w:rPr>
              <w:t> </w:t>
            </w:r>
            <w:r w:rsidRPr="004B208C">
              <w:rPr>
                <w:rFonts w:cs="Tahoma"/>
                <w:color w:val="000000"/>
              </w:rPr>
              <w:t>para</w:t>
            </w:r>
            <w:r w:rsidR="00B44A80">
              <w:rPr>
                <w:rFonts w:cs="Tahoma"/>
                <w:color w:val="000000"/>
              </w:rPr>
              <w:t> </w:t>
            </w:r>
            <w:r w:rsidRPr="004B208C">
              <w:rPr>
                <w:rFonts w:cs="Tahoma"/>
                <w:color w:val="000000"/>
              </w:rPr>
              <w:t>Parceiros</w:t>
            </w:r>
            <w:r w:rsidR="00B44A80">
              <w:rPr>
                <w:rFonts w:cs="Tahoma"/>
                <w:color w:val="000000"/>
              </w:rPr>
              <w:t> </w:t>
            </w:r>
            <w:r w:rsidRPr="004B208C">
              <w:rPr>
                <w:rFonts w:cs="Tahoma"/>
                <w:color w:val="000000"/>
              </w:rPr>
              <w:t>do</w:t>
            </w:r>
            <w:r w:rsidR="00B44A80">
              <w:rPr>
                <w:rFonts w:cs="Tahoma"/>
                <w:color w:val="000000"/>
              </w:rPr>
              <w:t> </w:t>
            </w:r>
            <w:r w:rsidRPr="004B208C">
              <w:rPr>
                <w:rFonts w:cs="Tahoma"/>
                <w:color w:val="000000"/>
              </w:rPr>
              <w:t>SharePoint Online*</w:t>
            </w:r>
          </w:p>
          <w:p w:rsidR="00454646" w:rsidRPr="004B208C" w:rsidRDefault="00454646" w:rsidP="00A1385C">
            <w:pPr>
              <w:numPr>
                <w:ilvl w:val="0"/>
                <w:numId w:val="37"/>
              </w:numPr>
              <w:spacing w:before="80"/>
              <w:ind w:left="692"/>
              <w:jc w:val="both"/>
              <w:rPr>
                <w:rFonts w:cs="Tahoma"/>
              </w:rPr>
            </w:pPr>
            <w:r w:rsidRPr="004B208C">
              <w:rPr>
                <w:rFonts w:cs="Tahoma"/>
                <w:color w:val="000000"/>
              </w:rPr>
              <w:t>Visio Pro para Office 365*</w:t>
            </w:r>
          </w:p>
          <w:p w:rsidR="00D8521B" w:rsidRPr="004B208C" w:rsidRDefault="00D8521B" w:rsidP="00A1385C">
            <w:pPr>
              <w:numPr>
                <w:ilvl w:val="0"/>
                <w:numId w:val="37"/>
              </w:numPr>
              <w:spacing w:before="80"/>
              <w:ind w:left="692"/>
              <w:jc w:val="both"/>
              <w:rPr>
                <w:rFonts w:cs="Tahoma"/>
              </w:rPr>
            </w:pPr>
            <w:r w:rsidRPr="004B208C">
              <w:rPr>
                <w:rFonts w:cs="Tahoma"/>
                <w:color w:val="000000"/>
              </w:rPr>
              <w:t>Gerenciamento</w:t>
            </w:r>
            <w:r w:rsidR="00B44A80">
              <w:rPr>
                <w:rFonts w:cs="Tahoma"/>
                <w:color w:val="000000"/>
              </w:rPr>
              <w:t> </w:t>
            </w:r>
            <w:r w:rsidRPr="004B208C">
              <w:rPr>
                <w:rFonts w:cs="Tahoma"/>
                <w:color w:val="000000"/>
              </w:rPr>
              <w:t>de</w:t>
            </w:r>
            <w:r w:rsidR="00B44A80">
              <w:rPr>
                <w:rFonts w:cs="Tahoma"/>
                <w:color w:val="000000"/>
              </w:rPr>
              <w:t> </w:t>
            </w:r>
            <w:r w:rsidRPr="004B208C">
              <w:rPr>
                <w:rFonts w:cs="Tahoma"/>
                <w:color w:val="000000"/>
              </w:rPr>
              <w:t>Direitos</w:t>
            </w:r>
            <w:r w:rsidR="00B44A80">
              <w:rPr>
                <w:rFonts w:cs="Tahoma"/>
                <w:color w:val="000000"/>
              </w:rPr>
              <w:t> </w:t>
            </w:r>
            <w:r w:rsidRPr="004B208C">
              <w:rPr>
                <w:rFonts w:cs="Tahoma"/>
                <w:color w:val="000000"/>
              </w:rPr>
              <w:t>do</w:t>
            </w:r>
            <w:r w:rsidR="00B44A80">
              <w:rPr>
                <w:rFonts w:cs="Tahoma"/>
                <w:color w:val="000000"/>
              </w:rPr>
              <w:t> </w:t>
            </w:r>
            <w:r w:rsidRPr="004B208C">
              <w:rPr>
                <w:rFonts w:cs="Tahoma"/>
                <w:color w:val="000000"/>
              </w:rPr>
              <w:t>Active Directory do Windows Azure*</w:t>
            </w:r>
          </w:p>
          <w:p w:rsidR="00456002" w:rsidRPr="004B208C" w:rsidRDefault="00456002" w:rsidP="00A1385C">
            <w:pPr>
              <w:numPr>
                <w:ilvl w:val="0"/>
                <w:numId w:val="37"/>
              </w:numPr>
              <w:spacing w:before="80"/>
              <w:ind w:left="692"/>
              <w:jc w:val="both"/>
              <w:rPr>
                <w:rFonts w:cs="Tahoma"/>
              </w:rPr>
            </w:pPr>
            <w:r w:rsidRPr="004B208C">
              <w:rPr>
                <w:rFonts w:cs="Tahoma"/>
                <w:color w:val="000000"/>
              </w:rPr>
              <w:t>Windows Intune</w:t>
            </w:r>
          </w:p>
          <w:p w:rsidR="00456002" w:rsidRPr="004B208C" w:rsidRDefault="00BD6C2C" w:rsidP="00A1385C">
            <w:pPr>
              <w:numPr>
                <w:ilvl w:val="0"/>
                <w:numId w:val="37"/>
              </w:numPr>
              <w:spacing w:before="80"/>
              <w:ind w:left="692"/>
              <w:jc w:val="both"/>
              <w:rPr>
                <w:rFonts w:cs="Tahoma"/>
              </w:rPr>
            </w:pPr>
            <w:r w:rsidRPr="004B208C">
              <w:rPr>
                <w:rFonts w:cs="Tahoma"/>
                <w:color w:val="000000"/>
              </w:rPr>
              <w:t>Complemento</w:t>
            </w:r>
            <w:r w:rsidR="00171160">
              <w:rPr>
                <w:rFonts w:cs="Tahoma"/>
                <w:color w:val="000000"/>
              </w:rPr>
              <w:t> </w:t>
            </w:r>
            <w:r w:rsidRPr="004B208C">
              <w:rPr>
                <w:rFonts w:cs="Tahoma"/>
                <w:color w:val="000000"/>
              </w:rPr>
              <w:t>do</w:t>
            </w:r>
            <w:r w:rsidR="00171160">
              <w:rPr>
                <w:rFonts w:cs="Tahoma"/>
                <w:color w:val="000000"/>
              </w:rPr>
              <w:t> </w:t>
            </w:r>
            <w:r w:rsidRPr="004B208C">
              <w:rPr>
                <w:rFonts w:cs="Tahoma"/>
                <w:color w:val="000000"/>
              </w:rPr>
              <w:t>Windows</w:t>
            </w:r>
            <w:r w:rsidR="00171160">
              <w:rPr>
                <w:rFonts w:cs="Tahoma"/>
                <w:color w:val="000000"/>
              </w:rPr>
              <w:t> </w:t>
            </w:r>
            <w:r w:rsidRPr="004B208C">
              <w:rPr>
                <w:rFonts w:cs="Tahoma"/>
                <w:color w:val="000000"/>
              </w:rPr>
              <w:t>Intune*, ***</w:t>
            </w:r>
          </w:p>
          <w:p w:rsidR="00F27B29" w:rsidRPr="004B208C" w:rsidRDefault="00F27B29" w:rsidP="00A1385C">
            <w:pPr>
              <w:numPr>
                <w:ilvl w:val="0"/>
                <w:numId w:val="37"/>
              </w:numPr>
              <w:spacing w:before="80"/>
              <w:ind w:left="692"/>
              <w:jc w:val="both"/>
              <w:rPr>
                <w:rFonts w:cs="Tahoma"/>
              </w:rPr>
            </w:pPr>
            <w:r w:rsidRPr="004B208C">
              <w:rPr>
                <w:rFonts w:cs="Tahoma"/>
                <w:color w:val="000000"/>
              </w:rPr>
              <w:t>Yammer Enterprise*</w:t>
            </w:r>
          </w:p>
        </w:tc>
      </w:tr>
    </w:tbl>
    <w:p w:rsidR="00456002" w:rsidRPr="004B208C" w:rsidRDefault="00456002" w:rsidP="00456002">
      <w:pPr>
        <w:tabs>
          <w:tab w:val="left" w:pos="360"/>
        </w:tabs>
        <w:ind w:left="720"/>
        <w:rPr>
          <w:rFonts w:cs="Tahoma"/>
        </w:rPr>
      </w:pPr>
      <w:r w:rsidRPr="004B208C">
        <w:rPr>
          <w:rFonts w:cs="Tahoma"/>
          <w:i/>
          <w:sz w:val="16"/>
          <w:szCs w:val="20"/>
        </w:rPr>
        <w:t>* Produto Adicional</w:t>
      </w:r>
    </w:p>
    <w:p w:rsidR="00252E73" w:rsidRPr="004B208C" w:rsidRDefault="00252E73" w:rsidP="00252E73">
      <w:pPr>
        <w:tabs>
          <w:tab w:val="left" w:pos="360"/>
        </w:tabs>
        <w:ind w:left="720"/>
        <w:rPr>
          <w:rFonts w:cs="Tahoma"/>
        </w:rPr>
      </w:pPr>
      <w:r w:rsidRPr="004B208C">
        <w:rPr>
          <w:rFonts w:cs="Tahoma"/>
          <w:i/>
          <w:sz w:val="16"/>
          <w:szCs w:val="20"/>
        </w:rPr>
        <w:t>** Produto Empresarial</w:t>
      </w:r>
    </w:p>
    <w:p w:rsidR="00456002" w:rsidRPr="004B208C" w:rsidRDefault="003929D1" w:rsidP="00456002">
      <w:pPr>
        <w:tabs>
          <w:tab w:val="left" w:pos="360"/>
        </w:tabs>
        <w:ind w:left="720"/>
        <w:rPr>
          <w:rFonts w:cs="Tahoma"/>
        </w:rPr>
      </w:pPr>
      <w:r w:rsidRPr="004B208C">
        <w:rPr>
          <w:rFonts w:cs="Tahoma"/>
          <w:i/>
          <w:sz w:val="16"/>
          <w:szCs w:val="20"/>
        </w:rPr>
        <w:t xml:space="preserve">*** </w:t>
      </w:r>
      <w:r w:rsidR="00172F11">
        <w:rPr>
          <w:rFonts w:cs="Tahoma"/>
          <w:i/>
          <w:sz w:val="16"/>
          <w:szCs w:val="20"/>
        </w:rPr>
        <w:t>“</w:t>
      </w:r>
      <w:r w:rsidRPr="004B208C">
        <w:rPr>
          <w:rFonts w:cs="Tahoma"/>
          <w:i/>
          <w:sz w:val="16"/>
          <w:szCs w:val="20"/>
        </w:rPr>
        <w:t>Complemento do Windows Intune” é uma abreviação para Complemento do Windows Intune para System Center Configuration Manager e System Center Endpoint Protection (Por Usuário)</w:t>
      </w:r>
    </w:p>
    <w:p w:rsidR="003929D1" w:rsidRPr="004B208C" w:rsidRDefault="003929D1" w:rsidP="00A12176">
      <w:pPr>
        <w:tabs>
          <w:tab w:val="left" w:pos="360"/>
        </w:tabs>
        <w:rPr>
          <w:rFonts w:cs="Tahoma"/>
        </w:rPr>
      </w:pPr>
    </w:p>
    <w:p w:rsidR="00456002" w:rsidRPr="004B208C" w:rsidRDefault="00456002" w:rsidP="001E7C5F">
      <w:pPr>
        <w:tabs>
          <w:tab w:val="left" w:pos="360"/>
        </w:tabs>
        <w:spacing w:after="60"/>
        <w:rPr>
          <w:rFonts w:cs="Tahoma"/>
        </w:rPr>
      </w:pPr>
      <w:r w:rsidRPr="004B208C">
        <w:rPr>
          <w:rFonts w:cs="Tahoma"/>
          <w:b/>
          <w:szCs w:val="20"/>
        </w:rPr>
        <w:t>Reduções de Licença de Assinatura</w:t>
      </w:r>
    </w:p>
    <w:p w:rsidR="00456002" w:rsidRPr="004B208C" w:rsidRDefault="00456002" w:rsidP="00366502">
      <w:pPr>
        <w:tabs>
          <w:tab w:val="left" w:pos="360"/>
        </w:tabs>
        <w:rPr>
          <w:rFonts w:cs="Tahoma"/>
        </w:rPr>
      </w:pPr>
      <w:r w:rsidRPr="004B208C">
        <w:rPr>
          <w:rFonts w:cs="Tahoma"/>
          <w:b/>
          <w:szCs w:val="20"/>
        </w:rPr>
        <w:t>Observação:</w:t>
      </w:r>
      <w:r w:rsidRPr="004B208C">
        <w:rPr>
          <w:rFonts w:cs="Tahoma"/>
          <w:szCs w:val="20"/>
        </w:rPr>
        <w:t xml:space="preserve"> O seguinte se aplica aos clientes do Enterprise qualificados para informar reduções nas Licenças de assinatura.</w:t>
      </w:r>
      <w:r w:rsidR="00172F11">
        <w:rPr>
          <w:rFonts w:cs="Tahoma"/>
          <w:szCs w:val="20"/>
        </w:rPr>
        <w:t xml:space="preserve"> </w:t>
      </w:r>
      <w:r w:rsidRPr="004B208C">
        <w:rPr>
          <w:rFonts w:cs="Tahoma"/>
          <w:szCs w:val="20"/>
        </w:rPr>
        <w:t>Os clientes que tiverem dúvidas sobre sua qualificação para informar reduções nas Licenças de assinatura devem entrar em contato com o Consultor de Software, Revendedor ou Gerente de Conta Microsoft para obter mais informações.</w:t>
      </w:r>
      <w:r w:rsidR="00172F11">
        <w:rPr>
          <w:rFonts w:cs="Tahoma"/>
          <w:szCs w:val="20"/>
        </w:rPr>
        <w:t xml:space="preserve"> </w:t>
      </w:r>
    </w:p>
    <w:p w:rsidR="00456002" w:rsidRPr="004B208C" w:rsidRDefault="00456002" w:rsidP="00366502">
      <w:pPr>
        <w:tabs>
          <w:tab w:val="left" w:pos="360"/>
        </w:tabs>
        <w:rPr>
          <w:rFonts w:cs="Tahoma"/>
        </w:rPr>
      </w:pPr>
    </w:p>
    <w:p w:rsidR="00456002" w:rsidRPr="004B208C" w:rsidRDefault="00456002" w:rsidP="00366502">
      <w:pPr>
        <w:tabs>
          <w:tab w:val="left" w:pos="360"/>
        </w:tabs>
        <w:rPr>
          <w:rFonts w:cs="Tahoma"/>
        </w:rPr>
      </w:pPr>
      <w:r w:rsidRPr="004B208C">
        <w:rPr>
          <w:rFonts w:cs="Tahoma"/>
          <w:szCs w:val="20"/>
        </w:rPr>
        <w:t>As seguintes Licenças de assinatura estão qualificadas para ajustes nas quantidades de Licença:</w:t>
      </w:r>
    </w:p>
    <w:p w:rsidR="00456002" w:rsidRPr="004B208C" w:rsidRDefault="00456002" w:rsidP="00456002">
      <w:pPr>
        <w:tabs>
          <w:tab w:val="left" w:pos="360"/>
        </w:tabs>
        <w:ind w:left="720"/>
        <w:rPr>
          <w:rFonts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2"/>
        <w:gridCol w:w="4336"/>
      </w:tblGrid>
      <w:tr w:rsidR="00456002" w:rsidRPr="004B208C" w:rsidTr="00B44A80">
        <w:trPr>
          <w:trHeight w:val="80"/>
          <w:tblHeader/>
        </w:trPr>
        <w:tc>
          <w:tcPr>
            <w:tcW w:w="5000" w:type="pct"/>
            <w:gridSpan w:val="2"/>
            <w:shd w:val="clear" w:color="auto" w:fill="FABF8F"/>
          </w:tcPr>
          <w:p w:rsidR="00456002" w:rsidRPr="004B208C" w:rsidRDefault="00456002" w:rsidP="00B215EA">
            <w:pPr>
              <w:jc w:val="center"/>
              <w:rPr>
                <w:rFonts w:cs="Tahoma"/>
                <w:b/>
              </w:rPr>
            </w:pPr>
            <w:r w:rsidRPr="004B208C">
              <w:rPr>
                <w:rFonts w:cs="Tahoma"/>
                <w:b/>
              </w:rPr>
              <w:t>Assinaturas Online</w:t>
            </w:r>
          </w:p>
        </w:tc>
      </w:tr>
      <w:tr w:rsidR="00456002" w:rsidRPr="004B208C" w:rsidTr="007E466C">
        <w:trPr>
          <w:trHeight w:val="219"/>
        </w:trPr>
        <w:tc>
          <w:tcPr>
            <w:tcW w:w="2500" w:type="pct"/>
          </w:tcPr>
          <w:p w:rsidR="00D85FDD" w:rsidRPr="004B208C" w:rsidRDefault="00D85FDD" w:rsidP="00A1385C">
            <w:pPr>
              <w:numPr>
                <w:ilvl w:val="0"/>
                <w:numId w:val="37"/>
              </w:numPr>
              <w:spacing w:before="80"/>
              <w:rPr>
                <w:rFonts w:cs="Tahoma"/>
              </w:rPr>
            </w:pPr>
            <w:r w:rsidRPr="004B208C">
              <w:rPr>
                <w:rFonts w:cs="Tahoma"/>
              </w:rPr>
              <w:t>Arquivamento do Exchange Online para Exchange Online*</w:t>
            </w:r>
          </w:p>
          <w:p w:rsidR="00D85FDD" w:rsidRPr="004B208C" w:rsidRDefault="00D85FDD" w:rsidP="00A1385C">
            <w:pPr>
              <w:numPr>
                <w:ilvl w:val="0"/>
                <w:numId w:val="37"/>
              </w:numPr>
              <w:spacing w:before="80"/>
              <w:rPr>
                <w:rFonts w:cs="Tahoma"/>
              </w:rPr>
            </w:pPr>
            <w:r w:rsidRPr="004B208C">
              <w:rPr>
                <w:rFonts w:cs="Tahoma"/>
              </w:rPr>
              <w:t>Arquivamento do Exchange Online para Exchange Server*</w:t>
            </w:r>
          </w:p>
          <w:p w:rsidR="00456002" w:rsidRPr="004B208C" w:rsidRDefault="00456002" w:rsidP="00A1385C">
            <w:pPr>
              <w:numPr>
                <w:ilvl w:val="0"/>
                <w:numId w:val="37"/>
              </w:numPr>
              <w:spacing w:before="80"/>
              <w:rPr>
                <w:rFonts w:cs="Tahoma"/>
              </w:rPr>
            </w:pPr>
            <w:r w:rsidRPr="004B208C">
              <w:rPr>
                <w:rFonts w:cs="Tahoma"/>
              </w:rPr>
              <w:t>Quiosque do Exchange Online*</w:t>
            </w:r>
          </w:p>
          <w:p w:rsidR="00456002" w:rsidRPr="004B208C" w:rsidRDefault="00456002" w:rsidP="00A1385C">
            <w:pPr>
              <w:numPr>
                <w:ilvl w:val="0"/>
                <w:numId w:val="37"/>
              </w:numPr>
              <w:spacing w:before="80"/>
              <w:rPr>
                <w:rFonts w:cs="Tahoma"/>
              </w:rPr>
            </w:pPr>
            <w:r w:rsidRPr="004B208C">
              <w:rPr>
                <w:rFonts w:cs="Tahoma"/>
              </w:rPr>
              <w:t>Exchange Online Plano 1*</w:t>
            </w:r>
          </w:p>
          <w:p w:rsidR="00456002" w:rsidRPr="004B208C" w:rsidRDefault="00456002" w:rsidP="00A1385C">
            <w:pPr>
              <w:numPr>
                <w:ilvl w:val="0"/>
                <w:numId w:val="37"/>
              </w:numPr>
              <w:spacing w:before="80"/>
              <w:rPr>
                <w:rFonts w:cs="Tahoma"/>
              </w:rPr>
            </w:pPr>
            <w:r w:rsidRPr="004B208C">
              <w:rPr>
                <w:rFonts w:cs="Tahoma"/>
              </w:rPr>
              <w:t>Exchange Online Plano 2*</w:t>
            </w:r>
          </w:p>
          <w:p w:rsidR="00D85FDD" w:rsidRPr="004B208C" w:rsidRDefault="00D85FDD" w:rsidP="00A1385C">
            <w:pPr>
              <w:numPr>
                <w:ilvl w:val="0"/>
                <w:numId w:val="37"/>
              </w:numPr>
              <w:spacing w:before="80"/>
              <w:rPr>
                <w:rFonts w:cs="Tahoma"/>
              </w:rPr>
            </w:pPr>
            <w:r w:rsidRPr="004B208C">
              <w:rPr>
                <w:rFonts w:cs="Tahoma"/>
              </w:rPr>
              <w:t>Exchange Online Protection*</w:t>
            </w:r>
          </w:p>
          <w:p w:rsidR="00456002" w:rsidRPr="004B208C" w:rsidRDefault="00456002" w:rsidP="00A1385C">
            <w:pPr>
              <w:numPr>
                <w:ilvl w:val="0"/>
                <w:numId w:val="37"/>
              </w:numPr>
              <w:spacing w:before="80"/>
              <w:rPr>
                <w:rFonts w:cs="Tahoma"/>
              </w:rPr>
            </w:pPr>
            <w:r w:rsidRPr="004B208C">
              <w:rPr>
                <w:rFonts w:cs="Tahoma"/>
              </w:rPr>
              <w:t>Lync Online Plano 1*</w:t>
            </w:r>
          </w:p>
          <w:p w:rsidR="00456002" w:rsidRPr="004B208C" w:rsidRDefault="00456002" w:rsidP="00A1385C">
            <w:pPr>
              <w:numPr>
                <w:ilvl w:val="0"/>
                <w:numId w:val="37"/>
              </w:numPr>
              <w:spacing w:before="80"/>
              <w:rPr>
                <w:rFonts w:cs="Tahoma"/>
              </w:rPr>
            </w:pPr>
            <w:r w:rsidRPr="004B208C">
              <w:rPr>
                <w:rFonts w:cs="Tahoma"/>
              </w:rPr>
              <w:lastRenderedPageBreak/>
              <w:t>Lync Online Plano 2*</w:t>
            </w:r>
          </w:p>
          <w:p w:rsidR="00E77288" w:rsidRPr="004B208C" w:rsidRDefault="00E77288" w:rsidP="00A1385C">
            <w:pPr>
              <w:numPr>
                <w:ilvl w:val="0"/>
                <w:numId w:val="37"/>
              </w:numPr>
              <w:spacing w:before="80"/>
              <w:rPr>
                <w:rFonts w:cs="Tahoma"/>
              </w:rPr>
            </w:pPr>
            <w:r w:rsidRPr="004B208C">
              <w:rPr>
                <w:rFonts w:cs="Tahoma"/>
              </w:rPr>
              <w:t>Lync Online Plano 3*</w:t>
            </w:r>
          </w:p>
          <w:p w:rsidR="00456002" w:rsidRPr="004B208C" w:rsidRDefault="00456002" w:rsidP="00A1385C">
            <w:pPr>
              <w:numPr>
                <w:ilvl w:val="0"/>
                <w:numId w:val="37"/>
              </w:numPr>
              <w:spacing w:before="80"/>
              <w:rPr>
                <w:rFonts w:cs="Tahoma"/>
              </w:rPr>
            </w:pPr>
            <w:r w:rsidRPr="004B208C">
              <w:rPr>
                <w:rFonts w:cs="Tahoma"/>
              </w:rPr>
              <w:t>Office 365 (Enterprise K1)*</w:t>
            </w:r>
          </w:p>
          <w:p w:rsidR="00456002" w:rsidRPr="004B208C" w:rsidRDefault="00456002" w:rsidP="00A1385C">
            <w:pPr>
              <w:numPr>
                <w:ilvl w:val="0"/>
                <w:numId w:val="37"/>
              </w:numPr>
              <w:spacing w:before="80"/>
              <w:rPr>
                <w:rFonts w:cs="Tahoma"/>
              </w:rPr>
            </w:pPr>
            <w:r w:rsidRPr="004B208C">
              <w:rPr>
                <w:rFonts w:cs="Tahoma"/>
              </w:rPr>
              <w:t>Office 365 (Enterprise E1)</w:t>
            </w:r>
          </w:p>
          <w:p w:rsidR="00456002" w:rsidRPr="004B208C" w:rsidRDefault="00456002" w:rsidP="00A1385C">
            <w:pPr>
              <w:numPr>
                <w:ilvl w:val="0"/>
                <w:numId w:val="37"/>
              </w:numPr>
              <w:spacing w:before="80"/>
              <w:rPr>
                <w:rFonts w:cs="Tahoma"/>
              </w:rPr>
            </w:pPr>
            <w:r w:rsidRPr="004B208C">
              <w:rPr>
                <w:rFonts w:cs="Tahoma"/>
              </w:rPr>
              <w:t>Office 365 (Enterprise E3)</w:t>
            </w:r>
          </w:p>
          <w:p w:rsidR="00456002" w:rsidRPr="004B208C" w:rsidRDefault="00456002" w:rsidP="00A1385C">
            <w:pPr>
              <w:numPr>
                <w:ilvl w:val="0"/>
                <w:numId w:val="37"/>
              </w:numPr>
              <w:spacing w:before="80"/>
              <w:rPr>
                <w:rFonts w:cs="Tahoma"/>
              </w:rPr>
            </w:pPr>
            <w:r w:rsidRPr="004B208C">
              <w:rPr>
                <w:rFonts w:cs="Tahoma"/>
              </w:rPr>
              <w:t>Office 365 (Enterprise E4)</w:t>
            </w:r>
          </w:p>
          <w:p w:rsidR="005272FA" w:rsidRPr="004B208C" w:rsidRDefault="005272FA" w:rsidP="00A1385C">
            <w:pPr>
              <w:numPr>
                <w:ilvl w:val="0"/>
                <w:numId w:val="37"/>
              </w:numPr>
              <w:spacing w:before="80"/>
              <w:jc w:val="both"/>
              <w:rPr>
                <w:rFonts w:cs="Tahoma"/>
              </w:rPr>
            </w:pPr>
            <w:r w:rsidRPr="004B208C">
              <w:rPr>
                <w:rFonts w:cs="Tahoma"/>
                <w:color w:val="000000"/>
              </w:rPr>
              <w:t>Office 365 (Government G1)</w:t>
            </w:r>
          </w:p>
          <w:p w:rsidR="005272FA" w:rsidRPr="004B208C" w:rsidRDefault="005272FA" w:rsidP="00A1385C">
            <w:pPr>
              <w:numPr>
                <w:ilvl w:val="0"/>
                <w:numId w:val="37"/>
              </w:numPr>
              <w:spacing w:before="80"/>
              <w:jc w:val="both"/>
              <w:rPr>
                <w:rFonts w:cs="Tahoma"/>
              </w:rPr>
            </w:pPr>
            <w:r w:rsidRPr="004B208C">
              <w:rPr>
                <w:rFonts w:cs="Tahoma"/>
                <w:color w:val="000000"/>
              </w:rPr>
              <w:t>Office 365 (Government G3)</w:t>
            </w:r>
          </w:p>
          <w:p w:rsidR="005272FA" w:rsidRPr="004B208C" w:rsidRDefault="005272FA" w:rsidP="00A1385C">
            <w:pPr>
              <w:numPr>
                <w:ilvl w:val="0"/>
                <w:numId w:val="37"/>
              </w:numPr>
              <w:spacing w:before="80"/>
              <w:jc w:val="both"/>
              <w:rPr>
                <w:rFonts w:cs="Tahoma"/>
              </w:rPr>
            </w:pPr>
            <w:r w:rsidRPr="004B208C">
              <w:rPr>
                <w:rFonts w:cs="Tahoma"/>
                <w:color w:val="000000"/>
              </w:rPr>
              <w:t>Office 365 (Government G4)</w:t>
            </w:r>
          </w:p>
          <w:p w:rsidR="005272FA" w:rsidRPr="004B208C" w:rsidRDefault="005272FA" w:rsidP="007E466C">
            <w:pPr>
              <w:spacing w:before="80"/>
              <w:ind w:left="522"/>
              <w:rPr>
                <w:rFonts w:cs="Tahoma"/>
              </w:rPr>
            </w:pPr>
          </w:p>
        </w:tc>
        <w:tc>
          <w:tcPr>
            <w:tcW w:w="2500" w:type="pct"/>
          </w:tcPr>
          <w:p w:rsidR="00252E73" w:rsidRPr="004B208C" w:rsidRDefault="00252E73" w:rsidP="00A1385C">
            <w:pPr>
              <w:numPr>
                <w:ilvl w:val="0"/>
                <w:numId w:val="37"/>
              </w:numPr>
              <w:spacing w:before="80"/>
              <w:jc w:val="both"/>
              <w:rPr>
                <w:rFonts w:cs="Tahoma"/>
              </w:rPr>
            </w:pPr>
            <w:r w:rsidRPr="004B208C">
              <w:rPr>
                <w:rFonts w:cs="Tahoma"/>
                <w:color w:val="000000"/>
              </w:rPr>
              <w:lastRenderedPageBreak/>
              <w:t>Office 365 ProPlus**</w:t>
            </w:r>
          </w:p>
          <w:p w:rsidR="00456002" w:rsidRPr="004B208C" w:rsidRDefault="00456002" w:rsidP="00A1385C">
            <w:pPr>
              <w:numPr>
                <w:ilvl w:val="0"/>
                <w:numId w:val="37"/>
              </w:numPr>
              <w:spacing w:before="80"/>
              <w:jc w:val="both"/>
              <w:rPr>
                <w:rFonts w:cs="Tahoma"/>
              </w:rPr>
            </w:pPr>
            <w:r w:rsidRPr="004B208C">
              <w:rPr>
                <w:rFonts w:cs="Tahoma"/>
                <w:color w:val="000000"/>
              </w:rPr>
              <w:t>Office Web Applications*</w:t>
            </w:r>
          </w:p>
          <w:p w:rsidR="00CE1716" w:rsidRPr="004B208C" w:rsidRDefault="00CE1716" w:rsidP="00A1385C">
            <w:pPr>
              <w:numPr>
                <w:ilvl w:val="0"/>
                <w:numId w:val="37"/>
              </w:numPr>
              <w:spacing w:before="80"/>
              <w:jc w:val="both"/>
              <w:rPr>
                <w:rFonts w:cs="Tahoma"/>
              </w:rPr>
            </w:pPr>
            <w:r w:rsidRPr="004B208C">
              <w:rPr>
                <w:rFonts w:cs="Tahoma"/>
                <w:color w:val="000000"/>
              </w:rPr>
              <w:t>Project Online*</w:t>
            </w:r>
          </w:p>
          <w:p w:rsidR="005272FA" w:rsidRPr="004B208C" w:rsidRDefault="005272FA" w:rsidP="00A1385C">
            <w:pPr>
              <w:numPr>
                <w:ilvl w:val="0"/>
                <w:numId w:val="37"/>
              </w:numPr>
              <w:spacing w:before="80"/>
              <w:jc w:val="both"/>
              <w:rPr>
                <w:rFonts w:cs="Tahoma"/>
              </w:rPr>
            </w:pPr>
            <w:r w:rsidRPr="004B208C">
              <w:rPr>
                <w:rFonts w:cs="Tahoma"/>
                <w:color w:val="000000"/>
              </w:rPr>
              <w:t>Project Pro para Office 365*</w:t>
            </w:r>
          </w:p>
          <w:p w:rsidR="00456002" w:rsidRPr="004B208C" w:rsidRDefault="00456002" w:rsidP="00A1385C">
            <w:pPr>
              <w:numPr>
                <w:ilvl w:val="0"/>
                <w:numId w:val="37"/>
              </w:numPr>
              <w:spacing w:before="80"/>
              <w:jc w:val="both"/>
              <w:rPr>
                <w:rFonts w:cs="Tahoma"/>
              </w:rPr>
            </w:pPr>
            <w:r w:rsidRPr="004B208C">
              <w:rPr>
                <w:rFonts w:cs="Tahoma"/>
                <w:color w:val="000000"/>
              </w:rPr>
              <w:t>SharePoint Online Plano 1*</w:t>
            </w:r>
          </w:p>
          <w:p w:rsidR="00456002" w:rsidRPr="004B208C" w:rsidRDefault="00456002" w:rsidP="00A1385C">
            <w:pPr>
              <w:numPr>
                <w:ilvl w:val="0"/>
                <w:numId w:val="37"/>
              </w:numPr>
              <w:spacing w:before="80"/>
              <w:jc w:val="both"/>
              <w:rPr>
                <w:rFonts w:cs="Tahoma"/>
              </w:rPr>
            </w:pPr>
            <w:r w:rsidRPr="004B208C">
              <w:rPr>
                <w:rFonts w:cs="Tahoma"/>
                <w:color w:val="000000"/>
              </w:rPr>
              <w:t>SharePoint Online Plano 2*</w:t>
            </w:r>
          </w:p>
          <w:p w:rsidR="00456002" w:rsidRPr="00B44A80" w:rsidRDefault="00456002" w:rsidP="00A1385C">
            <w:pPr>
              <w:numPr>
                <w:ilvl w:val="0"/>
                <w:numId w:val="37"/>
              </w:numPr>
              <w:spacing w:before="80"/>
              <w:ind w:right="270"/>
              <w:jc w:val="both"/>
              <w:rPr>
                <w:rFonts w:cs="Tahoma"/>
              </w:rPr>
            </w:pPr>
            <w:r w:rsidRPr="004B208C">
              <w:rPr>
                <w:rFonts w:cs="Tahoma"/>
                <w:color w:val="000000"/>
              </w:rPr>
              <w:t>Acesso para Parceiros do SharePoint Online*</w:t>
            </w:r>
          </w:p>
          <w:p w:rsidR="00B44A80" w:rsidRPr="004B208C" w:rsidRDefault="00B44A80" w:rsidP="00B44A80">
            <w:pPr>
              <w:spacing w:before="80"/>
              <w:ind w:left="882" w:right="270"/>
              <w:jc w:val="both"/>
              <w:rPr>
                <w:rFonts w:cs="Tahoma"/>
              </w:rPr>
            </w:pPr>
          </w:p>
          <w:p w:rsidR="00D8521B" w:rsidRPr="004B208C" w:rsidRDefault="00D8521B" w:rsidP="00A1385C">
            <w:pPr>
              <w:numPr>
                <w:ilvl w:val="0"/>
                <w:numId w:val="37"/>
              </w:numPr>
              <w:spacing w:before="80"/>
              <w:ind w:left="896"/>
              <w:jc w:val="both"/>
              <w:rPr>
                <w:rFonts w:cs="Tahoma"/>
              </w:rPr>
            </w:pPr>
            <w:r w:rsidRPr="004B208C">
              <w:rPr>
                <w:rFonts w:cs="Tahoma"/>
                <w:color w:val="000000"/>
              </w:rPr>
              <w:lastRenderedPageBreak/>
              <w:t>Gerenciamento</w:t>
            </w:r>
            <w:r w:rsidR="00B44A80">
              <w:rPr>
                <w:rFonts w:cs="Tahoma"/>
                <w:color w:val="000000"/>
              </w:rPr>
              <w:t> </w:t>
            </w:r>
            <w:r w:rsidRPr="004B208C">
              <w:rPr>
                <w:rFonts w:cs="Tahoma"/>
                <w:color w:val="000000"/>
              </w:rPr>
              <w:t>de</w:t>
            </w:r>
            <w:r w:rsidR="00B44A80">
              <w:rPr>
                <w:rFonts w:cs="Tahoma"/>
                <w:color w:val="000000"/>
              </w:rPr>
              <w:t> </w:t>
            </w:r>
            <w:r w:rsidRPr="004B208C">
              <w:rPr>
                <w:rFonts w:cs="Tahoma"/>
                <w:color w:val="000000"/>
              </w:rPr>
              <w:t>Direitos</w:t>
            </w:r>
            <w:r w:rsidR="00B44A80">
              <w:rPr>
                <w:rFonts w:cs="Tahoma"/>
                <w:color w:val="000000"/>
              </w:rPr>
              <w:t> </w:t>
            </w:r>
            <w:r w:rsidRPr="004B208C">
              <w:rPr>
                <w:rFonts w:cs="Tahoma"/>
                <w:color w:val="000000"/>
              </w:rPr>
              <w:t>do</w:t>
            </w:r>
            <w:r w:rsidR="00B44A80">
              <w:rPr>
                <w:rFonts w:cs="Tahoma"/>
                <w:color w:val="000000"/>
              </w:rPr>
              <w:t> </w:t>
            </w:r>
            <w:r w:rsidRPr="004B208C">
              <w:rPr>
                <w:rFonts w:cs="Tahoma"/>
                <w:color w:val="000000"/>
              </w:rPr>
              <w:t>Active Directory do Windows Azure*</w:t>
            </w:r>
          </w:p>
          <w:p w:rsidR="00402C7A" w:rsidRPr="004B208C" w:rsidRDefault="00402C7A" w:rsidP="00A1385C">
            <w:pPr>
              <w:numPr>
                <w:ilvl w:val="0"/>
                <w:numId w:val="37"/>
              </w:numPr>
              <w:spacing w:before="80"/>
              <w:ind w:left="896"/>
              <w:jc w:val="both"/>
              <w:rPr>
                <w:rFonts w:cs="Tahoma"/>
              </w:rPr>
            </w:pPr>
            <w:r w:rsidRPr="004B208C">
              <w:rPr>
                <w:rFonts w:cs="Tahoma"/>
                <w:color w:val="000000"/>
              </w:rPr>
              <w:t>Serviços do Windows Azure*</w:t>
            </w:r>
          </w:p>
          <w:p w:rsidR="00456002" w:rsidRPr="004B208C" w:rsidRDefault="00456002" w:rsidP="00A1385C">
            <w:pPr>
              <w:numPr>
                <w:ilvl w:val="0"/>
                <w:numId w:val="37"/>
              </w:numPr>
              <w:spacing w:before="80"/>
              <w:jc w:val="both"/>
              <w:rPr>
                <w:rFonts w:cs="Tahoma"/>
              </w:rPr>
            </w:pPr>
            <w:r w:rsidRPr="004B208C">
              <w:rPr>
                <w:rFonts w:cs="Tahoma"/>
                <w:color w:val="000000"/>
              </w:rPr>
              <w:t>Windows Intune</w:t>
            </w:r>
          </w:p>
          <w:p w:rsidR="00456002" w:rsidRPr="004B208C" w:rsidRDefault="00456002" w:rsidP="00A1385C">
            <w:pPr>
              <w:numPr>
                <w:ilvl w:val="0"/>
                <w:numId w:val="37"/>
              </w:numPr>
              <w:spacing w:before="80"/>
              <w:jc w:val="both"/>
              <w:rPr>
                <w:rFonts w:cs="Tahoma"/>
              </w:rPr>
            </w:pPr>
            <w:r w:rsidRPr="004B208C">
              <w:rPr>
                <w:rFonts w:cs="Tahoma"/>
                <w:color w:val="000000"/>
              </w:rPr>
              <w:t>Windows Intune Complementar*</w:t>
            </w:r>
          </w:p>
          <w:p w:rsidR="00A2058E" w:rsidRPr="004B208C" w:rsidRDefault="00A2058E" w:rsidP="00A1385C">
            <w:pPr>
              <w:numPr>
                <w:ilvl w:val="0"/>
                <w:numId w:val="37"/>
              </w:numPr>
              <w:spacing w:before="80"/>
              <w:jc w:val="both"/>
              <w:rPr>
                <w:rFonts w:cs="Tahoma"/>
              </w:rPr>
            </w:pPr>
            <w:r w:rsidRPr="004B208C">
              <w:rPr>
                <w:rFonts w:cs="Tahoma"/>
                <w:color w:val="000000"/>
              </w:rPr>
              <w:t>Microsoft Dynamics CRM Online*</w:t>
            </w:r>
          </w:p>
          <w:p w:rsidR="005272FA" w:rsidRPr="004B208C" w:rsidRDefault="005272FA" w:rsidP="00A1385C">
            <w:pPr>
              <w:numPr>
                <w:ilvl w:val="0"/>
                <w:numId w:val="37"/>
              </w:numPr>
              <w:spacing w:before="80"/>
              <w:jc w:val="both"/>
              <w:rPr>
                <w:rFonts w:cs="Tahoma"/>
              </w:rPr>
            </w:pPr>
            <w:r w:rsidRPr="004B208C">
              <w:rPr>
                <w:rFonts w:cs="Tahoma"/>
                <w:color w:val="000000"/>
              </w:rPr>
              <w:t>Visio Pro para Office 365*</w:t>
            </w:r>
          </w:p>
          <w:p w:rsidR="00F27B29" w:rsidRPr="004B208C" w:rsidRDefault="00F27B29" w:rsidP="00A1385C">
            <w:pPr>
              <w:numPr>
                <w:ilvl w:val="0"/>
                <w:numId w:val="37"/>
              </w:numPr>
              <w:spacing w:before="80" w:after="120"/>
              <w:jc w:val="both"/>
              <w:rPr>
                <w:rFonts w:cs="Tahoma"/>
              </w:rPr>
            </w:pPr>
            <w:r w:rsidRPr="004B208C">
              <w:rPr>
                <w:rFonts w:cs="Tahoma"/>
                <w:color w:val="000000"/>
              </w:rPr>
              <w:t>Yammer Enterprise*</w:t>
            </w:r>
          </w:p>
        </w:tc>
      </w:tr>
    </w:tbl>
    <w:p w:rsidR="00A12176" w:rsidRPr="004B208C" w:rsidRDefault="00456002" w:rsidP="001E7C5F">
      <w:pPr>
        <w:tabs>
          <w:tab w:val="left" w:pos="360"/>
        </w:tabs>
        <w:ind w:left="720"/>
        <w:rPr>
          <w:rFonts w:cs="Tahoma"/>
        </w:rPr>
      </w:pPr>
      <w:r w:rsidRPr="004B208C">
        <w:rPr>
          <w:rFonts w:cs="Tahoma"/>
          <w:i/>
          <w:sz w:val="16"/>
          <w:szCs w:val="20"/>
        </w:rPr>
        <w:lastRenderedPageBreak/>
        <w:t>* Produto Adicional</w:t>
      </w:r>
      <w:bookmarkStart w:id="618" w:name="_Toc336338196"/>
    </w:p>
    <w:p w:rsidR="00B215EA" w:rsidRPr="004B208C" w:rsidRDefault="00252E73" w:rsidP="00B215EA">
      <w:pPr>
        <w:tabs>
          <w:tab w:val="left" w:pos="360"/>
        </w:tabs>
        <w:ind w:left="720"/>
        <w:rPr>
          <w:rFonts w:cs="Tahoma"/>
        </w:rPr>
      </w:pPr>
      <w:r w:rsidRPr="004B208C">
        <w:rPr>
          <w:rFonts w:cs="Tahoma"/>
          <w:i/>
          <w:sz w:val="16"/>
          <w:szCs w:val="20"/>
        </w:rPr>
        <w:t>** Produto Empresarial</w:t>
      </w:r>
    </w:p>
    <w:p w:rsidR="00B215EA" w:rsidRPr="004B208C" w:rsidRDefault="00B215EA" w:rsidP="00B215EA">
      <w:pPr>
        <w:tabs>
          <w:tab w:val="left" w:pos="360"/>
        </w:tabs>
        <w:spacing w:after="60"/>
        <w:rPr>
          <w:rFonts w:cs="Tahoma"/>
        </w:rPr>
      </w:pPr>
    </w:p>
    <w:p w:rsidR="00B215EA" w:rsidRPr="004B208C" w:rsidRDefault="00B215EA" w:rsidP="00B215EA">
      <w:pPr>
        <w:tabs>
          <w:tab w:val="left" w:pos="360"/>
        </w:tabs>
        <w:spacing w:after="60"/>
        <w:rPr>
          <w:rFonts w:cs="Tahoma"/>
        </w:rPr>
      </w:pPr>
      <w:r w:rsidRPr="004B208C">
        <w:rPr>
          <w:rFonts w:cs="Tahoma"/>
          <w:b/>
          <w:szCs w:val="20"/>
        </w:rPr>
        <w:t>Reduções na licença de assinatura para Registro de Servidor e Nuvem</w:t>
      </w:r>
    </w:p>
    <w:p w:rsidR="00B215EA" w:rsidRPr="004B208C" w:rsidRDefault="00B215EA" w:rsidP="00B215EA">
      <w:pPr>
        <w:tabs>
          <w:tab w:val="left" w:pos="360"/>
        </w:tabs>
        <w:rPr>
          <w:rFonts w:cs="Tahoma"/>
        </w:rPr>
      </w:pPr>
      <w:r w:rsidRPr="004B208C">
        <w:rPr>
          <w:rFonts w:cs="Tahoma"/>
          <w:b/>
          <w:szCs w:val="20"/>
        </w:rPr>
        <w:t>Observação:</w:t>
      </w:r>
      <w:r w:rsidRPr="004B208C">
        <w:rPr>
          <w:rFonts w:cs="Tahoma"/>
          <w:szCs w:val="20"/>
        </w:rPr>
        <w:t xml:space="preserve"> O seguinte se aplica aos clientes do Registro de Servidor e Nuvem qualificados para informar reduções nas Licenças de assinatura.</w:t>
      </w:r>
      <w:r w:rsidR="00172F11">
        <w:rPr>
          <w:rFonts w:cs="Tahoma"/>
          <w:szCs w:val="20"/>
        </w:rPr>
        <w:t xml:space="preserve"> </w:t>
      </w:r>
      <w:r w:rsidRPr="004B208C">
        <w:rPr>
          <w:rFonts w:cs="Tahoma"/>
          <w:szCs w:val="20"/>
        </w:rPr>
        <w:t>Os clientes que tiverem dúvidas sobre sua qualificação para informar reduções nas Licenças de assinatura devem entrar em contato com o Consultor de Software, Revendedor ou Gerente de Conta Microsoft para obter mais informações.</w:t>
      </w:r>
      <w:r w:rsidR="00172F11">
        <w:rPr>
          <w:rFonts w:cs="Tahoma"/>
          <w:szCs w:val="20"/>
        </w:rPr>
        <w:t xml:space="preserve"> </w:t>
      </w:r>
    </w:p>
    <w:p w:rsidR="00B215EA" w:rsidRPr="004B208C" w:rsidRDefault="00B215EA" w:rsidP="00B215EA">
      <w:pPr>
        <w:tabs>
          <w:tab w:val="left" w:pos="360"/>
        </w:tabs>
        <w:rPr>
          <w:rFonts w:cs="Tahoma"/>
        </w:rPr>
      </w:pPr>
    </w:p>
    <w:p w:rsidR="00B215EA" w:rsidRPr="004B208C" w:rsidRDefault="00B215EA" w:rsidP="00B215EA">
      <w:pPr>
        <w:tabs>
          <w:tab w:val="left" w:pos="360"/>
        </w:tabs>
        <w:rPr>
          <w:rFonts w:cs="Tahoma"/>
        </w:rPr>
      </w:pPr>
      <w:r w:rsidRPr="004B208C">
        <w:rPr>
          <w:rFonts w:cs="Tahoma"/>
          <w:szCs w:val="20"/>
        </w:rPr>
        <w:t>As seguintes Licenças de assinatura estão qualificadas para ajustes nas quantidades de Licença de assinatura depois de 12 meses contínuos:</w:t>
      </w:r>
    </w:p>
    <w:p w:rsidR="00B215EA" w:rsidRPr="004B208C" w:rsidRDefault="00B215EA" w:rsidP="00B215EA">
      <w:pPr>
        <w:tabs>
          <w:tab w:val="left" w:pos="360"/>
        </w:tabs>
        <w:ind w:left="720"/>
        <w:rPr>
          <w:rFonts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77"/>
        <w:gridCol w:w="4081"/>
      </w:tblGrid>
      <w:tr w:rsidR="00B215EA" w:rsidRPr="004B208C" w:rsidTr="00892A1D">
        <w:trPr>
          <w:trHeight w:val="80"/>
        </w:trPr>
        <w:tc>
          <w:tcPr>
            <w:tcW w:w="5000" w:type="pct"/>
            <w:gridSpan w:val="2"/>
            <w:shd w:val="clear" w:color="auto" w:fill="FABF8F"/>
          </w:tcPr>
          <w:p w:rsidR="00B215EA" w:rsidRPr="004B208C" w:rsidRDefault="00B215EA" w:rsidP="00892A1D">
            <w:pPr>
              <w:jc w:val="center"/>
              <w:rPr>
                <w:rFonts w:cs="Tahoma"/>
                <w:b/>
              </w:rPr>
            </w:pPr>
            <w:r w:rsidRPr="004B208C">
              <w:rPr>
                <w:rFonts w:cs="Tahoma"/>
                <w:b/>
              </w:rPr>
              <w:t>Assinaturas Online</w:t>
            </w:r>
          </w:p>
        </w:tc>
      </w:tr>
      <w:tr w:rsidR="00B215EA" w:rsidRPr="004B208C" w:rsidTr="00892A1D">
        <w:trPr>
          <w:trHeight w:val="219"/>
        </w:trPr>
        <w:tc>
          <w:tcPr>
            <w:tcW w:w="2500" w:type="pct"/>
          </w:tcPr>
          <w:p w:rsidR="00B215EA" w:rsidRPr="004B208C" w:rsidRDefault="00B215EA" w:rsidP="00A1385C">
            <w:pPr>
              <w:numPr>
                <w:ilvl w:val="0"/>
                <w:numId w:val="37"/>
              </w:numPr>
              <w:spacing w:before="80"/>
              <w:rPr>
                <w:rFonts w:cs="Tahoma"/>
              </w:rPr>
            </w:pPr>
            <w:r w:rsidRPr="004B208C">
              <w:rPr>
                <w:rFonts w:cs="Tahoma"/>
                <w:color w:val="000000"/>
              </w:rPr>
              <w:t>Assinatura do SQL Server Enterprise por</w:t>
            </w:r>
            <w:r w:rsidR="0065137B">
              <w:rPr>
                <w:rFonts w:cs="Tahoma"/>
                <w:color w:val="000000"/>
              </w:rPr>
              <w:t> </w:t>
            </w:r>
            <w:r w:rsidRPr="004B208C">
              <w:rPr>
                <w:rFonts w:cs="Tahoma"/>
                <w:color w:val="000000"/>
              </w:rPr>
              <w:t>Núcleo</w:t>
            </w:r>
            <w:r w:rsidRPr="004B208C">
              <w:rPr>
                <w:rFonts w:cs="Tahoma"/>
              </w:rPr>
              <w:t xml:space="preserve"> </w:t>
            </w:r>
          </w:p>
          <w:p w:rsidR="00B215EA" w:rsidRPr="004B208C" w:rsidRDefault="00B215EA" w:rsidP="00A1385C">
            <w:pPr>
              <w:numPr>
                <w:ilvl w:val="0"/>
                <w:numId w:val="37"/>
              </w:numPr>
              <w:spacing w:before="80"/>
              <w:rPr>
                <w:rFonts w:cs="Tahoma"/>
              </w:rPr>
            </w:pPr>
            <w:r w:rsidRPr="004B208C">
              <w:rPr>
                <w:rFonts w:cs="Tahoma"/>
                <w:color w:val="000000"/>
              </w:rPr>
              <w:t>Assinatura do SQL Server Business Intelligence Server</w:t>
            </w:r>
            <w:r w:rsidRPr="004B208C">
              <w:rPr>
                <w:rFonts w:cs="Tahoma"/>
              </w:rPr>
              <w:t xml:space="preserve"> </w:t>
            </w:r>
          </w:p>
          <w:p w:rsidR="00B215EA" w:rsidRPr="004B208C" w:rsidRDefault="00B215EA" w:rsidP="00A1385C">
            <w:pPr>
              <w:numPr>
                <w:ilvl w:val="0"/>
                <w:numId w:val="37"/>
              </w:numPr>
              <w:spacing w:before="80"/>
              <w:rPr>
                <w:rFonts w:cs="Tahoma"/>
              </w:rPr>
            </w:pPr>
            <w:r w:rsidRPr="004B208C">
              <w:rPr>
                <w:rFonts w:cs="Tahoma"/>
                <w:color w:val="000000"/>
              </w:rPr>
              <w:t>Assinatura do SQL Server Standard por</w:t>
            </w:r>
            <w:r w:rsidR="0065137B">
              <w:rPr>
                <w:rFonts w:cs="Tahoma"/>
                <w:color w:val="000000"/>
              </w:rPr>
              <w:t> </w:t>
            </w:r>
            <w:r w:rsidRPr="004B208C">
              <w:rPr>
                <w:rFonts w:cs="Tahoma"/>
                <w:color w:val="000000"/>
              </w:rPr>
              <w:t>Núcleo</w:t>
            </w:r>
            <w:r w:rsidRPr="004B208C">
              <w:rPr>
                <w:rFonts w:cs="Tahoma"/>
              </w:rPr>
              <w:t xml:space="preserve"> </w:t>
            </w:r>
          </w:p>
          <w:p w:rsidR="00B215EA" w:rsidRPr="004B208C" w:rsidRDefault="00B215EA" w:rsidP="00A1385C">
            <w:pPr>
              <w:numPr>
                <w:ilvl w:val="0"/>
                <w:numId w:val="37"/>
              </w:numPr>
              <w:spacing w:before="80"/>
              <w:rPr>
                <w:rFonts w:cs="Tahoma"/>
              </w:rPr>
            </w:pPr>
            <w:r w:rsidRPr="004B208C">
              <w:rPr>
                <w:rFonts w:cs="Tahoma"/>
                <w:color w:val="000000"/>
              </w:rPr>
              <w:t>Assinatura do SQL Server Standard por</w:t>
            </w:r>
            <w:r w:rsidR="0065137B">
              <w:rPr>
                <w:rFonts w:cs="Tahoma"/>
                <w:color w:val="000000"/>
              </w:rPr>
              <w:t> </w:t>
            </w:r>
            <w:r w:rsidRPr="004B208C">
              <w:rPr>
                <w:rFonts w:cs="Tahoma"/>
                <w:color w:val="000000"/>
              </w:rPr>
              <w:t>Núcleo</w:t>
            </w:r>
          </w:p>
          <w:p w:rsidR="00B215EA" w:rsidRPr="004B208C" w:rsidRDefault="00B215EA" w:rsidP="00A1385C">
            <w:pPr>
              <w:numPr>
                <w:ilvl w:val="0"/>
                <w:numId w:val="37"/>
              </w:numPr>
              <w:spacing w:before="80"/>
              <w:rPr>
                <w:rFonts w:cs="Tahoma"/>
              </w:rPr>
            </w:pPr>
            <w:r w:rsidRPr="004B208C">
              <w:rPr>
                <w:rFonts w:cs="Tahoma"/>
                <w:color w:val="000000"/>
              </w:rPr>
              <w:t>Assinatura do BizTalk Server Enterprise por</w:t>
            </w:r>
            <w:r w:rsidR="00B44A80">
              <w:rPr>
                <w:rFonts w:cs="Tahoma"/>
                <w:color w:val="000000"/>
              </w:rPr>
              <w:t> </w:t>
            </w:r>
            <w:r w:rsidRPr="004B208C">
              <w:rPr>
                <w:rFonts w:cs="Tahoma"/>
                <w:color w:val="000000"/>
              </w:rPr>
              <w:t xml:space="preserve">Núcleo </w:t>
            </w:r>
          </w:p>
          <w:p w:rsidR="00B215EA" w:rsidRPr="004B208C" w:rsidRDefault="00B215EA" w:rsidP="00A1385C">
            <w:pPr>
              <w:numPr>
                <w:ilvl w:val="0"/>
                <w:numId w:val="37"/>
              </w:numPr>
              <w:spacing w:before="80"/>
              <w:rPr>
                <w:rFonts w:cs="Tahoma"/>
              </w:rPr>
            </w:pPr>
            <w:r w:rsidRPr="004B208C">
              <w:rPr>
                <w:rFonts w:cs="Tahoma"/>
                <w:color w:val="000000"/>
              </w:rPr>
              <w:t>Assinatura do BizTalk Server Standard por</w:t>
            </w:r>
            <w:r w:rsidR="00B44A80">
              <w:rPr>
                <w:rFonts w:cs="Tahoma"/>
                <w:color w:val="000000"/>
              </w:rPr>
              <w:t> </w:t>
            </w:r>
            <w:r w:rsidRPr="004B208C">
              <w:rPr>
                <w:rFonts w:cs="Tahoma"/>
                <w:color w:val="000000"/>
              </w:rPr>
              <w:t>Núcleo</w:t>
            </w:r>
          </w:p>
          <w:p w:rsidR="00B215EA" w:rsidRPr="004B208C" w:rsidRDefault="00B215EA" w:rsidP="00A1385C">
            <w:pPr>
              <w:numPr>
                <w:ilvl w:val="0"/>
                <w:numId w:val="37"/>
              </w:numPr>
              <w:spacing w:before="80"/>
              <w:rPr>
                <w:rFonts w:cs="Tahoma"/>
              </w:rPr>
            </w:pPr>
            <w:r w:rsidRPr="004B208C">
              <w:rPr>
                <w:rFonts w:cs="Tahoma"/>
                <w:color w:val="000000"/>
              </w:rPr>
              <w:t>Assinatura do BizTalk Server Branch por</w:t>
            </w:r>
            <w:r w:rsidR="00B44A80">
              <w:rPr>
                <w:rFonts w:cs="Tahoma"/>
                <w:color w:val="000000"/>
              </w:rPr>
              <w:t> </w:t>
            </w:r>
            <w:r w:rsidRPr="004B208C">
              <w:rPr>
                <w:rFonts w:cs="Tahoma"/>
                <w:color w:val="000000"/>
              </w:rPr>
              <w:t>Núcleo</w:t>
            </w:r>
          </w:p>
          <w:p w:rsidR="00B215EA" w:rsidRPr="004B208C" w:rsidRDefault="00B215EA" w:rsidP="00A1385C">
            <w:pPr>
              <w:numPr>
                <w:ilvl w:val="0"/>
                <w:numId w:val="37"/>
              </w:numPr>
              <w:spacing w:before="80"/>
              <w:rPr>
                <w:rFonts w:cs="Tahoma"/>
              </w:rPr>
            </w:pPr>
            <w:r w:rsidRPr="004B208C">
              <w:rPr>
                <w:rFonts w:cs="Tahoma"/>
                <w:color w:val="000000"/>
              </w:rPr>
              <w:t>Assinatura do Visual Studio Ultimate com</w:t>
            </w:r>
            <w:r w:rsidR="00B44A80">
              <w:rPr>
                <w:rFonts w:cs="Tahoma"/>
                <w:color w:val="000000"/>
              </w:rPr>
              <w:t> </w:t>
            </w:r>
            <w:r w:rsidRPr="004B208C">
              <w:rPr>
                <w:rFonts w:cs="Tahoma"/>
                <w:color w:val="000000"/>
              </w:rPr>
              <w:t>MSDN</w:t>
            </w:r>
            <w:r w:rsidRPr="004B208C">
              <w:rPr>
                <w:rFonts w:cs="Tahoma"/>
              </w:rPr>
              <w:t xml:space="preserve"> </w:t>
            </w:r>
          </w:p>
          <w:p w:rsidR="00B215EA" w:rsidRPr="004B208C" w:rsidRDefault="00B215EA" w:rsidP="00A1385C">
            <w:pPr>
              <w:numPr>
                <w:ilvl w:val="0"/>
                <w:numId w:val="37"/>
              </w:numPr>
              <w:spacing w:before="80"/>
              <w:rPr>
                <w:rFonts w:cs="Tahoma"/>
              </w:rPr>
            </w:pPr>
            <w:r w:rsidRPr="004B208C">
              <w:rPr>
                <w:rFonts w:cs="Tahoma"/>
                <w:color w:val="000000"/>
              </w:rPr>
              <w:t>Assinatura do Visual Studio Premium com</w:t>
            </w:r>
            <w:r w:rsidR="00B44A80">
              <w:rPr>
                <w:rFonts w:cs="Tahoma"/>
                <w:color w:val="000000"/>
              </w:rPr>
              <w:t> </w:t>
            </w:r>
            <w:r w:rsidRPr="004B208C">
              <w:rPr>
                <w:rFonts w:cs="Tahoma"/>
                <w:color w:val="000000"/>
              </w:rPr>
              <w:t>MSDN</w:t>
            </w:r>
            <w:r w:rsidRPr="004B208C">
              <w:rPr>
                <w:rFonts w:cs="Tahoma"/>
              </w:rPr>
              <w:t xml:space="preserve"> </w:t>
            </w:r>
          </w:p>
          <w:p w:rsidR="00B215EA" w:rsidRPr="004B208C" w:rsidRDefault="00B215EA" w:rsidP="00A1385C">
            <w:pPr>
              <w:numPr>
                <w:ilvl w:val="0"/>
                <w:numId w:val="37"/>
              </w:numPr>
              <w:spacing w:before="80"/>
              <w:rPr>
                <w:rFonts w:cs="Tahoma"/>
              </w:rPr>
            </w:pPr>
            <w:r w:rsidRPr="004B208C">
              <w:rPr>
                <w:rFonts w:cs="Tahoma"/>
                <w:color w:val="000000"/>
              </w:rPr>
              <w:t>Assinatura do Visual Studio Test Professional com MSDN</w:t>
            </w:r>
            <w:r w:rsidRPr="004B208C">
              <w:rPr>
                <w:rFonts w:cs="Tahoma"/>
              </w:rPr>
              <w:t xml:space="preserve"> </w:t>
            </w:r>
          </w:p>
          <w:p w:rsidR="00B215EA" w:rsidRPr="004B208C" w:rsidRDefault="00B215EA" w:rsidP="00A1385C">
            <w:pPr>
              <w:numPr>
                <w:ilvl w:val="0"/>
                <w:numId w:val="37"/>
              </w:numPr>
              <w:spacing w:before="80"/>
              <w:jc w:val="both"/>
              <w:rPr>
                <w:rFonts w:cs="Tahoma"/>
              </w:rPr>
            </w:pPr>
            <w:r w:rsidRPr="004B208C">
              <w:rPr>
                <w:rFonts w:cs="Tahoma"/>
                <w:color w:val="000000"/>
              </w:rPr>
              <w:t>Assinatura da CAL do Visual Studio Team Foundation Server</w:t>
            </w:r>
          </w:p>
          <w:p w:rsidR="00B215EA" w:rsidRPr="004B208C" w:rsidRDefault="00B215EA" w:rsidP="00A1385C">
            <w:pPr>
              <w:numPr>
                <w:ilvl w:val="0"/>
                <w:numId w:val="37"/>
              </w:numPr>
              <w:spacing w:before="80"/>
              <w:jc w:val="both"/>
              <w:rPr>
                <w:rFonts w:cs="Tahoma"/>
              </w:rPr>
            </w:pPr>
            <w:r w:rsidRPr="004B208C">
              <w:rPr>
                <w:rFonts w:cs="Tahoma"/>
                <w:color w:val="000000"/>
              </w:rPr>
              <w:t xml:space="preserve">Assinaturas das Plataformas do MSDN </w:t>
            </w:r>
          </w:p>
          <w:p w:rsidR="00B215EA" w:rsidRPr="004B208C" w:rsidRDefault="00B215EA" w:rsidP="00A1385C">
            <w:pPr>
              <w:numPr>
                <w:ilvl w:val="0"/>
                <w:numId w:val="37"/>
              </w:numPr>
              <w:spacing w:before="80"/>
              <w:jc w:val="both"/>
              <w:rPr>
                <w:rFonts w:cs="Tahoma"/>
                <w:color w:val="000000"/>
              </w:rPr>
            </w:pPr>
            <w:r w:rsidRPr="004B208C">
              <w:rPr>
                <w:rFonts w:cs="Tahoma"/>
                <w:color w:val="000000"/>
              </w:rPr>
              <w:t>Assinatura</w:t>
            </w:r>
            <w:r w:rsidR="00B44A80">
              <w:rPr>
                <w:rFonts w:cs="Tahoma"/>
                <w:color w:val="000000"/>
              </w:rPr>
              <w:t> </w:t>
            </w:r>
            <w:r w:rsidRPr="004B208C">
              <w:rPr>
                <w:rFonts w:cs="Tahoma"/>
                <w:color w:val="000000"/>
              </w:rPr>
              <w:t>do</w:t>
            </w:r>
            <w:r w:rsidR="00B44A80">
              <w:rPr>
                <w:rFonts w:cs="Tahoma"/>
                <w:color w:val="000000"/>
              </w:rPr>
              <w:t> </w:t>
            </w:r>
            <w:r w:rsidRPr="004B208C">
              <w:rPr>
                <w:rFonts w:cs="Tahoma"/>
                <w:color w:val="000000"/>
              </w:rPr>
              <w:t>Visual</w:t>
            </w:r>
            <w:r w:rsidR="00B44A80">
              <w:rPr>
                <w:rFonts w:cs="Tahoma"/>
                <w:color w:val="000000"/>
              </w:rPr>
              <w:t> </w:t>
            </w:r>
            <w:r w:rsidRPr="004B208C">
              <w:rPr>
                <w:rFonts w:cs="Tahoma"/>
                <w:color w:val="000000"/>
              </w:rPr>
              <w:t>Studio</w:t>
            </w:r>
            <w:r w:rsidR="00B44A80">
              <w:rPr>
                <w:rFonts w:cs="Tahoma"/>
                <w:color w:val="000000"/>
              </w:rPr>
              <w:t> </w:t>
            </w:r>
            <w:r w:rsidRPr="004B208C">
              <w:rPr>
                <w:rFonts w:cs="Tahoma"/>
                <w:color w:val="000000"/>
              </w:rPr>
              <w:t>Deployment Standard</w:t>
            </w:r>
            <w:r w:rsidRPr="004B208C">
              <w:rPr>
                <w:rFonts w:cs="Tahoma"/>
              </w:rPr>
              <w:t xml:space="preserve"> </w:t>
            </w:r>
          </w:p>
        </w:tc>
        <w:tc>
          <w:tcPr>
            <w:tcW w:w="2500" w:type="pct"/>
          </w:tcPr>
          <w:p w:rsidR="00B215EA" w:rsidRPr="004B208C" w:rsidRDefault="00B215EA" w:rsidP="00A1385C">
            <w:pPr>
              <w:numPr>
                <w:ilvl w:val="0"/>
                <w:numId w:val="37"/>
              </w:numPr>
              <w:spacing w:before="80"/>
              <w:jc w:val="both"/>
              <w:rPr>
                <w:rFonts w:cs="Tahoma"/>
              </w:rPr>
            </w:pPr>
            <w:r w:rsidRPr="004B208C">
              <w:rPr>
                <w:rFonts w:cs="Tahoma"/>
                <w:color w:val="000000"/>
              </w:rPr>
              <w:t xml:space="preserve">Assinatura do Visual Studio Deployment Datacenter </w:t>
            </w:r>
          </w:p>
          <w:p w:rsidR="00B215EA" w:rsidRPr="004B208C" w:rsidRDefault="00B215EA" w:rsidP="00A1385C">
            <w:pPr>
              <w:numPr>
                <w:ilvl w:val="0"/>
                <w:numId w:val="37"/>
              </w:numPr>
              <w:spacing w:before="80"/>
              <w:jc w:val="both"/>
              <w:rPr>
                <w:rFonts w:cs="Tahoma"/>
              </w:rPr>
            </w:pPr>
            <w:r w:rsidRPr="004B208C">
              <w:rPr>
                <w:rFonts w:cs="Tahoma"/>
                <w:color w:val="000000"/>
              </w:rPr>
              <w:t xml:space="preserve">Assinatura do SharePoint Server </w:t>
            </w:r>
          </w:p>
          <w:p w:rsidR="00B215EA" w:rsidRPr="004B208C" w:rsidRDefault="00B215EA" w:rsidP="00A1385C">
            <w:pPr>
              <w:numPr>
                <w:ilvl w:val="0"/>
                <w:numId w:val="37"/>
              </w:numPr>
              <w:spacing w:before="80"/>
              <w:jc w:val="both"/>
              <w:rPr>
                <w:rFonts w:cs="Tahoma"/>
              </w:rPr>
            </w:pPr>
            <w:r w:rsidRPr="004B208C">
              <w:rPr>
                <w:rFonts w:cs="Tahoma"/>
                <w:color w:val="000000"/>
              </w:rPr>
              <w:t>Assinatura CIS Datacenter</w:t>
            </w:r>
          </w:p>
          <w:p w:rsidR="00B215EA" w:rsidRPr="004B208C" w:rsidRDefault="00B215EA" w:rsidP="00A1385C">
            <w:pPr>
              <w:numPr>
                <w:ilvl w:val="0"/>
                <w:numId w:val="37"/>
              </w:numPr>
              <w:spacing w:before="80"/>
              <w:jc w:val="both"/>
              <w:rPr>
                <w:rFonts w:cs="Tahoma"/>
              </w:rPr>
            </w:pPr>
            <w:r w:rsidRPr="004B208C">
              <w:rPr>
                <w:rFonts w:cs="Tahoma"/>
                <w:color w:val="000000"/>
              </w:rPr>
              <w:t>Assinatura do CIS Standard</w:t>
            </w:r>
          </w:p>
          <w:p w:rsidR="00B215EA" w:rsidRPr="004B208C" w:rsidRDefault="00B215EA" w:rsidP="00892A1D">
            <w:pPr>
              <w:spacing w:before="80" w:after="120"/>
              <w:ind w:left="882"/>
              <w:jc w:val="both"/>
              <w:rPr>
                <w:rFonts w:cs="Tahoma"/>
              </w:rPr>
            </w:pPr>
          </w:p>
        </w:tc>
      </w:tr>
    </w:tbl>
    <w:p w:rsidR="00456002" w:rsidRPr="004B208C" w:rsidRDefault="00456002" w:rsidP="00366502">
      <w:pPr>
        <w:pStyle w:val="Heading2"/>
        <w:ind w:left="0"/>
        <w:rPr>
          <w:rFonts w:ascii="Tahoma" w:hAnsi="Tahoma" w:cs="Tahoma"/>
        </w:rPr>
      </w:pPr>
      <w:bookmarkStart w:id="619" w:name="_Toc370981310"/>
      <w:r w:rsidRPr="004B208C">
        <w:rPr>
          <w:rFonts w:ascii="Tahoma" w:hAnsi="Tahoma" w:cs="Tahoma"/>
        </w:rPr>
        <w:lastRenderedPageBreak/>
        <w:t>Continuidade do Serviço por meio de Prazo Estendido</w:t>
      </w:r>
      <w:bookmarkEnd w:id="618"/>
      <w:bookmarkEnd w:id="619"/>
      <w:r w:rsidRPr="004B208C">
        <w:rPr>
          <w:rFonts w:ascii="Tahoma" w:eastAsia="Times New Roman" w:hAnsi="Tahoma" w:cs="Tahoma"/>
          <w:sz w:val="20"/>
        </w:rPr>
        <w:t xml:space="preserve"> </w:t>
      </w:r>
    </w:p>
    <w:p w:rsidR="00456002" w:rsidRPr="004B208C" w:rsidRDefault="00456002" w:rsidP="00366502">
      <w:pPr>
        <w:tabs>
          <w:tab w:val="left" w:pos="360"/>
        </w:tabs>
        <w:rPr>
          <w:rFonts w:cs="Tahoma"/>
        </w:rPr>
      </w:pPr>
    </w:p>
    <w:p w:rsidR="00456002" w:rsidRPr="004B208C" w:rsidRDefault="00456002" w:rsidP="00366502">
      <w:pPr>
        <w:tabs>
          <w:tab w:val="left" w:pos="360"/>
        </w:tabs>
        <w:rPr>
          <w:rFonts w:cs="Tahoma"/>
        </w:rPr>
      </w:pPr>
      <w:r w:rsidRPr="004B208C">
        <w:rPr>
          <w:rFonts w:cs="Tahoma"/>
          <w:b/>
          <w:szCs w:val="20"/>
        </w:rPr>
        <w:t>Observação:</w:t>
      </w:r>
      <w:r w:rsidRPr="004B208C">
        <w:rPr>
          <w:rFonts w:cs="Tahoma"/>
          <w:szCs w:val="20"/>
        </w:rPr>
        <w:t xml:space="preserve"> O seguinte se aplica aos clientes do Registro Enterprise e Enterprise Subscription qualificados para continuidade do serviço por meio de Prazo Estendido.</w:t>
      </w:r>
      <w:r w:rsidR="00172F11">
        <w:rPr>
          <w:rFonts w:cs="Tahoma"/>
          <w:szCs w:val="20"/>
        </w:rPr>
        <w:t xml:space="preserve"> </w:t>
      </w:r>
      <w:r w:rsidRPr="004B208C">
        <w:rPr>
          <w:rFonts w:cs="Tahoma"/>
          <w:szCs w:val="20"/>
        </w:rPr>
        <w:t>Os clientes que tiverem dúvidas sobre sua qualificação para continuidade do serviço por meio do Prazo Estendido devem entrar em contato com o Consultor de Software, Revendedor ou Gerente de Conta Microsoft para obter mais informações.</w:t>
      </w:r>
      <w:r w:rsidR="00172F11">
        <w:rPr>
          <w:rFonts w:cs="Tahoma"/>
          <w:szCs w:val="20"/>
        </w:rPr>
        <w:t xml:space="preserve"> </w:t>
      </w:r>
    </w:p>
    <w:p w:rsidR="00456002" w:rsidRPr="004B208C" w:rsidRDefault="00456002" w:rsidP="00366502">
      <w:pPr>
        <w:tabs>
          <w:tab w:val="left" w:pos="360"/>
        </w:tabs>
        <w:rPr>
          <w:rFonts w:cs="Tahoma"/>
        </w:rPr>
      </w:pPr>
    </w:p>
    <w:p w:rsidR="00456002" w:rsidRPr="004B208C" w:rsidRDefault="00456002" w:rsidP="00366502">
      <w:pPr>
        <w:tabs>
          <w:tab w:val="left" w:pos="360"/>
        </w:tabs>
        <w:rPr>
          <w:rFonts w:cs="Tahoma"/>
        </w:rPr>
      </w:pPr>
      <w:r w:rsidRPr="004B208C">
        <w:rPr>
          <w:rFonts w:cs="Tahoma"/>
          <w:szCs w:val="20"/>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w:t>
      </w:r>
      <w:r w:rsidR="00232835">
        <w:rPr>
          <w:rFonts w:cs="Tahoma"/>
          <w:szCs w:val="20"/>
        </w:rPr>
        <w:t> </w:t>
      </w:r>
      <w:r w:rsidRPr="004B208C">
        <w:rPr>
          <w:rFonts w:cs="Tahoma"/>
          <w:szCs w:val="20"/>
        </w:rPr>
        <w:t>Serviço por meio do Prazo Estendido:</w:t>
      </w:r>
    </w:p>
    <w:p w:rsidR="00456002" w:rsidRPr="004B208C"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4B208C" w:rsidTr="005C647E">
        <w:trPr>
          <w:trHeight w:val="80"/>
          <w:tblHeader/>
        </w:trPr>
        <w:tc>
          <w:tcPr>
            <w:tcW w:w="5000" w:type="pct"/>
            <w:gridSpan w:val="2"/>
            <w:shd w:val="clear" w:color="auto" w:fill="FABF8F"/>
          </w:tcPr>
          <w:p w:rsidR="00456002" w:rsidRPr="004B208C" w:rsidRDefault="00456002" w:rsidP="005C647E">
            <w:pPr>
              <w:jc w:val="center"/>
              <w:rPr>
                <w:rFonts w:cs="Tahoma"/>
                <w:b/>
                <w:sz w:val="20"/>
              </w:rPr>
            </w:pPr>
            <w:r w:rsidRPr="004B208C">
              <w:rPr>
                <w:rFonts w:cs="Tahoma"/>
                <w:b/>
                <w:sz w:val="20"/>
              </w:rPr>
              <w:t>Serviços Online</w:t>
            </w:r>
          </w:p>
        </w:tc>
      </w:tr>
      <w:tr w:rsidR="00456002" w:rsidRPr="004B208C" w:rsidTr="005C647E">
        <w:trPr>
          <w:trHeight w:val="219"/>
        </w:trPr>
        <w:tc>
          <w:tcPr>
            <w:tcW w:w="2603" w:type="pct"/>
          </w:tcPr>
          <w:p w:rsidR="00D85FDD" w:rsidRPr="004B208C" w:rsidRDefault="00D85FDD" w:rsidP="00A1385C">
            <w:pPr>
              <w:keepNext/>
              <w:numPr>
                <w:ilvl w:val="0"/>
                <w:numId w:val="37"/>
              </w:numPr>
              <w:spacing w:before="80"/>
              <w:ind w:left="905" w:hanging="540"/>
              <w:jc w:val="both"/>
              <w:rPr>
                <w:rFonts w:cs="Tahoma"/>
              </w:rPr>
            </w:pPr>
            <w:r w:rsidRPr="004B208C">
              <w:rPr>
                <w:rFonts w:cs="Tahoma"/>
              </w:rPr>
              <w:t>Arquivamento do Exchange Online para Exchange Online*</w:t>
            </w:r>
          </w:p>
          <w:p w:rsidR="00D85FDD" w:rsidRPr="004B208C" w:rsidRDefault="00D85FDD" w:rsidP="00A1385C">
            <w:pPr>
              <w:keepNext/>
              <w:numPr>
                <w:ilvl w:val="0"/>
                <w:numId w:val="37"/>
              </w:numPr>
              <w:spacing w:before="80"/>
              <w:ind w:left="905" w:hanging="540"/>
              <w:jc w:val="both"/>
              <w:rPr>
                <w:rFonts w:cs="Tahoma"/>
              </w:rPr>
            </w:pPr>
            <w:r w:rsidRPr="004B208C">
              <w:rPr>
                <w:rFonts w:cs="Tahoma"/>
              </w:rPr>
              <w:t>Arquivamento do Exchange Online para Exchange Server*</w:t>
            </w:r>
          </w:p>
          <w:p w:rsidR="00456002" w:rsidRPr="004B208C" w:rsidRDefault="00456002" w:rsidP="00A1385C">
            <w:pPr>
              <w:keepNext/>
              <w:numPr>
                <w:ilvl w:val="0"/>
                <w:numId w:val="37"/>
              </w:numPr>
              <w:spacing w:before="80"/>
              <w:ind w:left="905" w:hanging="540"/>
              <w:jc w:val="both"/>
              <w:rPr>
                <w:rFonts w:cs="Tahoma"/>
              </w:rPr>
            </w:pPr>
            <w:r w:rsidRPr="004B208C">
              <w:rPr>
                <w:rFonts w:cs="Tahoma"/>
              </w:rPr>
              <w:t>Quiosque do Exchange Online*</w:t>
            </w:r>
          </w:p>
          <w:p w:rsidR="00456002" w:rsidRPr="004B208C" w:rsidRDefault="00456002" w:rsidP="00A1385C">
            <w:pPr>
              <w:keepNext/>
              <w:numPr>
                <w:ilvl w:val="0"/>
                <w:numId w:val="37"/>
              </w:numPr>
              <w:spacing w:before="80"/>
              <w:ind w:left="905" w:hanging="540"/>
              <w:jc w:val="both"/>
              <w:rPr>
                <w:rFonts w:cs="Tahoma"/>
              </w:rPr>
            </w:pPr>
            <w:r w:rsidRPr="004B208C">
              <w:rPr>
                <w:rFonts w:cs="Tahoma"/>
              </w:rPr>
              <w:t>Exchange Online Plano 1*</w:t>
            </w:r>
          </w:p>
          <w:p w:rsidR="00456002" w:rsidRPr="004B208C" w:rsidRDefault="00456002" w:rsidP="00A1385C">
            <w:pPr>
              <w:keepNext/>
              <w:numPr>
                <w:ilvl w:val="0"/>
                <w:numId w:val="37"/>
              </w:numPr>
              <w:spacing w:before="80"/>
              <w:ind w:left="905" w:hanging="540"/>
              <w:jc w:val="both"/>
              <w:rPr>
                <w:rFonts w:cs="Tahoma"/>
              </w:rPr>
            </w:pPr>
            <w:r w:rsidRPr="004B208C">
              <w:rPr>
                <w:rFonts w:cs="Tahoma"/>
              </w:rPr>
              <w:t>Exchange Online Plano 2*</w:t>
            </w:r>
          </w:p>
          <w:p w:rsidR="00D85FDD" w:rsidRPr="004B208C" w:rsidRDefault="00D85FDD" w:rsidP="00A1385C">
            <w:pPr>
              <w:keepNext/>
              <w:numPr>
                <w:ilvl w:val="0"/>
                <w:numId w:val="37"/>
              </w:numPr>
              <w:spacing w:before="80"/>
              <w:ind w:left="905" w:hanging="540"/>
              <w:jc w:val="both"/>
              <w:rPr>
                <w:rFonts w:cs="Tahoma"/>
              </w:rPr>
            </w:pPr>
            <w:r w:rsidRPr="004B208C">
              <w:rPr>
                <w:rFonts w:cs="Tahoma"/>
              </w:rPr>
              <w:t>Exchange Online Protection*</w:t>
            </w:r>
          </w:p>
          <w:p w:rsidR="00456002" w:rsidRPr="004B208C" w:rsidRDefault="00456002" w:rsidP="00A1385C">
            <w:pPr>
              <w:keepNext/>
              <w:numPr>
                <w:ilvl w:val="0"/>
                <w:numId w:val="37"/>
              </w:numPr>
              <w:spacing w:before="80"/>
              <w:ind w:left="905" w:hanging="540"/>
              <w:jc w:val="both"/>
              <w:rPr>
                <w:rFonts w:cs="Tahoma"/>
              </w:rPr>
            </w:pPr>
            <w:r w:rsidRPr="004B208C">
              <w:rPr>
                <w:rFonts w:cs="Tahoma"/>
              </w:rPr>
              <w:t>Lync Online Plano 1*</w:t>
            </w:r>
          </w:p>
          <w:p w:rsidR="00456002" w:rsidRPr="004B208C" w:rsidRDefault="00456002" w:rsidP="00A1385C">
            <w:pPr>
              <w:keepNext/>
              <w:numPr>
                <w:ilvl w:val="0"/>
                <w:numId w:val="37"/>
              </w:numPr>
              <w:spacing w:before="80"/>
              <w:ind w:left="905" w:hanging="540"/>
              <w:jc w:val="both"/>
              <w:rPr>
                <w:rFonts w:cs="Tahoma"/>
              </w:rPr>
            </w:pPr>
            <w:r w:rsidRPr="004B208C">
              <w:rPr>
                <w:rFonts w:cs="Tahoma"/>
              </w:rPr>
              <w:t>Lync Online Plano 2*</w:t>
            </w:r>
          </w:p>
          <w:p w:rsidR="00E77288" w:rsidRPr="004B208C" w:rsidRDefault="00E77288" w:rsidP="00A1385C">
            <w:pPr>
              <w:keepNext/>
              <w:numPr>
                <w:ilvl w:val="0"/>
                <w:numId w:val="37"/>
              </w:numPr>
              <w:spacing w:before="80"/>
              <w:ind w:left="905" w:hanging="540"/>
              <w:jc w:val="both"/>
              <w:rPr>
                <w:rFonts w:cs="Tahoma"/>
              </w:rPr>
            </w:pPr>
            <w:r w:rsidRPr="004B208C">
              <w:rPr>
                <w:rFonts w:cs="Tahoma"/>
              </w:rPr>
              <w:t>Lync Online Plano 3*</w:t>
            </w:r>
          </w:p>
          <w:p w:rsidR="00456002" w:rsidRPr="004B208C" w:rsidRDefault="00456002" w:rsidP="00A1385C">
            <w:pPr>
              <w:keepNext/>
              <w:numPr>
                <w:ilvl w:val="0"/>
                <w:numId w:val="37"/>
              </w:numPr>
              <w:spacing w:before="80"/>
              <w:ind w:left="905" w:hanging="540"/>
              <w:jc w:val="both"/>
              <w:rPr>
                <w:rFonts w:cs="Tahoma"/>
              </w:rPr>
            </w:pPr>
            <w:r w:rsidRPr="004B208C">
              <w:rPr>
                <w:rFonts w:cs="Tahoma"/>
              </w:rPr>
              <w:t>Office 365 (Enterprise K1)*</w:t>
            </w:r>
          </w:p>
          <w:p w:rsidR="00456002" w:rsidRPr="004B208C" w:rsidRDefault="00456002" w:rsidP="00A1385C">
            <w:pPr>
              <w:keepNext/>
              <w:numPr>
                <w:ilvl w:val="0"/>
                <w:numId w:val="37"/>
              </w:numPr>
              <w:spacing w:before="80"/>
              <w:ind w:left="905" w:hanging="540"/>
              <w:jc w:val="both"/>
              <w:rPr>
                <w:rFonts w:cs="Tahoma"/>
              </w:rPr>
            </w:pPr>
            <w:r w:rsidRPr="004B208C">
              <w:rPr>
                <w:rFonts w:cs="Tahoma"/>
              </w:rPr>
              <w:t>Office 365 (Enterprise E1)</w:t>
            </w:r>
          </w:p>
          <w:p w:rsidR="00456002" w:rsidRPr="004B208C" w:rsidRDefault="00456002" w:rsidP="00A1385C">
            <w:pPr>
              <w:keepNext/>
              <w:numPr>
                <w:ilvl w:val="0"/>
                <w:numId w:val="37"/>
              </w:numPr>
              <w:spacing w:before="80"/>
              <w:ind w:left="895" w:hanging="530"/>
              <w:jc w:val="both"/>
              <w:rPr>
                <w:rFonts w:cs="Tahoma"/>
              </w:rPr>
            </w:pPr>
            <w:r w:rsidRPr="004B208C">
              <w:rPr>
                <w:rFonts w:cs="Tahoma"/>
              </w:rPr>
              <w:t>Office 365 (Enterprise E3)</w:t>
            </w:r>
          </w:p>
          <w:p w:rsidR="00456002" w:rsidRPr="004B208C" w:rsidRDefault="00456002" w:rsidP="00A1385C">
            <w:pPr>
              <w:keepNext/>
              <w:numPr>
                <w:ilvl w:val="0"/>
                <w:numId w:val="37"/>
              </w:numPr>
              <w:spacing w:before="80"/>
              <w:ind w:left="895" w:hanging="530"/>
              <w:jc w:val="both"/>
              <w:rPr>
                <w:rFonts w:cs="Tahoma"/>
              </w:rPr>
            </w:pPr>
            <w:r w:rsidRPr="004B208C">
              <w:rPr>
                <w:rFonts w:cs="Tahoma"/>
              </w:rPr>
              <w:t>Office 365 (Enterprise E4)</w:t>
            </w:r>
          </w:p>
        </w:tc>
        <w:tc>
          <w:tcPr>
            <w:tcW w:w="2397" w:type="pct"/>
          </w:tcPr>
          <w:p w:rsidR="00C177EF" w:rsidRPr="004B208C" w:rsidRDefault="00C177EF" w:rsidP="00A1385C">
            <w:pPr>
              <w:keepNext/>
              <w:numPr>
                <w:ilvl w:val="0"/>
                <w:numId w:val="37"/>
              </w:numPr>
              <w:spacing w:before="80"/>
              <w:ind w:left="725"/>
              <w:jc w:val="both"/>
              <w:rPr>
                <w:rFonts w:cs="Tahoma"/>
              </w:rPr>
            </w:pPr>
            <w:r w:rsidRPr="004B208C">
              <w:rPr>
                <w:rFonts w:cs="Tahoma"/>
              </w:rPr>
              <w:t>Microsoft Dynamics CRM Online*</w:t>
            </w:r>
          </w:p>
          <w:p w:rsidR="009E224B" w:rsidRPr="004B208C" w:rsidRDefault="009E224B" w:rsidP="00A1385C">
            <w:pPr>
              <w:keepNext/>
              <w:numPr>
                <w:ilvl w:val="0"/>
                <w:numId w:val="37"/>
              </w:numPr>
              <w:spacing w:before="80"/>
              <w:ind w:left="725"/>
              <w:jc w:val="both"/>
              <w:rPr>
                <w:rFonts w:cs="Tahoma"/>
              </w:rPr>
            </w:pPr>
            <w:r w:rsidRPr="004B208C">
              <w:rPr>
                <w:rFonts w:cs="Tahoma"/>
              </w:rPr>
              <w:t>Office 365 (Government G1)</w:t>
            </w:r>
          </w:p>
          <w:p w:rsidR="009E224B" w:rsidRPr="004B208C" w:rsidRDefault="009E224B" w:rsidP="00A1385C">
            <w:pPr>
              <w:keepNext/>
              <w:numPr>
                <w:ilvl w:val="0"/>
                <w:numId w:val="37"/>
              </w:numPr>
              <w:spacing w:before="80"/>
              <w:ind w:left="725"/>
              <w:jc w:val="both"/>
              <w:rPr>
                <w:rFonts w:cs="Tahoma"/>
              </w:rPr>
            </w:pPr>
            <w:r w:rsidRPr="004B208C">
              <w:rPr>
                <w:rFonts w:cs="Tahoma"/>
              </w:rPr>
              <w:t>Office 365 (Government G3)</w:t>
            </w:r>
          </w:p>
          <w:p w:rsidR="009E224B" w:rsidRPr="004B208C" w:rsidRDefault="009E224B" w:rsidP="00A1385C">
            <w:pPr>
              <w:keepNext/>
              <w:numPr>
                <w:ilvl w:val="0"/>
                <w:numId w:val="37"/>
              </w:numPr>
              <w:spacing w:before="80"/>
              <w:ind w:left="725"/>
              <w:jc w:val="both"/>
              <w:rPr>
                <w:rFonts w:cs="Tahoma"/>
              </w:rPr>
            </w:pPr>
            <w:r w:rsidRPr="004B208C">
              <w:rPr>
                <w:rFonts w:cs="Tahoma"/>
              </w:rPr>
              <w:t>Office 365 (Government G4)</w:t>
            </w:r>
          </w:p>
          <w:p w:rsidR="00456002" w:rsidRPr="004B208C" w:rsidRDefault="00456002" w:rsidP="00A1385C">
            <w:pPr>
              <w:keepNext/>
              <w:numPr>
                <w:ilvl w:val="0"/>
                <w:numId w:val="37"/>
              </w:numPr>
              <w:spacing w:before="80"/>
              <w:ind w:left="725"/>
              <w:jc w:val="both"/>
              <w:rPr>
                <w:rFonts w:cs="Tahoma"/>
              </w:rPr>
            </w:pPr>
            <w:r w:rsidRPr="004B208C">
              <w:rPr>
                <w:rFonts w:cs="Tahoma"/>
              </w:rPr>
              <w:t>Office Web Applications*</w:t>
            </w:r>
          </w:p>
          <w:p w:rsidR="00C177EF" w:rsidRPr="004B208C" w:rsidRDefault="00C177EF" w:rsidP="00A1385C">
            <w:pPr>
              <w:keepNext/>
              <w:numPr>
                <w:ilvl w:val="0"/>
                <w:numId w:val="37"/>
              </w:numPr>
              <w:spacing w:before="80"/>
              <w:ind w:left="725"/>
              <w:jc w:val="both"/>
              <w:rPr>
                <w:rFonts w:cs="Tahoma"/>
              </w:rPr>
            </w:pPr>
            <w:r w:rsidRPr="004B208C">
              <w:rPr>
                <w:rFonts w:cs="Tahoma"/>
              </w:rPr>
              <w:t>Project Online*</w:t>
            </w:r>
          </w:p>
          <w:p w:rsidR="00C177EF" w:rsidRPr="004B208C" w:rsidRDefault="00C177EF" w:rsidP="00A1385C">
            <w:pPr>
              <w:keepNext/>
              <w:numPr>
                <w:ilvl w:val="0"/>
                <w:numId w:val="37"/>
              </w:numPr>
              <w:spacing w:before="80"/>
              <w:ind w:left="725"/>
              <w:jc w:val="both"/>
              <w:rPr>
                <w:rFonts w:cs="Tahoma"/>
              </w:rPr>
            </w:pPr>
            <w:r w:rsidRPr="004B208C">
              <w:rPr>
                <w:rFonts w:cs="Tahoma"/>
              </w:rPr>
              <w:t>Project Pro para Office 365*</w:t>
            </w:r>
          </w:p>
          <w:p w:rsidR="00456002" w:rsidRPr="004B208C" w:rsidRDefault="00456002" w:rsidP="00A1385C">
            <w:pPr>
              <w:keepNext/>
              <w:numPr>
                <w:ilvl w:val="0"/>
                <w:numId w:val="37"/>
              </w:numPr>
              <w:spacing w:before="80"/>
              <w:ind w:left="725"/>
              <w:jc w:val="both"/>
              <w:rPr>
                <w:rFonts w:cs="Tahoma"/>
              </w:rPr>
            </w:pPr>
            <w:r w:rsidRPr="004B208C">
              <w:rPr>
                <w:rFonts w:cs="Tahoma"/>
              </w:rPr>
              <w:t>SharePoint Online Plano 1*</w:t>
            </w:r>
          </w:p>
          <w:p w:rsidR="00456002" w:rsidRPr="004B208C" w:rsidRDefault="00456002" w:rsidP="00A1385C">
            <w:pPr>
              <w:keepNext/>
              <w:numPr>
                <w:ilvl w:val="0"/>
                <w:numId w:val="37"/>
              </w:numPr>
              <w:spacing w:before="80"/>
              <w:ind w:left="725"/>
              <w:jc w:val="both"/>
              <w:rPr>
                <w:rFonts w:cs="Tahoma"/>
              </w:rPr>
            </w:pPr>
            <w:r w:rsidRPr="004B208C">
              <w:rPr>
                <w:rFonts w:cs="Tahoma"/>
              </w:rPr>
              <w:t>SharePoint Online Plano 2*</w:t>
            </w:r>
          </w:p>
          <w:p w:rsidR="00456002" w:rsidRPr="004B208C" w:rsidRDefault="00456002" w:rsidP="00A1385C">
            <w:pPr>
              <w:keepNext/>
              <w:numPr>
                <w:ilvl w:val="0"/>
                <w:numId w:val="37"/>
              </w:numPr>
              <w:spacing w:before="80"/>
              <w:ind w:left="725"/>
              <w:jc w:val="both"/>
              <w:rPr>
                <w:rFonts w:cs="Tahoma"/>
              </w:rPr>
            </w:pPr>
            <w:r w:rsidRPr="004B208C">
              <w:rPr>
                <w:rFonts w:cs="Tahoma"/>
              </w:rPr>
              <w:t>Acesso para Parceiros do SharePoint Online*</w:t>
            </w:r>
          </w:p>
          <w:p w:rsidR="00C177EF" w:rsidRPr="004B208C" w:rsidRDefault="00C177EF" w:rsidP="00A1385C">
            <w:pPr>
              <w:keepNext/>
              <w:numPr>
                <w:ilvl w:val="0"/>
                <w:numId w:val="37"/>
              </w:numPr>
              <w:spacing w:before="80"/>
              <w:ind w:left="725"/>
              <w:jc w:val="both"/>
              <w:rPr>
                <w:rFonts w:cs="Tahoma"/>
              </w:rPr>
            </w:pPr>
            <w:r w:rsidRPr="004B208C">
              <w:rPr>
                <w:rFonts w:cs="Tahoma"/>
              </w:rPr>
              <w:t>Visio Pro para Office 365*</w:t>
            </w:r>
          </w:p>
          <w:p w:rsidR="00D8521B" w:rsidRPr="004B208C" w:rsidRDefault="00D8521B" w:rsidP="00A1385C">
            <w:pPr>
              <w:numPr>
                <w:ilvl w:val="0"/>
                <w:numId w:val="37"/>
              </w:numPr>
              <w:spacing w:before="80"/>
              <w:ind w:left="692"/>
              <w:jc w:val="both"/>
              <w:rPr>
                <w:rFonts w:cs="Tahoma"/>
              </w:rPr>
            </w:pPr>
            <w:r w:rsidRPr="004B208C">
              <w:rPr>
                <w:rFonts w:cs="Tahoma"/>
                <w:color w:val="000000"/>
              </w:rPr>
              <w:t>Gerenciamento de Direitos do Active Directory do Windows Azure*</w:t>
            </w:r>
          </w:p>
          <w:p w:rsidR="00776E3B" w:rsidRPr="004B208C" w:rsidRDefault="00776E3B" w:rsidP="00A1385C">
            <w:pPr>
              <w:keepNext/>
              <w:numPr>
                <w:ilvl w:val="0"/>
                <w:numId w:val="37"/>
              </w:numPr>
              <w:spacing w:before="80"/>
              <w:ind w:left="725"/>
              <w:jc w:val="both"/>
              <w:rPr>
                <w:rFonts w:cs="Tahoma"/>
              </w:rPr>
            </w:pPr>
            <w:r w:rsidRPr="004B208C">
              <w:rPr>
                <w:rFonts w:cs="Tahoma"/>
              </w:rPr>
              <w:t>Serviços do Windows Azure*</w:t>
            </w:r>
          </w:p>
          <w:p w:rsidR="00456002" w:rsidRPr="004B208C" w:rsidRDefault="00456002" w:rsidP="00A1385C">
            <w:pPr>
              <w:keepNext/>
              <w:numPr>
                <w:ilvl w:val="0"/>
                <w:numId w:val="37"/>
              </w:numPr>
              <w:spacing w:before="80"/>
              <w:ind w:left="720"/>
              <w:jc w:val="both"/>
              <w:rPr>
                <w:rFonts w:cs="Tahoma"/>
              </w:rPr>
            </w:pPr>
            <w:r w:rsidRPr="004B208C">
              <w:rPr>
                <w:rFonts w:cs="Tahoma"/>
              </w:rPr>
              <w:t>Windows Intune</w:t>
            </w:r>
          </w:p>
          <w:p w:rsidR="00456002" w:rsidRPr="004B208C" w:rsidRDefault="00456002" w:rsidP="00A1385C">
            <w:pPr>
              <w:keepNext/>
              <w:numPr>
                <w:ilvl w:val="0"/>
                <w:numId w:val="37"/>
              </w:numPr>
              <w:spacing w:before="80"/>
              <w:ind w:left="725"/>
              <w:jc w:val="both"/>
              <w:rPr>
                <w:rFonts w:cs="Tahoma"/>
              </w:rPr>
            </w:pPr>
            <w:r w:rsidRPr="004B208C">
              <w:rPr>
                <w:rFonts w:cs="Tahoma"/>
              </w:rPr>
              <w:t>Windows Intune Complementar*</w:t>
            </w:r>
          </w:p>
          <w:p w:rsidR="00F27B29" w:rsidRPr="004B208C" w:rsidRDefault="00F27B29" w:rsidP="00A1385C">
            <w:pPr>
              <w:keepNext/>
              <w:numPr>
                <w:ilvl w:val="0"/>
                <w:numId w:val="37"/>
              </w:numPr>
              <w:spacing w:before="80" w:after="120"/>
              <w:ind w:left="720"/>
              <w:jc w:val="both"/>
              <w:rPr>
                <w:rFonts w:cs="Tahoma"/>
              </w:rPr>
            </w:pPr>
            <w:r w:rsidRPr="004B208C">
              <w:rPr>
                <w:rFonts w:cs="Tahoma"/>
              </w:rPr>
              <w:t>Yammer Enterprise*</w:t>
            </w:r>
          </w:p>
        </w:tc>
      </w:tr>
    </w:tbl>
    <w:p w:rsidR="00776E3B" w:rsidRPr="004B208C" w:rsidRDefault="00776E3B" w:rsidP="00776E3B">
      <w:pPr>
        <w:tabs>
          <w:tab w:val="left" w:pos="360"/>
        </w:tabs>
        <w:ind w:left="720"/>
        <w:rPr>
          <w:rFonts w:cs="Tahoma"/>
        </w:rPr>
      </w:pPr>
      <w:r w:rsidRPr="004B208C">
        <w:rPr>
          <w:rFonts w:cs="Tahoma"/>
          <w:i/>
          <w:sz w:val="16"/>
          <w:szCs w:val="20"/>
        </w:rPr>
        <w:t>* Produto Adicional</w:t>
      </w:r>
    </w:p>
    <w:p w:rsidR="00023FE7" w:rsidRPr="004B208C" w:rsidRDefault="00023FE7" w:rsidP="00232835">
      <w:pPr>
        <w:pStyle w:val="Heading1"/>
        <w:spacing w:before="0"/>
        <w:rPr>
          <w:rFonts w:cs="Tahoma"/>
        </w:rPr>
      </w:pPr>
      <w:r w:rsidRPr="004B208C">
        <w:rPr>
          <w:rFonts w:cs="Tahoma"/>
        </w:rPr>
        <w:br w:type="page"/>
      </w:r>
      <w:bookmarkStart w:id="620" w:name="_Toc336338197"/>
      <w:bookmarkStart w:id="621" w:name="_Toc370981311"/>
      <w:r w:rsidRPr="004B208C">
        <w:rPr>
          <w:rFonts w:cs="Tahoma"/>
        </w:rPr>
        <w:lastRenderedPageBreak/>
        <w:t>seção 4 – tipos de licença e valores</w:t>
      </w:r>
      <w:bookmarkEnd w:id="620"/>
      <w:bookmarkEnd w:id="621"/>
      <w:r w:rsidRPr="004B208C">
        <w:rPr>
          <w:rFonts w:cs="Tahoma"/>
        </w:rPr>
        <w:t xml:space="preserve"> </w:t>
      </w:r>
    </w:p>
    <w:p w:rsidR="00023FE7" w:rsidRPr="00232835" w:rsidRDefault="00023FE7">
      <w:pPr>
        <w:pStyle w:val="Heading2"/>
        <w:ind w:left="0" w:right="720"/>
        <w:rPr>
          <w:rFonts w:ascii="Tahoma" w:hAnsi="Tahoma" w:cs="Tahoma"/>
        </w:rPr>
      </w:pPr>
    </w:p>
    <w:p w:rsidR="00456002" w:rsidRPr="004B208C" w:rsidRDefault="00456002" w:rsidP="00456002">
      <w:pPr>
        <w:pStyle w:val="Heading2"/>
        <w:tabs>
          <w:tab w:val="left" w:pos="90"/>
        </w:tabs>
        <w:ind w:left="0" w:right="720"/>
        <w:rPr>
          <w:rFonts w:ascii="Tahoma" w:hAnsi="Tahoma" w:cs="Tahoma"/>
        </w:rPr>
      </w:pPr>
      <w:bookmarkStart w:id="622" w:name="_Toc336338198"/>
      <w:bookmarkStart w:id="623" w:name="_Toc370981312"/>
      <w:r w:rsidRPr="004B208C">
        <w:rPr>
          <w:rFonts w:ascii="Tahoma" w:hAnsi="Tahoma" w:cs="Tahoma"/>
        </w:rPr>
        <w:t>Valores</w:t>
      </w:r>
      <w:bookmarkEnd w:id="622"/>
      <w:bookmarkEnd w:id="623"/>
      <w:r w:rsidRPr="004B208C">
        <w:rPr>
          <w:rFonts w:ascii="Tahoma" w:hAnsi="Tahoma" w:cs="Tahoma"/>
        </w:rPr>
        <w:t xml:space="preserve"> </w:t>
      </w:r>
    </w:p>
    <w:p w:rsidR="00456002" w:rsidRPr="004B208C" w:rsidRDefault="00456002" w:rsidP="00ED589D">
      <w:pPr>
        <w:ind w:right="720"/>
        <w:rPr>
          <w:rFonts w:cs="Tahoma"/>
        </w:rPr>
      </w:pPr>
    </w:p>
    <w:p w:rsidR="00456002" w:rsidRPr="0065137B" w:rsidRDefault="00456002" w:rsidP="0014632E">
      <w:pPr>
        <w:pStyle w:val="AppendixBodyText"/>
        <w:spacing w:after="0"/>
        <w:ind w:right="720"/>
        <w:rPr>
          <w:rFonts w:ascii="Tahoma" w:hAnsi="Tahoma" w:cs="Tahoma"/>
          <w:sz w:val="18"/>
          <w:szCs w:val="18"/>
        </w:rPr>
      </w:pPr>
      <w:r w:rsidRPr="0065137B">
        <w:rPr>
          <w:rFonts w:ascii="Tahoma" w:hAnsi="Tahoma" w:cs="Tahoma"/>
          <w:sz w:val="18"/>
          <w:szCs w:val="18"/>
        </w:rPr>
        <w:t>Este tipo de produto está disponível para alguns Serviços Online e produtos de software.</w:t>
      </w:r>
      <w:r w:rsidR="00172F11" w:rsidRPr="0065137B">
        <w:rPr>
          <w:rFonts w:ascii="Tahoma" w:hAnsi="Tahoma" w:cs="Tahoma"/>
          <w:sz w:val="18"/>
          <w:szCs w:val="18"/>
        </w:rPr>
        <w:t xml:space="preserve"> </w:t>
      </w:r>
      <w:r w:rsidRPr="0065137B">
        <w:rPr>
          <w:rFonts w:ascii="Tahoma" w:hAnsi="Tahoma" w:cs="Tahoma"/>
          <w:sz w:val="18"/>
          <w:szCs w:val="18"/>
        </w:rPr>
        <w:t>Ele não é específico dessa versão.</w:t>
      </w:r>
      <w:r w:rsidR="00172F11" w:rsidRPr="0065137B">
        <w:rPr>
          <w:rFonts w:ascii="Tahoma" w:hAnsi="Tahoma" w:cs="Tahoma"/>
          <w:sz w:val="18"/>
          <w:szCs w:val="18"/>
        </w:rPr>
        <w:t xml:space="preserve"> </w:t>
      </w:r>
      <w:r w:rsidRPr="0065137B">
        <w:rPr>
          <w:rFonts w:ascii="Tahoma" w:hAnsi="Tahoma" w:cs="Tahoma"/>
          <w:sz w:val="18"/>
          <w:szCs w:val="18"/>
        </w:rPr>
        <w:t>Pode estar associado a custos de instalação ou outras ofertas, como pacotes de ativação.</w:t>
      </w:r>
      <w:r w:rsidR="00172F11" w:rsidRPr="0065137B">
        <w:rPr>
          <w:rFonts w:ascii="Tahoma" w:hAnsi="Tahoma" w:cs="Tahoma"/>
          <w:sz w:val="18"/>
          <w:szCs w:val="18"/>
        </w:rPr>
        <w:t xml:space="preserve"> </w:t>
      </w:r>
      <w:r w:rsidRPr="0065137B">
        <w:rPr>
          <w:rFonts w:ascii="Tahoma" w:hAnsi="Tahoma" w:cs="Tahoma"/>
          <w:sz w:val="18"/>
          <w:szCs w:val="18"/>
        </w:rPr>
        <w:t>Em geral, ele não confere direitos para usar um produto ou serviço online,</w:t>
      </w:r>
      <w:r w:rsidR="00172F11" w:rsidRPr="0065137B">
        <w:rPr>
          <w:rFonts w:ascii="Tahoma" w:hAnsi="Tahoma" w:cs="Tahoma"/>
          <w:sz w:val="18"/>
          <w:szCs w:val="18"/>
        </w:rPr>
        <w:t xml:space="preserve"> </w:t>
      </w:r>
      <w:r w:rsidRPr="0065137B">
        <w:rPr>
          <w:rFonts w:ascii="Tahoma" w:hAnsi="Tahoma" w:cs="Tahoma"/>
          <w:sz w:val="18"/>
          <w:szCs w:val="18"/>
        </w:rPr>
        <w:t>como também não proporciona nenhum benefício nem cumpre nenhuma finalidade fora do serviço ou software ao qual corresponde.</w:t>
      </w:r>
      <w:r w:rsidR="00172F11" w:rsidRPr="0065137B">
        <w:rPr>
          <w:rFonts w:ascii="Tahoma" w:hAnsi="Tahoma" w:cs="Tahoma"/>
          <w:sz w:val="18"/>
          <w:szCs w:val="18"/>
        </w:rPr>
        <w:t xml:space="preserve"> </w:t>
      </w:r>
      <w:r w:rsidRPr="0065137B">
        <w:rPr>
          <w:rFonts w:ascii="Tahoma" w:hAnsi="Tahoma" w:cs="Tahoma"/>
          <w:sz w:val="18"/>
          <w:szCs w:val="18"/>
        </w:rPr>
        <w:t>Estão disponíveis nos seguintes programas: Open, Open Value, Open Value Subscription, Select e Select Plus.</w:t>
      </w:r>
    </w:p>
    <w:p w:rsidR="00255158" w:rsidRPr="004B208C" w:rsidRDefault="00255158" w:rsidP="0014632E">
      <w:pPr>
        <w:ind w:right="720"/>
        <w:rPr>
          <w:rFonts w:cs="Tahoma"/>
        </w:rPr>
      </w:pPr>
    </w:p>
    <w:p w:rsidR="00456002" w:rsidRPr="004B208C" w:rsidRDefault="00456002" w:rsidP="00456002">
      <w:pPr>
        <w:pStyle w:val="Heading2"/>
        <w:tabs>
          <w:tab w:val="left" w:pos="90"/>
        </w:tabs>
        <w:ind w:left="0" w:right="720"/>
        <w:rPr>
          <w:rFonts w:ascii="Tahoma" w:hAnsi="Tahoma" w:cs="Tahoma"/>
        </w:rPr>
      </w:pPr>
      <w:bookmarkStart w:id="624" w:name="_Toc323819648"/>
      <w:bookmarkStart w:id="625" w:name="_Toc336338199"/>
      <w:bookmarkStart w:id="626" w:name="_Toc370981313"/>
      <w:r w:rsidRPr="004B208C">
        <w:rPr>
          <w:rFonts w:ascii="Tahoma" w:hAnsi="Tahoma" w:cs="Tahoma"/>
        </w:rPr>
        <w:t>Licença</w:t>
      </w:r>
      <w:bookmarkEnd w:id="624"/>
      <w:bookmarkEnd w:id="625"/>
      <w:bookmarkEnd w:id="626"/>
    </w:p>
    <w:p w:rsidR="00456002" w:rsidRPr="00232835" w:rsidRDefault="00456002" w:rsidP="00ED589D">
      <w:pPr>
        <w:pStyle w:val="AppendixIndent"/>
        <w:tabs>
          <w:tab w:val="left" w:pos="90"/>
        </w:tabs>
        <w:spacing w:before="0"/>
        <w:ind w:left="0" w:right="720"/>
        <w:rPr>
          <w:rFonts w:ascii="Tahoma" w:hAnsi="Tahoma" w:cs="Tahoma"/>
          <w:sz w:val="18"/>
          <w:szCs w:val="18"/>
        </w:rPr>
      </w:pPr>
    </w:p>
    <w:p w:rsidR="00456002" w:rsidRPr="00232835" w:rsidRDefault="00456002" w:rsidP="0014632E">
      <w:pPr>
        <w:pStyle w:val="AppendixBodyText"/>
        <w:spacing w:after="0"/>
        <w:ind w:right="720"/>
        <w:rPr>
          <w:rFonts w:ascii="Tahoma" w:hAnsi="Tahoma" w:cs="Tahoma"/>
          <w:sz w:val="18"/>
          <w:szCs w:val="18"/>
        </w:rPr>
      </w:pPr>
      <w:r w:rsidRPr="00232835">
        <w:rPr>
          <w:rFonts w:ascii="Tahoma" w:hAnsi="Tahoma" w:cs="Tahoma"/>
          <w:sz w:val="18"/>
          <w:szCs w:val="18"/>
        </w:rPr>
        <w:t xml:space="preserve">Este tipo de produto é específico à versão e confere o direito de executar a versão do produto para a qual foi solicitado. Estão disponíveis nos seguintes programas: </w:t>
      </w:r>
    </w:p>
    <w:p w:rsidR="00456002" w:rsidRPr="00232835" w:rsidRDefault="00456002" w:rsidP="0014632E">
      <w:pPr>
        <w:pStyle w:val="AppendixIndent"/>
        <w:tabs>
          <w:tab w:val="left" w:pos="90"/>
        </w:tabs>
        <w:spacing w:before="0"/>
        <w:ind w:left="0" w:right="720"/>
        <w:rPr>
          <w:rFonts w:ascii="Tahoma" w:hAnsi="Tahoma" w:cs="Tahoma"/>
          <w:sz w:val="18"/>
          <w:szCs w:val="18"/>
        </w:rPr>
      </w:pPr>
    </w:p>
    <w:p w:rsidR="00456002" w:rsidRPr="00232835" w:rsidRDefault="00456002" w:rsidP="00A1385C">
      <w:pPr>
        <w:pStyle w:val="AppendixBulletIndent"/>
        <w:numPr>
          <w:ilvl w:val="0"/>
          <w:numId w:val="57"/>
        </w:numPr>
        <w:tabs>
          <w:tab w:val="left" w:pos="90"/>
        </w:tabs>
        <w:spacing w:after="60"/>
        <w:ind w:left="1440" w:right="720"/>
        <w:rPr>
          <w:rFonts w:ascii="Tahoma" w:hAnsi="Tahoma" w:cs="Tahoma"/>
          <w:sz w:val="18"/>
          <w:szCs w:val="18"/>
        </w:rPr>
      </w:pPr>
      <w:r w:rsidRPr="00232835">
        <w:rPr>
          <w:rFonts w:ascii="Tahoma" w:hAnsi="Tahoma" w:cs="Tahoma"/>
          <w:sz w:val="18"/>
          <w:szCs w:val="18"/>
        </w:rPr>
        <w:t>Licença Open</w:t>
      </w:r>
    </w:p>
    <w:p w:rsidR="00456002" w:rsidRPr="00232835" w:rsidRDefault="00456002" w:rsidP="00A1385C">
      <w:pPr>
        <w:pStyle w:val="AppendixBulletIndent"/>
        <w:numPr>
          <w:ilvl w:val="0"/>
          <w:numId w:val="57"/>
        </w:numPr>
        <w:tabs>
          <w:tab w:val="left" w:pos="90"/>
        </w:tabs>
        <w:spacing w:after="60"/>
        <w:ind w:left="1440" w:right="720"/>
        <w:rPr>
          <w:rFonts w:ascii="Tahoma" w:hAnsi="Tahoma" w:cs="Tahoma"/>
          <w:sz w:val="18"/>
          <w:szCs w:val="18"/>
        </w:rPr>
      </w:pPr>
      <w:r w:rsidRPr="00232835">
        <w:rPr>
          <w:rFonts w:ascii="Tahoma" w:hAnsi="Tahoma" w:cs="Tahoma"/>
          <w:sz w:val="18"/>
          <w:szCs w:val="18"/>
        </w:rPr>
        <w:t xml:space="preserve">Open Value Subscription [somente para pedidos com opção de compra (“buy-out”)] </w:t>
      </w:r>
    </w:p>
    <w:p w:rsidR="00456002" w:rsidRPr="00232835" w:rsidRDefault="00456002" w:rsidP="00A1385C">
      <w:pPr>
        <w:pStyle w:val="AppendixBulletIndent"/>
        <w:numPr>
          <w:ilvl w:val="0"/>
          <w:numId w:val="57"/>
        </w:numPr>
        <w:tabs>
          <w:tab w:val="left" w:pos="90"/>
        </w:tabs>
        <w:spacing w:after="60"/>
        <w:ind w:left="1440" w:right="720"/>
        <w:rPr>
          <w:rFonts w:ascii="Tahoma" w:hAnsi="Tahoma" w:cs="Tahoma"/>
          <w:sz w:val="18"/>
          <w:szCs w:val="18"/>
        </w:rPr>
      </w:pPr>
      <w:r w:rsidRPr="00232835">
        <w:rPr>
          <w:rFonts w:ascii="Tahoma" w:hAnsi="Tahoma" w:cs="Tahoma"/>
          <w:sz w:val="18"/>
          <w:szCs w:val="18"/>
        </w:rPr>
        <w:t xml:space="preserve">Select </w:t>
      </w:r>
    </w:p>
    <w:p w:rsidR="00456002" w:rsidRPr="00232835" w:rsidRDefault="00456002" w:rsidP="00A1385C">
      <w:pPr>
        <w:pStyle w:val="AppendixBulletIndent"/>
        <w:numPr>
          <w:ilvl w:val="0"/>
          <w:numId w:val="57"/>
        </w:numPr>
        <w:tabs>
          <w:tab w:val="left" w:pos="90"/>
        </w:tabs>
        <w:spacing w:after="60"/>
        <w:ind w:left="1440" w:right="720"/>
        <w:rPr>
          <w:rFonts w:ascii="Tahoma" w:hAnsi="Tahoma" w:cs="Tahoma"/>
          <w:sz w:val="18"/>
          <w:szCs w:val="18"/>
        </w:rPr>
      </w:pPr>
      <w:r w:rsidRPr="00232835">
        <w:rPr>
          <w:rFonts w:ascii="Tahoma" w:hAnsi="Tahoma" w:cs="Tahoma"/>
          <w:sz w:val="18"/>
          <w:szCs w:val="18"/>
        </w:rPr>
        <w:t>Select Plus</w:t>
      </w:r>
    </w:p>
    <w:p w:rsidR="00456002" w:rsidRPr="00232835" w:rsidRDefault="00B215EA" w:rsidP="00A1385C">
      <w:pPr>
        <w:pStyle w:val="AppendixBulletIndent"/>
        <w:numPr>
          <w:ilvl w:val="0"/>
          <w:numId w:val="57"/>
        </w:numPr>
        <w:tabs>
          <w:tab w:val="left" w:pos="90"/>
        </w:tabs>
        <w:spacing w:after="60"/>
        <w:ind w:left="1440" w:right="720"/>
        <w:rPr>
          <w:rFonts w:ascii="Tahoma" w:hAnsi="Tahoma" w:cs="Tahoma"/>
          <w:sz w:val="18"/>
          <w:szCs w:val="18"/>
        </w:rPr>
      </w:pPr>
      <w:r w:rsidRPr="00232835">
        <w:rPr>
          <w:rFonts w:ascii="Tahoma" w:hAnsi="Tahoma" w:cs="Tahoma"/>
          <w:sz w:val="18"/>
          <w:szCs w:val="18"/>
        </w:rPr>
        <w:t xml:space="preserve">Contrato para Campus e School (somente para pedidos com opção de compra </w:t>
      </w:r>
      <w:r w:rsidR="00FE592A">
        <w:rPr>
          <w:rFonts w:ascii="Tahoma" w:hAnsi="Tahoma" w:cs="Tahoma"/>
          <w:sz w:val="18"/>
          <w:szCs w:val="18"/>
        </w:rPr>
        <w:br/>
      </w:r>
      <w:r w:rsidRPr="00232835">
        <w:rPr>
          <w:rFonts w:ascii="Tahoma" w:hAnsi="Tahoma" w:cs="Tahoma"/>
          <w:sz w:val="18"/>
          <w:szCs w:val="18"/>
        </w:rPr>
        <w:t>(“buy-out”))</w:t>
      </w:r>
    </w:p>
    <w:p w:rsidR="00456002" w:rsidRPr="00232835" w:rsidRDefault="00B215EA" w:rsidP="00A1385C">
      <w:pPr>
        <w:pStyle w:val="AppendixBulletIndent"/>
        <w:numPr>
          <w:ilvl w:val="0"/>
          <w:numId w:val="57"/>
        </w:numPr>
        <w:tabs>
          <w:tab w:val="left" w:pos="90"/>
        </w:tabs>
        <w:spacing w:after="60"/>
        <w:ind w:left="1440" w:right="720"/>
        <w:rPr>
          <w:rFonts w:ascii="Tahoma" w:hAnsi="Tahoma" w:cs="Tahoma"/>
          <w:sz w:val="18"/>
          <w:szCs w:val="18"/>
        </w:rPr>
      </w:pPr>
      <w:r w:rsidRPr="00232835">
        <w:rPr>
          <w:rFonts w:ascii="Tahoma" w:hAnsi="Tahoma" w:cs="Tahoma"/>
          <w:sz w:val="18"/>
          <w:szCs w:val="18"/>
        </w:rPr>
        <w:t xml:space="preserve">Enrollment for Education Solutions(somente para pedidos com opção de compra </w:t>
      </w:r>
      <w:r w:rsidR="00FE592A">
        <w:rPr>
          <w:rFonts w:ascii="Tahoma" w:hAnsi="Tahoma" w:cs="Tahoma"/>
          <w:sz w:val="18"/>
          <w:szCs w:val="18"/>
        </w:rPr>
        <w:br/>
      </w:r>
      <w:r w:rsidRPr="00232835">
        <w:rPr>
          <w:rFonts w:ascii="Tahoma" w:hAnsi="Tahoma" w:cs="Tahoma"/>
          <w:sz w:val="18"/>
          <w:szCs w:val="18"/>
        </w:rPr>
        <w:t>(</w:t>
      </w:r>
      <w:r w:rsidR="00172F11" w:rsidRPr="00232835">
        <w:rPr>
          <w:rFonts w:ascii="Tahoma" w:hAnsi="Tahoma" w:cs="Tahoma"/>
          <w:sz w:val="18"/>
          <w:szCs w:val="18"/>
        </w:rPr>
        <w:t>“</w:t>
      </w:r>
      <w:r w:rsidRPr="00232835">
        <w:rPr>
          <w:rFonts w:ascii="Tahoma" w:hAnsi="Tahoma" w:cs="Tahoma"/>
          <w:sz w:val="18"/>
          <w:szCs w:val="18"/>
        </w:rPr>
        <w:t>buy-out</w:t>
      </w:r>
      <w:r w:rsidR="00172F11" w:rsidRPr="00232835">
        <w:rPr>
          <w:rFonts w:ascii="Tahoma" w:hAnsi="Tahoma" w:cs="Tahoma"/>
          <w:sz w:val="18"/>
          <w:szCs w:val="18"/>
        </w:rPr>
        <w:t>”</w:t>
      </w:r>
      <w:r w:rsidRPr="00232835">
        <w:rPr>
          <w:rFonts w:ascii="Tahoma" w:hAnsi="Tahoma" w:cs="Tahoma"/>
          <w:sz w:val="18"/>
          <w:szCs w:val="18"/>
        </w:rPr>
        <w:t>))</w:t>
      </w:r>
    </w:p>
    <w:p w:rsidR="00456002" w:rsidRPr="00232835" w:rsidRDefault="00456002" w:rsidP="00A1385C">
      <w:pPr>
        <w:pStyle w:val="AppendixBulletIndent"/>
        <w:numPr>
          <w:ilvl w:val="0"/>
          <w:numId w:val="57"/>
        </w:numPr>
        <w:tabs>
          <w:tab w:val="left" w:pos="90"/>
        </w:tabs>
        <w:ind w:left="1440" w:right="720"/>
        <w:rPr>
          <w:rFonts w:ascii="Tahoma" w:hAnsi="Tahoma" w:cs="Tahoma"/>
          <w:sz w:val="18"/>
          <w:szCs w:val="18"/>
        </w:rPr>
      </w:pPr>
      <w:r w:rsidRPr="00232835">
        <w:rPr>
          <w:rFonts w:ascii="Tahoma" w:hAnsi="Tahoma" w:cs="Tahoma"/>
          <w:sz w:val="18"/>
          <w:szCs w:val="18"/>
        </w:rPr>
        <w:t xml:space="preserve">Registro Enterprise Subscription (somente para pedidos com opção de compra </w:t>
      </w:r>
      <w:r w:rsidR="00FE592A">
        <w:rPr>
          <w:rFonts w:ascii="Tahoma" w:hAnsi="Tahoma" w:cs="Tahoma"/>
          <w:sz w:val="18"/>
          <w:szCs w:val="18"/>
        </w:rPr>
        <w:br/>
      </w:r>
      <w:r w:rsidRPr="00232835">
        <w:rPr>
          <w:rFonts w:ascii="Tahoma" w:hAnsi="Tahoma" w:cs="Tahoma"/>
          <w:sz w:val="18"/>
          <w:szCs w:val="18"/>
        </w:rPr>
        <w:t>(“buy-out”))</w:t>
      </w:r>
    </w:p>
    <w:p w:rsidR="00B215EA" w:rsidRPr="00232835" w:rsidRDefault="00B215EA" w:rsidP="00A1385C">
      <w:pPr>
        <w:pStyle w:val="AppendixBulletIndent"/>
        <w:numPr>
          <w:ilvl w:val="0"/>
          <w:numId w:val="57"/>
        </w:numPr>
        <w:tabs>
          <w:tab w:val="left" w:pos="90"/>
        </w:tabs>
        <w:ind w:left="1440" w:right="720"/>
        <w:rPr>
          <w:rFonts w:ascii="Tahoma" w:hAnsi="Tahoma" w:cs="Tahoma"/>
          <w:sz w:val="18"/>
          <w:szCs w:val="18"/>
        </w:rPr>
      </w:pPr>
      <w:r w:rsidRPr="00232835">
        <w:rPr>
          <w:rFonts w:ascii="Tahoma" w:hAnsi="Tahoma" w:cs="Tahoma"/>
          <w:sz w:val="18"/>
          <w:szCs w:val="18"/>
        </w:rPr>
        <w:t>Registro de Servidor e Nuvem (somente para pedidos com opção de compra (“buy-out”))</w:t>
      </w:r>
    </w:p>
    <w:p w:rsidR="00456002" w:rsidRPr="00232835" w:rsidRDefault="00456002" w:rsidP="0014632E">
      <w:pPr>
        <w:pStyle w:val="AppendixIndent"/>
        <w:tabs>
          <w:tab w:val="left" w:pos="90"/>
        </w:tabs>
        <w:spacing w:before="0"/>
        <w:ind w:left="0" w:right="720"/>
        <w:rPr>
          <w:rFonts w:ascii="Tahoma" w:hAnsi="Tahoma" w:cs="Tahoma"/>
          <w:sz w:val="18"/>
          <w:szCs w:val="18"/>
        </w:rPr>
      </w:pPr>
    </w:p>
    <w:p w:rsidR="00456002" w:rsidRPr="00232835" w:rsidRDefault="00456002" w:rsidP="0014632E">
      <w:pPr>
        <w:pStyle w:val="AppendixBodyText"/>
        <w:spacing w:after="0"/>
        <w:ind w:right="720"/>
        <w:rPr>
          <w:rFonts w:ascii="Tahoma" w:hAnsi="Tahoma" w:cs="Tahoma"/>
          <w:sz w:val="18"/>
          <w:szCs w:val="18"/>
        </w:rPr>
      </w:pPr>
      <w:r w:rsidRPr="00232835">
        <w:rPr>
          <w:rFonts w:ascii="Tahoma" w:hAnsi="Tahoma" w:cs="Tahoma"/>
          <w:sz w:val="18"/>
          <w:szCs w:val="18"/>
        </w:rPr>
        <w:t>Não há pré-requisitos para um cliente adquirir uma Licença nos programas Licença Open, Licença Select e Select Plus.</w:t>
      </w:r>
      <w:r w:rsidR="00172F11" w:rsidRPr="00232835">
        <w:rPr>
          <w:rFonts w:ascii="Tahoma" w:hAnsi="Tahoma" w:cs="Tahoma"/>
          <w:sz w:val="18"/>
          <w:szCs w:val="18"/>
        </w:rPr>
        <w:t xml:space="preserve"> </w:t>
      </w:r>
      <w:r w:rsidRPr="00232835">
        <w:rPr>
          <w:rFonts w:ascii="Tahoma" w:hAnsi="Tahoma" w:cs="Tahoma"/>
          <w:sz w:val="18"/>
          <w:szCs w:val="18"/>
        </w:rPr>
        <w:t>Consulte o contrato específico do programa para saber as regras de qualificação que regem o pedido de uma licença perpétua através de pedidos com opção de compra (“buy-out”).</w:t>
      </w:r>
    </w:p>
    <w:p w:rsidR="00255158" w:rsidRPr="00232835" w:rsidRDefault="00255158" w:rsidP="0014632E">
      <w:pPr>
        <w:pStyle w:val="AppendixIndent"/>
        <w:tabs>
          <w:tab w:val="left" w:pos="90"/>
        </w:tabs>
        <w:spacing w:before="0"/>
        <w:ind w:left="0" w:right="720"/>
        <w:rPr>
          <w:rFonts w:ascii="Tahoma" w:hAnsi="Tahoma" w:cs="Tahoma"/>
          <w:sz w:val="18"/>
          <w:szCs w:val="18"/>
        </w:rPr>
      </w:pPr>
    </w:p>
    <w:p w:rsidR="00456002" w:rsidRPr="004B208C" w:rsidRDefault="00456002" w:rsidP="00456002">
      <w:pPr>
        <w:pStyle w:val="Heading2"/>
        <w:tabs>
          <w:tab w:val="left" w:pos="90"/>
        </w:tabs>
        <w:ind w:left="0" w:right="720"/>
        <w:rPr>
          <w:rFonts w:ascii="Tahoma" w:hAnsi="Tahoma" w:cs="Tahoma"/>
        </w:rPr>
      </w:pPr>
      <w:bookmarkStart w:id="627" w:name="_Toc323819649"/>
      <w:bookmarkStart w:id="628" w:name="_Toc336338200"/>
      <w:bookmarkStart w:id="629" w:name="_Toc370981314"/>
      <w:r w:rsidRPr="004B208C">
        <w:rPr>
          <w:rFonts w:ascii="Tahoma" w:hAnsi="Tahoma" w:cs="Tahoma"/>
        </w:rPr>
        <w:t>Licença e Software Assurance</w:t>
      </w:r>
      <w:bookmarkEnd w:id="627"/>
      <w:bookmarkEnd w:id="628"/>
      <w:bookmarkEnd w:id="629"/>
      <w:r w:rsidRPr="004B208C">
        <w:rPr>
          <w:rFonts w:ascii="Tahoma" w:hAnsi="Tahoma" w:cs="Tahoma"/>
        </w:rPr>
        <w:t xml:space="preserve"> </w:t>
      </w:r>
    </w:p>
    <w:p w:rsidR="00456002" w:rsidRPr="00232835" w:rsidRDefault="00456002" w:rsidP="00ED589D">
      <w:pPr>
        <w:pStyle w:val="AppendixIndent"/>
        <w:tabs>
          <w:tab w:val="left" w:pos="90"/>
        </w:tabs>
        <w:spacing w:before="0"/>
        <w:ind w:left="0" w:right="720"/>
        <w:rPr>
          <w:rFonts w:ascii="Tahoma" w:hAnsi="Tahoma" w:cs="Tahoma"/>
          <w:sz w:val="18"/>
          <w:szCs w:val="18"/>
        </w:rPr>
      </w:pPr>
    </w:p>
    <w:p w:rsidR="00456002" w:rsidRPr="00232835" w:rsidRDefault="00456002" w:rsidP="0014632E">
      <w:pPr>
        <w:pStyle w:val="AppendixBodyText"/>
        <w:spacing w:after="0"/>
        <w:ind w:right="720"/>
        <w:rPr>
          <w:rFonts w:ascii="Tahoma" w:hAnsi="Tahoma" w:cs="Tahoma"/>
          <w:sz w:val="18"/>
          <w:szCs w:val="18"/>
        </w:rPr>
      </w:pPr>
      <w:r w:rsidRPr="00232835">
        <w:rPr>
          <w:rFonts w:ascii="Tahoma" w:hAnsi="Tahoma" w:cs="Tahoma"/>
          <w:sz w:val="18"/>
          <w:szCs w:val="18"/>
        </w:rPr>
        <w:t>Este tipo de produto não é específico à versão. Ele permite que os clientes adquiram a Licença e o Software Assurance ao mesmo tempo. Estão disponíveis nos seguintes programas:</w:t>
      </w:r>
    </w:p>
    <w:p w:rsidR="00456002" w:rsidRPr="00232835" w:rsidRDefault="00456002" w:rsidP="0014632E">
      <w:pPr>
        <w:pStyle w:val="AppendixIndent"/>
        <w:tabs>
          <w:tab w:val="left" w:pos="90"/>
        </w:tabs>
        <w:spacing w:before="0"/>
        <w:ind w:left="0" w:right="720"/>
        <w:rPr>
          <w:rFonts w:ascii="Tahoma" w:hAnsi="Tahoma" w:cs="Tahoma"/>
          <w:sz w:val="18"/>
          <w:szCs w:val="18"/>
        </w:rPr>
      </w:pPr>
    </w:p>
    <w:p w:rsidR="00456002" w:rsidRPr="00232835" w:rsidRDefault="00456002" w:rsidP="00A1385C">
      <w:pPr>
        <w:pStyle w:val="AppendixBulletIndent"/>
        <w:numPr>
          <w:ilvl w:val="0"/>
          <w:numId w:val="61"/>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Open License </w:t>
      </w:r>
    </w:p>
    <w:p w:rsidR="00456002" w:rsidRPr="00232835" w:rsidRDefault="00456002" w:rsidP="00A1385C">
      <w:pPr>
        <w:pStyle w:val="AppendixBulletIndent"/>
        <w:numPr>
          <w:ilvl w:val="0"/>
          <w:numId w:val="61"/>
        </w:numPr>
        <w:tabs>
          <w:tab w:val="left" w:pos="1440"/>
        </w:tabs>
        <w:spacing w:after="60"/>
        <w:ind w:left="1440" w:right="720"/>
        <w:rPr>
          <w:rFonts w:ascii="Tahoma" w:hAnsi="Tahoma" w:cs="Tahoma"/>
          <w:sz w:val="18"/>
          <w:szCs w:val="18"/>
        </w:rPr>
      </w:pPr>
      <w:r w:rsidRPr="00232835">
        <w:rPr>
          <w:rFonts w:ascii="Tahoma" w:hAnsi="Tahoma" w:cs="Tahoma"/>
          <w:sz w:val="18"/>
          <w:szCs w:val="18"/>
        </w:rPr>
        <w:t>Open Value</w:t>
      </w:r>
    </w:p>
    <w:p w:rsidR="00456002" w:rsidRPr="00232835" w:rsidRDefault="00385C82" w:rsidP="00A1385C">
      <w:pPr>
        <w:pStyle w:val="AppendixBulletIndent"/>
        <w:numPr>
          <w:ilvl w:val="0"/>
          <w:numId w:val="61"/>
        </w:numPr>
        <w:tabs>
          <w:tab w:val="left" w:pos="1440"/>
        </w:tabs>
        <w:spacing w:after="60"/>
        <w:ind w:left="1440" w:right="720"/>
        <w:rPr>
          <w:rFonts w:ascii="Tahoma" w:hAnsi="Tahoma" w:cs="Tahoma"/>
          <w:sz w:val="18"/>
          <w:szCs w:val="18"/>
        </w:rPr>
      </w:pPr>
      <w:r w:rsidRPr="00232835">
        <w:rPr>
          <w:rFonts w:ascii="Tahoma" w:hAnsi="Tahoma" w:cs="Tahoma"/>
          <w:sz w:val="18"/>
          <w:szCs w:val="18"/>
        </w:rPr>
        <w:t>Open Value Subscription</w:t>
      </w:r>
    </w:p>
    <w:p w:rsidR="00456002" w:rsidRPr="00232835" w:rsidRDefault="00456002" w:rsidP="00A1385C">
      <w:pPr>
        <w:pStyle w:val="AppendixBulletIndent"/>
        <w:numPr>
          <w:ilvl w:val="0"/>
          <w:numId w:val="61"/>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Select </w:t>
      </w:r>
    </w:p>
    <w:p w:rsidR="00456002" w:rsidRPr="00232835" w:rsidRDefault="00456002" w:rsidP="00A1385C">
      <w:pPr>
        <w:pStyle w:val="AppendixBulletIndent"/>
        <w:numPr>
          <w:ilvl w:val="0"/>
          <w:numId w:val="61"/>
        </w:numPr>
        <w:tabs>
          <w:tab w:val="left" w:pos="1440"/>
        </w:tabs>
        <w:spacing w:after="60"/>
        <w:ind w:left="1440" w:right="720"/>
        <w:rPr>
          <w:rFonts w:ascii="Tahoma" w:hAnsi="Tahoma" w:cs="Tahoma"/>
          <w:sz w:val="18"/>
          <w:szCs w:val="18"/>
        </w:rPr>
      </w:pPr>
      <w:r w:rsidRPr="00232835">
        <w:rPr>
          <w:rFonts w:ascii="Tahoma" w:hAnsi="Tahoma" w:cs="Tahoma"/>
          <w:sz w:val="18"/>
          <w:szCs w:val="18"/>
        </w:rPr>
        <w:t>Select Plus</w:t>
      </w:r>
    </w:p>
    <w:p w:rsidR="00456002" w:rsidRPr="00232835" w:rsidRDefault="00456002" w:rsidP="00A1385C">
      <w:pPr>
        <w:pStyle w:val="AppendixBulletIndent"/>
        <w:numPr>
          <w:ilvl w:val="0"/>
          <w:numId w:val="61"/>
        </w:numPr>
        <w:tabs>
          <w:tab w:val="left" w:pos="1440"/>
        </w:tabs>
        <w:spacing w:after="60"/>
        <w:ind w:left="1440" w:right="720"/>
        <w:rPr>
          <w:rFonts w:ascii="Tahoma" w:hAnsi="Tahoma" w:cs="Tahoma"/>
          <w:sz w:val="18"/>
          <w:szCs w:val="18"/>
        </w:rPr>
      </w:pPr>
      <w:r w:rsidRPr="00232835">
        <w:rPr>
          <w:rFonts w:ascii="Tahoma" w:hAnsi="Tahoma" w:cs="Tahoma"/>
          <w:sz w:val="18"/>
          <w:szCs w:val="18"/>
        </w:rPr>
        <w:t>Registro Enterprise</w:t>
      </w:r>
    </w:p>
    <w:p w:rsidR="00456002" w:rsidRPr="00232835" w:rsidRDefault="00456002" w:rsidP="00A1385C">
      <w:pPr>
        <w:pStyle w:val="AppendixBulletIndent"/>
        <w:numPr>
          <w:ilvl w:val="0"/>
          <w:numId w:val="61"/>
        </w:numPr>
        <w:tabs>
          <w:tab w:val="left" w:pos="1440"/>
        </w:tabs>
        <w:ind w:left="1440" w:right="720"/>
        <w:rPr>
          <w:rFonts w:ascii="Tahoma" w:hAnsi="Tahoma" w:cs="Tahoma"/>
          <w:sz w:val="18"/>
          <w:szCs w:val="18"/>
        </w:rPr>
      </w:pPr>
      <w:r w:rsidRPr="00232835">
        <w:rPr>
          <w:rFonts w:ascii="Tahoma" w:hAnsi="Tahoma" w:cs="Tahoma"/>
          <w:sz w:val="18"/>
          <w:szCs w:val="18"/>
        </w:rPr>
        <w:t>Registro Enterprise Subscription</w:t>
      </w:r>
    </w:p>
    <w:p w:rsidR="00B215EA" w:rsidRPr="00232835" w:rsidRDefault="00B215EA" w:rsidP="00A1385C">
      <w:pPr>
        <w:pStyle w:val="AppendixBulletIndent"/>
        <w:numPr>
          <w:ilvl w:val="0"/>
          <w:numId w:val="61"/>
        </w:numPr>
        <w:tabs>
          <w:tab w:val="left" w:pos="1440"/>
        </w:tabs>
        <w:ind w:left="1440" w:right="720"/>
        <w:rPr>
          <w:rFonts w:ascii="Tahoma" w:hAnsi="Tahoma" w:cs="Tahoma"/>
          <w:sz w:val="18"/>
          <w:szCs w:val="18"/>
        </w:rPr>
      </w:pPr>
      <w:r w:rsidRPr="00232835">
        <w:rPr>
          <w:rFonts w:ascii="Tahoma" w:hAnsi="Tahoma" w:cs="Tahoma"/>
          <w:sz w:val="18"/>
          <w:szCs w:val="18"/>
        </w:rPr>
        <w:t>Registro de Servidor e Nuvem</w:t>
      </w:r>
    </w:p>
    <w:p w:rsidR="00456002" w:rsidRPr="00232835" w:rsidRDefault="00456002" w:rsidP="00EF6A68">
      <w:pPr>
        <w:pStyle w:val="AppendixIndent"/>
        <w:tabs>
          <w:tab w:val="left" w:pos="90"/>
        </w:tabs>
        <w:spacing w:before="0"/>
        <w:ind w:left="0" w:right="720"/>
        <w:rPr>
          <w:rFonts w:ascii="Tahoma" w:hAnsi="Tahoma" w:cs="Tahoma"/>
          <w:sz w:val="18"/>
          <w:szCs w:val="18"/>
        </w:rPr>
      </w:pPr>
    </w:p>
    <w:p w:rsidR="00456002" w:rsidRPr="00232835" w:rsidRDefault="00456002" w:rsidP="00EF6A68">
      <w:pPr>
        <w:pStyle w:val="AppendixBodyText"/>
        <w:spacing w:after="0"/>
        <w:ind w:right="720"/>
        <w:rPr>
          <w:rFonts w:ascii="Tahoma" w:hAnsi="Tahoma" w:cs="Tahoma"/>
          <w:sz w:val="18"/>
          <w:szCs w:val="18"/>
        </w:rPr>
      </w:pPr>
      <w:r w:rsidRPr="00232835">
        <w:rPr>
          <w:rFonts w:ascii="Tahoma" w:hAnsi="Tahoma" w:cs="Tahoma"/>
          <w:sz w:val="18"/>
          <w:szCs w:val="18"/>
        </w:rPr>
        <w:t>Não há pré-requisitos para adquirir a Licença O Software Assurance deverá ser adquirido por ocasião da aquisição da Licença correspondente ou na renovação do prazo de um Software Assurance existente.</w:t>
      </w:r>
      <w:r w:rsidR="00172F11" w:rsidRPr="00232835">
        <w:rPr>
          <w:rFonts w:ascii="Tahoma" w:hAnsi="Tahoma" w:cs="Tahoma"/>
          <w:sz w:val="18"/>
          <w:szCs w:val="18"/>
        </w:rPr>
        <w:t xml:space="preserve"> </w:t>
      </w:r>
      <w:r w:rsidRPr="00232835">
        <w:rPr>
          <w:rFonts w:ascii="Tahoma" w:hAnsi="Tahoma" w:cs="Tahoma"/>
          <w:sz w:val="18"/>
          <w:szCs w:val="18"/>
        </w:rPr>
        <w:t>Em todos os Programas de Licenciamento por Volume, quando o cliente não cumprir os critérios de qualificação do Software Assurance e quiser adquiri-lo, ele deverá adquirir a oferta Licença e Software Assurance.</w:t>
      </w:r>
    </w:p>
    <w:p w:rsidR="00255158" w:rsidRDefault="00255158" w:rsidP="00EF6A68">
      <w:pPr>
        <w:rPr>
          <w:rFonts w:cs="Tahoma"/>
        </w:rPr>
      </w:pPr>
    </w:p>
    <w:p w:rsidR="00232835" w:rsidRPr="004B208C" w:rsidRDefault="00232835" w:rsidP="00EF6A68">
      <w:pPr>
        <w:rPr>
          <w:rFonts w:cs="Tahoma"/>
        </w:rPr>
      </w:pPr>
    </w:p>
    <w:p w:rsidR="00456002" w:rsidRPr="004B208C" w:rsidRDefault="00456002" w:rsidP="00456002">
      <w:pPr>
        <w:pStyle w:val="Heading2"/>
        <w:tabs>
          <w:tab w:val="left" w:pos="90"/>
        </w:tabs>
        <w:ind w:left="0" w:right="720"/>
        <w:rPr>
          <w:rFonts w:ascii="Tahoma" w:hAnsi="Tahoma" w:cs="Tahoma"/>
        </w:rPr>
      </w:pPr>
      <w:bookmarkStart w:id="630" w:name="_Toc323819650"/>
      <w:bookmarkStart w:id="631" w:name="_Toc336338201"/>
      <w:bookmarkStart w:id="632" w:name="_Toc370981315"/>
      <w:r w:rsidRPr="004B208C">
        <w:rPr>
          <w:rFonts w:ascii="Tahoma" w:hAnsi="Tahoma" w:cs="Tahoma"/>
        </w:rPr>
        <w:lastRenderedPageBreak/>
        <w:t>Software Assurance</w:t>
      </w:r>
      <w:bookmarkEnd w:id="630"/>
      <w:bookmarkEnd w:id="631"/>
      <w:bookmarkEnd w:id="632"/>
    </w:p>
    <w:p w:rsidR="00456002" w:rsidRPr="00232835" w:rsidRDefault="00456002" w:rsidP="00EF6A68">
      <w:pPr>
        <w:pStyle w:val="AppendixBodyText"/>
        <w:tabs>
          <w:tab w:val="left" w:pos="90"/>
        </w:tabs>
        <w:spacing w:after="0"/>
        <w:ind w:right="720"/>
        <w:rPr>
          <w:rFonts w:ascii="Tahoma" w:hAnsi="Tahoma" w:cs="Tahoma"/>
          <w:sz w:val="18"/>
          <w:szCs w:val="18"/>
        </w:rPr>
      </w:pPr>
    </w:p>
    <w:p w:rsidR="00456002" w:rsidRPr="00232835" w:rsidRDefault="00456002" w:rsidP="00EF6A68">
      <w:pPr>
        <w:pStyle w:val="AppendixBodyText"/>
        <w:spacing w:after="0"/>
        <w:ind w:right="720"/>
        <w:rPr>
          <w:rFonts w:ascii="Tahoma" w:hAnsi="Tahoma" w:cs="Tahoma"/>
          <w:sz w:val="18"/>
          <w:szCs w:val="18"/>
        </w:rPr>
      </w:pPr>
      <w:r w:rsidRPr="00232835">
        <w:rPr>
          <w:rFonts w:ascii="Tahoma" w:hAnsi="Tahoma" w:cs="Tahoma"/>
          <w:sz w:val="18"/>
          <w:szCs w:val="18"/>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rsidR="00456002" w:rsidRPr="00232835" w:rsidRDefault="00456002" w:rsidP="00EF6A68">
      <w:pPr>
        <w:pStyle w:val="AppendixIndent"/>
        <w:tabs>
          <w:tab w:val="left" w:pos="90"/>
        </w:tabs>
        <w:spacing w:before="0"/>
        <w:ind w:left="0" w:right="720"/>
        <w:rPr>
          <w:rFonts w:ascii="Tahoma" w:hAnsi="Tahoma" w:cs="Tahoma"/>
          <w:sz w:val="18"/>
          <w:szCs w:val="18"/>
        </w:rPr>
      </w:pPr>
    </w:p>
    <w:p w:rsidR="00456002" w:rsidRPr="00232835" w:rsidRDefault="00456002" w:rsidP="00EF6A68">
      <w:pPr>
        <w:pStyle w:val="AppendixBodyText"/>
        <w:spacing w:after="0"/>
        <w:ind w:right="720"/>
        <w:rPr>
          <w:rFonts w:ascii="Tahoma" w:hAnsi="Tahoma" w:cs="Tahoma"/>
          <w:spacing w:val="-2"/>
          <w:sz w:val="18"/>
          <w:szCs w:val="18"/>
        </w:rPr>
      </w:pPr>
      <w:r w:rsidRPr="00232835">
        <w:rPr>
          <w:rFonts w:ascii="Tahoma" w:hAnsi="Tahoma" w:cs="Tahoma"/>
          <w:spacing w:val="-2"/>
          <w:sz w:val="18"/>
          <w:szCs w:val="18"/>
        </w:rPr>
        <w:t>Para obter detalhes sobre os direitos de uso relacionados a benefícios, consulte os Direitos de Uso de Produto para o Licenciamento por Volume. O Software Assurance encontra-se disponível nos seguintes programas:</w:t>
      </w:r>
    </w:p>
    <w:p w:rsidR="00456002" w:rsidRPr="00232835" w:rsidRDefault="00456002" w:rsidP="00EF6A68">
      <w:pPr>
        <w:pStyle w:val="AppendixIndent"/>
        <w:tabs>
          <w:tab w:val="left" w:pos="90"/>
        </w:tabs>
        <w:spacing w:before="0"/>
        <w:ind w:left="0" w:right="720"/>
        <w:rPr>
          <w:rFonts w:ascii="Tahoma" w:hAnsi="Tahoma" w:cs="Tahoma"/>
          <w:sz w:val="18"/>
          <w:szCs w:val="18"/>
        </w:rPr>
      </w:pPr>
    </w:p>
    <w:p w:rsidR="00456002" w:rsidRPr="00232835" w:rsidRDefault="00456002" w:rsidP="00A1385C">
      <w:pPr>
        <w:pStyle w:val="AppendixBulletIndent"/>
        <w:numPr>
          <w:ilvl w:val="0"/>
          <w:numId w:val="62"/>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Open License </w:t>
      </w:r>
    </w:p>
    <w:p w:rsidR="00456002" w:rsidRPr="00232835" w:rsidRDefault="00456002" w:rsidP="00A1385C">
      <w:pPr>
        <w:pStyle w:val="AppendixBulletIndent"/>
        <w:numPr>
          <w:ilvl w:val="0"/>
          <w:numId w:val="62"/>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Open Value </w:t>
      </w:r>
    </w:p>
    <w:p w:rsidR="00456002" w:rsidRPr="00232835" w:rsidRDefault="00456002" w:rsidP="00A1385C">
      <w:pPr>
        <w:pStyle w:val="AppendixBulletIndent"/>
        <w:numPr>
          <w:ilvl w:val="0"/>
          <w:numId w:val="62"/>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Select </w:t>
      </w:r>
    </w:p>
    <w:p w:rsidR="00456002" w:rsidRPr="00232835" w:rsidRDefault="00456002" w:rsidP="00A1385C">
      <w:pPr>
        <w:pStyle w:val="AppendixBulletIndent"/>
        <w:numPr>
          <w:ilvl w:val="0"/>
          <w:numId w:val="62"/>
        </w:numPr>
        <w:tabs>
          <w:tab w:val="left" w:pos="1440"/>
        </w:tabs>
        <w:spacing w:after="60"/>
        <w:ind w:left="1440" w:right="720"/>
        <w:rPr>
          <w:rFonts w:ascii="Tahoma" w:hAnsi="Tahoma" w:cs="Tahoma"/>
          <w:sz w:val="18"/>
          <w:szCs w:val="18"/>
        </w:rPr>
      </w:pPr>
      <w:r w:rsidRPr="00232835">
        <w:rPr>
          <w:rFonts w:ascii="Tahoma" w:hAnsi="Tahoma" w:cs="Tahoma"/>
          <w:sz w:val="18"/>
          <w:szCs w:val="18"/>
        </w:rPr>
        <w:t>Select Plus</w:t>
      </w:r>
    </w:p>
    <w:p w:rsidR="00456002" w:rsidRPr="00232835" w:rsidRDefault="00456002" w:rsidP="00A1385C">
      <w:pPr>
        <w:pStyle w:val="AppendixBulletIndent"/>
        <w:numPr>
          <w:ilvl w:val="0"/>
          <w:numId w:val="62"/>
        </w:numPr>
        <w:tabs>
          <w:tab w:val="left" w:pos="1440"/>
        </w:tabs>
        <w:ind w:left="1440" w:right="720"/>
        <w:rPr>
          <w:rFonts w:ascii="Tahoma" w:hAnsi="Tahoma" w:cs="Tahoma"/>
          <w:sz w:val="18"/>
          <w:szCs w:val="18"/>
        </w:rPr>
      </w:pPr>
      <w:r w:rsidRPr="00232835">
        <w:rPr>
          <w:rFonts w:ascii="Tahoma" w:hAnsi="Tahoma" w:cs="Tahoma"/>
          <w:sz w:val="18"/>
          <w:szCs w:val="18"/>
        </w:rPr>
        <w:t>Registro Enterprise</w:t>
      </w:r>
    </w:p>
    <w:p w:rsidR="00B215EA" w:rsidRPr="00232835" w:rsidRDefault="00B215EA" w:rsidP="00A1385C">
      <w:pPr>
        <w:pStyle w:val="AppendixBulletIndent"/>
        <w:numPr>
          <w:ilvl w:val="0"/>
          <w:numId w:val="62"/>
        </w:numPr>
        <w:tabs>
          <w:tab w:val="left" w:pos="1440"/>
        </w:tabs>
        <w:ind w:left="1440" w:right="720"/>
        <w:rPr>
          <w:rFonts w:ascii="Tahoma" w:hAnsi="Tahoma" w:cs="Tahoma"/>
          <w:sz w:val="18"/>
          <w:szCs w:val="18"/>
        </w:rPr>
      </w:pPr>
      <w:r w:rsidRPr="00232835">
        <w:rPr>
          <w:rFonts w:ascii="Tahoma" w:hAnsi="Tahoma" w:cs="Tahoma"/>
          <w:sz w:val="18"/>
          <w:szCs w:val="18"/>
        </w:rPr>
        <w:t>Registro de Servidor e Nuvem</w:t>
      </w:r>
    </w:p>
    <w:p w:rsidR="00456002" w:rsidRPr="00232835" w:rsidRDefault="00456002" w:rsidP="00B147AB">
      <w:pPr>
        <w:pStyle w:val="AppendixIndent"/>
        <w:spacing w:before="0"/>
        <w:ind w:left="0" w:right="720"/>
        <w:rPr>
          <w:rFonts w:ascii="Tahoma" w:hAnsi="Tahoma" w:cs="Tahoma"/>
          <w:sz w:val="18"/>
          <w:szCs w:val="18"/>
        </w:rPr>
      </w:pPr>
    </w:p>
    <w:p w:rsidR="00456002" w:rsidRPr="00232835" w:rsidRDefault="00456002" w:rsidP="00B147AB">
      <w:pPr>
        <w:pStyle w:val="AppendixIndent"/>
        <w:spacing w:before="0"/>
        <w:ind w:left="0" w:right="720"/>
        <w:rPr>
          <w:rFonts w:ascii="Tahoma" w:hAnsi="Tahoma" w:cs="Tahoma"/>
          <w:sz w:val="18"/>
          <w:szCs w:val="18"/>
        </w:rPr>
      </w:pPr>
      <w:r w:rsidRPr="00232835">
        <w:rPr>
          <w:rFonts w:ascii="Tahoma" w:hAnsi="Tahoma" w:cs="Tahoma"/>
          <w:sz w:val="18"/>
          <w:szCs w:val="18"/>
        </w:rPr>
        <w:t>Existem três categorias diferentes de compromisso que um cliente pode selecionar para o Software Assurance.</w:t>
      </w:r>
      <w:r w:rsidR="00172F11" w:rsidRPr="00232835">
        <w:rPr>
          <w:rFonts w:ascii="Tahoma" w:hAnsi="Tahoma" w:cs="Tahoma"/>
          <w:sz w:val="18"/>
          <w:szCs w:val="18"/>
        </w:rPr>
        <w:t xml:space="preserve"> </w:t>
      </w:r>
      <w:r w:rsidRPr="00232835">
        <w:rPr>
          <w:rFonts w:ascii="Tahoma" w:hAnsi="Tahoma" w:cs="Tahoma"/>
          <w:sz w:val="18"/>
          <w:szCs w:val="18"/>
        </w:rPr>
        <w:t>As categorias disponíveis variam de acordo com o programa.</w:t>
      </w:r>
      <w:r w:rsidR="00172F11" w:rsidRPr="00232835">
        <w:rPr>
          <w:rFonts w:ascii="Tahoma" w:hAnsi="Tahoma" w:cs="Tahoma"/>
          <w:sz w:val="18"/>
          <w:szCs w:val="18"/>
        </w:rPr>
        <w:t xml:space="preserve"> </w:t>
      </w:r>
      <w:r w:rsidRPr="00232835">
        <w:rPr>
          <w:rFonts w:ascii="Tahoma" w:hAnsi="Tahoma" w:cs="Tahoma"/>
          <w:sz w:val="18"/>
          <w:szCs w:val="18"/>
        </w:rPr>
        <w:t>A categoria de compromisso do</w:t>
      </w:r>
      <w:r w:rsidR="00232835">
        <w:rPr>
          <w:rFonts w:ascii="Tahoma" w:hAnsi="Tahoma" w:cs="Tahoma"/>
          <w:sz w:val="18"/>
          <w:szCs w:val="18"/>
        </w:rPr>
        <w:t> </w:t>
      </w:r>
      <w:r w:rsidRPr="00232835">
        <w:rPr>
          <w:rFonts w:ascii="Tahoma" w:hAnsi="Tahoma" w:cs="Tahoma"/>
          <w:sz w:val="18"/>
          <w:szCs w:val="18"/>
        </w:rPr>
        <w:t>Software Assurance do cliente é um dos vários fatores que podem determinar o direito dele receber benefícios.</w:t>
      </w:r>
      <w:r w:rsidR="00172F11" w:rsidRPr="00232835">
        <w:rPr>
          <w:rFonts w:ascii="Tahoma" w:hAnsi="Tahoma" w:cs="Tahoma"/>
          <w:sz w:val="18"/>
          <w:szCs w:val="18"/>
        </w:rPr>
        <w:t xml:space="preserve"> </w:t>
      </w:r>
      <w:r w:rsidRPr="00232835">
        <w:rPr>
          <w:rFonts w:ascii="Tahoma" w:hAnsi="Tahoma" w:cs="Tahoma"/>
          <w:sz w:val="18"/>
          <w:szCs w:val="18"/>
        </w:rPr>
        <w:t>Um cliente pode:</w:t>
      </w:r>
    </w:p>
    <w:p w:rsidR="004C08A3" w:rsidRPr="00232835" w:rsidRDefault="004C08A3" w:rsidP="00B147AB">
      <w:pPr>
        <w:pStyle w:val="AppendixIndent"/>
        <w:spacing w:before="0"/>
        <w:ind w:left="0" w:right="720"/>
        <w:rPr>
          <w:rFonts w:ascii="Tahoma" w:hAnsi="Tahoma" w:cs="Tahoma"/>
          <w:sz w:val="18"/>
          <w:szCs w:val="18"/>
        </w:rPr>
      </w:pPr>
    </w:p>
    <w:p w:rsidR="00456002" w:rsidRPr="00232835" w:rsidRDefault="00456002" w:rsidP="00A1385C">
      <w:pPr>
        <w:pStyle w:val="AppendixIndent"/>
        <w:numPr>
          <w:ilvl w:val="0"/>
          <w:numId w:val="63"/>
        </w:numPr>
        <w:ind w:left="1440" w:right="720"/>
        <w:rPr>
          <w:rFonts w:ascii="Tahoma" w:hAnsi="Tahoma" w:cs="Tahoma"/>
          <w:sz w:val="18"/>
          <w:szCs w:val="18"/>
        </w:rPr>
      </w:pPr>
      <w:r w:rsidRPr="00232835">
        <w:rPr>
          <w:rFonts w:ascii="Tahoma" w:hAnsi="Tahoma" w:cs="Tahoma"/>
          <w:sz w:val="18"/>
          <w:szCs w:val="18"/>
        </w:rPr>
        <w:t>Comprometer-se a anexar o Software Assurance a todos os seus produtos da plataforma de desktop.</w:t>
      </w:r>
      <w:r w:rsidR="00172F11" w:rsidRPr="00232835">
        <w:rPr>
          <w:rFonts w:ascii="Tahoma" w:hAnsi="Tahoma" w:cs="Tahoma"/>
          <w:sz w:val="18"/>
          <w:szCs w:val="18"/>
        </w:rPr>
        <w:t xml:space="preserve"> </w:t>
      </w:r>
      <w:r w:rsidRPr="00232835">
        <w:rPr>
          <w:rFonts w:ascii="Tahoma" w:hAnsi="Tahoma" w:cs="Tahoma"/>
          <w:sz w:val="18"/>
          <w:szCs w:val="18"/>
        </w:rPr>
        <w:t>Em geral, isso está disponível no Contrato Enterprise e no Open Value.</w:t>
      </w:r>
    </w:p>
    <w:p w:rsidR="00456002" w:rsidRPr="00232835" w:rsidRDefault="00456002" w:rsidP="00A1385C">
      <w:pPr>
        <w:pStyle w:val="AppendixIndent"/>
        <w:numPr>
          <w:ilvl w:val="0"/>
          <w:numId w:val="63"/>
        </w:numPr>
        <w:ind w:left="1440" w:right="720"/>
        <w:rPr>
          <w:rFonts w:ascii="Tahoma" w:hAnsi="Tahoma" w:cs="Tahoma"/>
          <w:sz w:val="18"/>
          <w:szCs w:val="18"/>
        </w:rPr>
      </w:pPr>
      <w:r w:rsidRPr="00232835">
        <w:rPr>
          <w:rFonts w:ascii="Tahoma" w:hAnsi="Tahoma" w:cs="Tahoma"/>
          <w:sz w:val="18"/>
          <w:szCs w:val="18"/>
        </w:rPr>
        <w:t>Comprometer-se a anexar o Software Assurance a todas as suas compras em um pool de</w:t>
      </w:r>
      <w:r w:rsidR="00232835">
        <w:rPr>
          <w:rFonts w:ascii="Tahoma" w:hAnsi="Tahoma" w:cs="Tahoma"/>
          <w:sz w:val="18"/>
          <w:szCs w:val="18"/>
        </w:rPr>
        <w:t> </w:t>
      </w:r>
      <w:r w:rsidRPr="00232835">
        <w:rPr>
          <w:rFonts w:ascii="Tahoma" w:hAnsi="Tahoma" w:cs="Tahoma"/>
          <w:sz w:val="18"/>
          <w:szCs w:val="18"/>
        </w:rPr>
        <w:t>produtos específico (Aplicativos, Sistemas ou Servidores).</w:t>
      </w:r>
      <w:r w:rsidR="00172F11" w:rsidRPr="00232835">
        <w:rPr>
          <w:rFonts w:ascii="Tahoma" w:hAnsi="Tahoma" w:cs="Tahoma"/>
          <w:sz w:val="18"/>
          <w:szCs w:val="18"/>
        </w:rPr>
        <w:t xml:space="preserve"> </w:t>
      </w:r>
      <w:r w:rsidRPr="00232835">
        <w:rPr>
          <w:rFonts w:ascii="Tahoma" w:hAnsi="Tahoma" w:cs="Tahoma"/>
          <w:sz w:val="18"/>
          <w:szCs w:val="18"/>
        </w:rPr>
        <w:t>Isso é conhecido como o</w:t>
      </w:r>
      <w:r w:rsidR="00232835">
        <w:rPr>
          <w:rFonts w:ascii="Tahoma" w:hAnsi="Tahoma" w:cs="Tahoma"/>
          <w:sz w:val="18"/>
          <w:szCs w:val="18"/>
        </w:rPr>
        <w:t> </w:t>
      </w:r>
      <w:r w:rsidRPr="00232835">
        <w:rPr>
          <w:rFonts w:ascii="Tahoma" w:hAnsi="Tahoma" w:cs="Tahoma"/>
          <w:sz w:val="18"/>
          <w:szCs w:val="18"/>
        </w:rPr>
        <w:t>Programa de Membros do Software Assurance (SAM). Não é necessário um compromisso de toda a empresa para com o Software Assurance. Em geral, isso está</w:t>
      </w:r>
      <w:r w:rsidR="00232835">
        <w:rPr>
          <w:rFonts w:ascii="Tahoma" w:hAnsi="Tahoma" w:cs="Tahoma"/>
          <w:sz w:val="18"/>
          <w:szCs w:val="18"/>
        </w:rPr>
        <w:t> </w:t>
      </w:r>
      <w:r w:rsidRPr="00232835">
        <w:rPr>
          <w:rFonts w:ascii="Tahoma" w:hAnsi="Tahoma" w:cs="Tahoma"/>
          <w:sz w:val="18"/>
          <w:szCs w:val="18"/>
        </w:rPr>
        <w:t>disponível no Select.</w:t>
      </w:r>
    </w:p>
    <w:p w:rsidR="00456002" w:rsidRPr="00232835" w:rsidRDefault="00456002" w:rsidP="00A1385C">
      <w:pPr>
        <w:pStyle w:val="AppendixIndent"/>
        <w:numPr>
          <w:ilvl w:val="0"/>
          <w:numId w:val="63"/>
        </w:numPr>
        <w:ind w:left="1440" w:right="720"/>
        <w:rPr>
          <w:rFonts w:ascii="Tahoma" w:hAnsi="Tahoma" w:cs="Tahoma"/>
          <w:sz w:val="18"/>
          <w:szCs w:val="18"/>
        </w:rPr>
      </w:pPr>
      <w:r w:rsidRPr="00232835">
        <w:rPr>
          <w:rFonts w:ascii="Tahoma" w:hAnsi="Tahoma" w:cs="Tahoma"/>
          <w:sz w:val="18"/>
          <w:szCs w:val="18"/>
        </w:rPr>
        <w:t>Comprar o Software Assurance para produtos individuais sem assumir nenhum compromisso para expandir suas compras do Software Assurance a outros produtos.</w:t>
      </w:r>
    </w:p>
    <w:p w:rsidR="0053106B" w:rsidRPr="00232835" w:rsidRDefault="0053106B" w:rsidP="00EF6A68">
      <w:pPr>
        <w:pStyle w:val="AppendixBodyText"/>
        <w:spacing w:after="0"/>
        <w:ind w:right="720"/>
        <w:rPr>
          <w:rFonts w:ascii="Tahoma" w:hAnsi="Tahoma" w:cs="Tahoma"/>
          <w:sz w:val="18"/>
          <w:szCs w:val="18"/>
        </w:rPr>
      </w:pPr>
    </w:p>
    <w:p w:rsidR="00456002" w:rsidRPr="00232835" w:rsidRDefault="00456002" w:rsidP="00B147AB">
      <w:pPr>
        <w:pStyle w:val="AppendixBodyText"/>
        <w:spacing w:after="0"/>
        <w:ind w:right="720"/>
        <w:rPr>
          <w:rFonts w:ascii="Tahoma" w:hAnsi="Tahoma" w:cs="Tahoma"/>
          <w:sz w:val="18"/>
          <w:szCs w:val="18"/>
        </w:rPr>
      </w:pPr>
      <w:r w:rsidRPr="00232835">
        <w:rPr>
          <w:rFonts w:ascii="Tahoma" w:hAnsi="Tahoma" w:cs="Tahoma"/>
          <w:sz w:val="18"/>
          <w:szCs w:val="18"/>
        </w:rPr>
        <w:t>O Software Assurance deverá ser adquirido por ocasião da aquisição da Licença ou na renovação do prazo de um Software Assurance existente.</w:t>
      </w:r>
      <w:r w:rsidR="00172F11" w:rsidRPr="00232835">
        <w:rPr>
          <w:rFonts w:ascii="Tahoma" w:hAnsi="Tahoma" w:cs="Tahoma"/>
          <w:sz w:val="18"/>
          <w:szCs w:val="18"/>
        </w:rPr>
        <w:t xml:space="preserve"> </w:t>
      </w:r>
      <w:r w:rsidRPr="00232835">
        <w:rPr>
          <w:rFonts w:ascii="Tahoma" w:hAnsi="Tahoma" w:cs="Tahoma"/>
          <w:sz w:val="18"/>
          <w:szCs w:val="18"/>
        </w:rPr>
        <w:t>Caso contrário, eles deverão adquirir uma nova Licença ou Licença e</w:t>
      </w:r>
      <w:r w:rsidR="00232835">
        <w:rPr>
          <w:rFonts w:ascii="Tahoma" w:hAnsi="Tahoma" w:cs="Tahoma"/>
          <w:sz w:val="18"/>
          <w:szCs w:val="18"/>
        </w:rPr>
        <w:t> </w:t>
      </w:r>
      <w:r w:rsidRPr="00232835">
        <w:rPr>
          <w:rFonts w:ascii="Tahoma" w:hAnsi="Tahoma" w:cs="Tahoma"/>
          <w:sz w:val="18"/>
          <w:szCs w:val="18"/>
        </w:rPr>
        <w:t>Software Assurance a fim de atualizar sua Licença posteriormente (no caso do Sistema Operacional Windows Desktop, as opções são atualização e Software Assurance).</w:t>
      </w:r>
      <w:r w:rsidR="00172F11" w:rsidRPr="00232835">
        <w:rPr>
          <w:rFonts w:ascii="Tahoma" w:hAnsi="Tahoma" w:cs="Tahoma"/>
          <w:sz w:val="18"/>
          <w:szCs w:val="18"/>
        </w:rPr>
        <w:t xml:space="preserve"> </w:t>
      </w:r>
      <w:r w:rsidRPr="00232835">
        <w:rPr>
          <w:rFonts w:ascii="Tahoma" w:hAnsi="Tahoma" w:cs="Tahoma"/>
          <w:sz w:val="18"/>
          <w:szCs w:val="18"/>
        </w:rPr>
        <w:t>Os clientes EAP que possuem SKUs de</w:t>
      </w:r>
      <w:r w:rsidR="00232835">
        <w:rPr>
          <w:rFonts w:ascii="Tahoma" w:hAnsi="Tahoma" w:cs="Tahoma"/>
          <w:sz w:val="18"/>
          <w:szCs w:val="18"/>
        </w:rPr>
        <w:t> </w:t>
      </w:r>
      <w:r w:rsidRPr="00232835">
        <w:rPr>
          <w:rFonts w:ascii="Tahoma" w:hAnsi="Tahoma" w:cs="Tahoma"/>
          <w:sz w:val="18"/>
          <w:szCs w:val="18"/>
        </w:rPr>
        <w:t>Licenças anteriormente adiados (SApriorL) devem fazer a opção de compra (</w:t>
      </w:r>
      <w:r w:rsidR="00172F11" w:rsidRPr="00232835">
        <w:rPr>
          <w:rFonts w:ascii="Tahoma" w:hAnsi="Tahoma" w:cs="Tahoma"/>
          <w:sz w:val="18"/>
          <w:szCs w:val="18"/>
        </w:rPr>
        <w:t>“</w:t>
      </w:r>
      <w:r w:rsidRPr="00232835">
        <w:rPr>
          <w:rFonts w:ascii="Tahoma" w:hAnsi="Tahoma" w:cs="Tahoma"/>
          <w:sz w:val="18"/>
          <w:szCs w:val="18"/>
        </w:rPr>
        <w:t>buy-out</w:t>
      </w:r>
      <w:r w:rsidR="00172F11" w:rsidRPr="00232835">
        <w:rPr>
          <w:rFonts w:ascii="Tahoma" w:hAnsi="Tahoma" w:cs="Tahoma"/>
          <w:sz w:val="18"/>
          <w:szCs w:val="18"/>
        </w:rPr>
        <w:t>”</w:t>
      </w:r>
      <w:r w:rsidRPr="00232835">
        <w:rPr>
          <w:rFonts w:ascii="Tahoma" w:hAnsi="Tahoma" w:cs="Tahoma"/>
          <w:sz w:val="18"/>
          <w:szCs w:val="18"/>
        </w:rPr>
        <w:t>) de suas Licenças antes de poderem renovar o SA.</w:t>
      </w:r>
      <w:r w:rsidR="00172F11" w:rsidRPr="00232835">
        <w:rPr>
          <w:rFonts w:ascii="Tahoma" w:hAnsi="Tahoma" w:cs="Tahoma"/>
          <w:sz w:val="18"/>
          <w:szCs w:val="18"/>
        </w:rPr>
        <w:t xml:space="preserve"> </w:t>
      </w:r>
      <w:r w:rsidRPr="00232835">
        <w:rPr>
          <w:rFonts w:ascii="Tahoma" w:hAnsi="Tahoma" w:cs="Tahoma"/>
          <w:sz w:val="18"/>
          <w:szCs w:val="18"/>
        </w:rPr>
        <w:t>Consulte a seção sobre regras de renovação e o contrato do programa específico para saber as regras de qualificação que regem a aquisição do Software Assurance.</w:t>
      </w:r>
    </w:p>
    <w:p w:rsidR="004C08A3" w:rsidRPr="00232835" w:rsidRDefault="004C08A3" w:rsidP="00B147AB">
      <w:pPr>
        <w:pStyle w:val="AppendixBodyText"/>
        <w:spacing w:after="0"/>
        <w:ind w:right="720"/>
        <w:rPr>
          <w:rFonts w:ascii="Tahoma" w:hAnsi="Tahoma" w:cs="Tahoma"/>
          <w:sz w:val="18"/>
          <w:szCs w:val="18"/>
        </w:rPr>
      </w:pPr>
    </w:p>
    <w:p w:rsidR="00456002" w:rsidRPr="00232835" w:rsidRDefault="00456002" w:rsidP="00B147AB">
      <w:pPr>
        <w:pStyle w:val="AppendixBodyText"/>
        <w:spacing w:after="0"/>
        <w:ind w:right="720"/>
        <w:rPr>
          <w:rFonts w:ascii="Tahoma" w:hAnsi="Tahoma" w:cs="Tahoma"/>
          <w:sz w:val="18"/>
          <w:szCs w:val="18"/>
        </w:rPr>
      </w:pPr>
      <w:r w:rsidRPr="00232835">
        <w:rPr>
          <w:rFonts w:ascii="Tahoma" w:hAnsi="Tahoma" w:cs="Tahoma"/>
          <w:sz w:val="18"/>
          <w:szCs w:val="18"/>
        </w:rPr>
        <w:t xml:space="preserve">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 </w:t>
      </w:r>
    </w:p>
    <w:p w:rsidR="004C08A3" w:rsidRPr="00232835" w:rsidRDefault="004C08A3" w:rsidP="00B147AB">
      <w:pPr>
        <w:pStyle w:val="AppendixBodyText"/>
        <w:spacing w:after="0"/>
        <w:ind w:right="720"/>
        <w:rPr>
          <w:rFonts w:ascii="Tahoma" w:hAnsi="Tahoma" w:cs="Tahoma"/>
          <w:sz w:val="18"/>
          <w:szCs w:val="18"/>
        </w:rPr>
      </w:pPr>
    </w:p>
    <w:p w:rsidR="00456002" w:rsidRPr="0065137B" w:rsidRDefault="00456002" w:rsidP="00B147AB">
      <w:pPr>
        <w:pStyle w:val="AppendixBodyText"/>
        <w:spacing w:after="0"/>
        <w:ind w:right="720"/>
        <w:rPr>
          <w:rFonts w:ascii="Tahoma" w:hAnsi="Tahoma" w:cs="Tahoma"/>
          <w:sz w:val="18"/>
          <w:szCs w:val="18"/>
        </w:rPr>
      </w:pPr>
      <w:r w:rsidRPr="0065137B">
        <w:rPr>
          <w:rFonts w:ascii="Tahoma" w:hAnsi="Tahoma" w:cs="Tahoma"/>
          <w:sz w:val="18"/>
          <w:szCs w:val="18"/>
        </w:rPr>
        <w:t>Os clientes poderão ter a opção de adquirir o Software Assurance para determinadas licenças compradas no</w:t>
      </w:r>
      <w:r w:rsidR="00232835" w:rsidRPr="0065137B">
        <w:rPr>
          <w:rFonts w:ascii="Tahoma" w:hAnsi="Tahoma" w:cs="Tahoma"/>
          <w:sz w:val="18"/>
          <w:szCs w:val="18"/>
        </w:rPr>
        <w:t> </w:t>
      </w:r>
      <w:r w:rsidRPr="0065137B">
        <w:rPr>
          <w:rFonts w:ascii="Tahoma" w:hAnsi="Tahoma" w:cs="Tahoma"/>
          <w:sz w:val="18"/>
          <w:szCs w:val="18"/>
        </w:rPr>
        <w:t>canal de Distribuição (produto em caixa) ou com um OEM (Fabricante de Equipamento Original). A</w:t>
      </w:r>
      <w:r w:rsidR="00232835" w:rsidRPr="0065137B">
        <w:rPr>
          <w:rFonts w:ascii="Tahoma" w:hAnsi="Tahoma" w:cs="Tahoma"/>
          <w:sz w:val="18"/>
          <w:szCs w:val="18"/>
        </w:rPr>
        <w:t> </w:t>
      </w:r>
      <w:r w:rsidRPr="0065137B">
        <w:rPr>
          <w:rFonts w:ascii="Tahoma" w:hAnsi="Tahoma" w:cs="Tahoma"/>
          <w:sz w:val="18"/>
          <w:szCs w:val="18"/>
        </w:rPr>
        <w:t>qualificação varia de acordo com o programa, o pool de produtos e a fonte da licença (veja abaixo).</w:t>
      </w:r>
      <w:r w:rsidR="00172F11" w:rsidRPr="0065137B">
        <w:rPr>
          <w:rFonts w:ascii="Tahoma" w:hAnsi="Tahoma" w:cs="Tahoma"/>
          <w:sz w:val="18"/>
          <w:szCs w:val="18"/>
        </w:rPr>
        <w:t xml:space="preserve"> </w:t>
      </w:r>
      <w:r w:rsidRPr="0065137B">
        <w:rPr>
          <w:rFonts w:ascii="Tahoma" w:hAnsi="Tahoma" w:cs="Tahoma"/>
          <w:sz w:val="18"/>
          <w:szCs w:val="18"/>
        </w:rPr>
        <w:t>Em todos os casos, a menos que seja indicado ao contrário, somente as licenças da versão mais recente de um produto estarão qualificadas, e o Software Assurance deverá ser adquirido no prazo de 90 dias a partir da data de aquisição das licenças.</w:t>
      </w:r>
      <w:r w:rsidR="00172F11" w:rsidRPr="0065137B">
        <w:rPr>
          <w:rFonts w:ascii="Tahoma" w:hAnsi="Tahoma" w:cs="Tahoma"/>
          <w:sz w:val="18"/>
          <w:szCs w:val="18"/>
        </w:rPr>
        <w:t xml:space="preserve"> </w:t>
      </w:r>
      <w:r w:rsidRPr="0065137B">
        <w:rPr>
          <w:rFonts w:ascii="Tahoma" w:hAnsi="Tahoma" w:cs="Tahoma"/>
          <w:sz w:val="18"/>
          <w:szCs w:val="18"/>
        </w:rPr>
        <w:t>No Open Value, essa opção aplica-se apenas a produtos com licença não extensiva a toda a Organização/Empresa.</w:t>
      </w:r>
      <w:r w:rsidR="00172F11" w:rsidRPr="0065137B">
        <w:rPr>
          <w:rFonts w:ascii="Tahoma" w:hAnsi="Tahoma" w:cs="Tahoma"/>
          <w:sz w:val="18"/>
          <w:szCs w:val="18"/>
        </w:rPr>
        <w:t xml:space="preserve"> </w:t>
      </w:r>
      <w:r w:rsidRPr="0065137B">
        <w:rPr>
          <w:rFonts w:ascii="Tahoma" w:hAnsi="Tahoma" w:cs="Tahoma"/>
          <w:sz w:val="18"/>
          <w:szCs w:val="18"/>
        </w:rPr>
        <w:t>Nos Contratos Enterprise, aplica-se apenas a Produtos Adicionais no prazo de 90 dias.</w:t>
      </w:r>
      <w:r w:rsidR="00172F11" w:rsidRPr="0065137B">
        <w:rPr>
          <w:rFonts w:ascii="Tahoma" w:hAnsi="Tahoma" w:cs="Tahoma"/>
          <w:sz w:val="18"/>
          <w:szCs w:val="18"/>
        </w:rPr>
        <w:t xml:space="preserve"> </w:t>
      </w:r>
      <w:r w:rsidRPr="0065137B">
        <w:rPr>
          <w:rFonts w:ascii="Tahoma" w:hAnsi="Tahoma" w:cs="Tahoma"/>
          <w:sz w:val="18"/>
          <w:szCs w:val="18"/>
        </w:rPr>
        <w:t>Os clientes que adquirirem o Software Assurance para licenças OEM ou licenças para o</w:t>
      </w:r>
      <w:r w:rsidR="00515DFA">
        <w:rPr>
          <w:rFonts w:ascii="Tahoma" w:hAnsi="Tahoma" w:cs="Tahoma"/>
          <w:sz w:val="18"/>
          <w:szCs w:val="18"/>
        </w:rPr>
        <w:t> </w:t>
      </w:r>
      <w:r w:rsidRPr="0065137B">
        <w:rPr>
          <w:rFonts w:ascii="Tahoma" w:hAnsi="Tahoma" w:cs="Tahoma"/>
          <w:sz w:val="18"/>
          <w:szCs w:val="18"/>
        </w:rPr>
        <w:t>varejo têm a opção de instalar e usar o software do Licenciamento por Volume para a versão atual a</w:t>
      </w:r>
      <w:r w:rsidR="00515DFA">
        <w:rPr>
          <w:rFonts w:ascii="Tahoma" w:hAnsi="Tahoma" w:cs="Tahoma"/>
          <w:sz w:val="18"/>
          <w:szCs w:val="18"/>
        </w:rPr>
        <w:t> </w:t>
      </w:r>
      <w:r w:rsidRPr="0065137B">
        <w:rPr>
          <w:rFonts w:ascii="Tahoma" w:hAnsi="Tahoma" w:cs="Tahoma"/>
          <w:sz w:val="18"/>
          <w:szCs w:val="18"/>
        </w:rPr>
        <w:t>qualquer momento.</w:t>
      </w:r>
      <w:r w:rsidR="00172F11" w:rsidRPr="0065137B">
        <w:rPr>
          <w:rFonts w:ascii="Tahoma" w:hAnsi="Tahoma" w:cs="Tahoma"/>
          <w:sz w:val="18"/>
          <w:szCs w:val="18"/>
        </w:rPr>
        <w:t xml:space="preserve"> </w:t>
      </w:r>
      <w:r w:rsidRPr="0065137B">
        <w:rPr>
          <w:rFonts w:ascii="Tahoma" w:hAnsi="Tahoma" w:cs="Tahoma"/>
          <w:sz w:val="18"/>
          <w:szCs w:val="18"/>
        </w:rPr>
        <w:t>Nesse caso, o uso do software estará sujeito aos Direitos de Uso de Produto e aos termos e às condições do contrato de licenciamento por volume do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603"/>
        <w:gridCol w:w="2431"/>
        <w:gridCol w:w="2971"/>
      </w:tblGrid>
      <w:tr w:rsidR="00456002" w:rsidRPr="004B208C" w:rsidTr="00232835">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4B208C" w:rsidRDefault="00456002" w:rsidP="005C647E">
            <w:pPr>
              <w:pStyle w:val="AppendixTableHeadings"/>
              <w:rPr>
                <w:rFonts w:ascii="Tahoma" w:hAnsi="Tahoma" w:cs="Tahoma"/>
                <w:sz w:val="20"/>
                <w:szCs w:val="20"/>
              </w:rPr>
            </w:pPr>
          </w:p>
        </w:tc>
        <w:tc>
          <w:tcPr>
            <w:tcW w:w="160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B208C" w:rsidRDefault="00456002" w:rsidP="005C647E">
            <w:pPr>
              <w:pStyle w:val="AppendixTableHeadings"/>
              <w:rPr>
                <w:rFonts w:ascii="Tahoma" w:hAnsi="Tahoma" w:cs="Tahoma"/>
                <w:sz w:val="20"/>
              </w:rPr>
            </w:pPr>
            <w:r w:rsidRPr="004B208C">
              <w:rPr>
                <w:rFonts w:ascii="Tahoma" w:hAnsi="Tahoma" w:cs="Tahoma"/>
                <w:sz w:val="20"/>
              </w:rPr>
              <w:t>Produtos em Caixa</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4B208C" w:rsidRDefault="00456002" w:rsidP="005C647E">
            <w:pPr>
              <w:pStyle w:val="AppendixTableHeadings"/>
              <w:rPr>
                <w:rFonts w:ascii="Tahoma" w:hAnsi="Tahoma" w:cs="Tahoma"/>
                <w:sz w:val="20"/>
              </w:rPr>
            </w:pPr>
            <w:r w:rsidRPr="004B208C">
              <w:rPr>
                <w:rFonts w:ascii="Tahoma" w:hAnsi="Tahoma" w:cs="Tahoma"/>
                <w:sz w:val="20"/>
              </w:rPr>
              <w:t>OEM</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4B208C" w:rsidRDefault="00456002" w:rsidP="005C647E">
            <w:pPr>
              <w:pStyle w:val="AppendixTableHeadings"/>
              <w:rPr>
                <w:rFonts w:ascii="Tahoma" w:hAnsi="Tahoma" w:cs="Tahoma"/>
                <w:sz w:val="20"/>
              </w:rPr>
            </w:pPr>
            <w:r w:rsidRPr="004B208C">
              <w:rPr>
                <w:rFonts w:ascii="Tahoma" w:hAnsi="Tahoma" w:cs="Tahoma"/>
                <w:sz w:val="20"/>
              </w:rPr>
              <w:t>Programas</w:t>
            </w:r>
          </w:p>
        </w:tc>
      </w:tr>
      <w:tr w:rsidR="00456002" w:rsidRPr="004B208C" w:rsidTr="00232835">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232835" w:rsidP="00232835">
            <w:pPr>
              <w:pStyle w:val="AppendixTableText"/>
              <w:rPr>
                <w:rFonts w:ascii="Tahoma" w:hAnsi="Tahoma" w:cs="Tahoma"/>
                <w:b/>
                <w:color w:val="000000"/>
                <w:sz w:val="20"/>
                <w:szCs w:val="20"/>
              </w:rPr>
            </w:pPr>
            <w:r>
              <w:rPr>
                <w:rFonts w:ascii="Tahoma" w:hAnsi="Tahoma" w:cs="Tahoma"/>
                <w:b/>
                <w:color w:val="000000"/>
                <w:sz w:val="20"/>
                <w:szCs w:val="20"/>
              </w:rPr>
              <w:t>Pool de aplicativos</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pStyle w:val="AppendixTableText"/>
              <w:rPr>
                <w:rFonts w:ascii="Tahoma" w:hAnsi="Tahoma" w:cs="Tahoma"/>
                <w:color w:val="000000"/>
              </w:rPr>
            </w:pPr>
            <w:r w:rsidRPr="004B208C">
              <w:rPr>
                <w:rFonts w:ascii="Tahoma" w:hAnsi="Tahoma" w:cs="Tahoma"/>
                <w:color w:val="000000"/>
              </w:rPr>
              <w:t xml:space="preserve">N/D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pStyle w:val="AppendixTableText"/>
              <w:rPr>
                <w:rFonts w:ascii="Tahoma" w:hAnsi="Tahoma" w:cs="Tahoma"/>
                <w:color w:val="000000"/>
              </w:rPr>
            </w:pPr>
            <w:r w:rsidRPr="004B208C">
              <w:rPr>
                <w:rFonts w:ascii="Tahoma" w:hAnsi="Tahoma" w:cs="Tahoma"/>
                <w:color w:val="000000"/>
              </w:rPr>
              <w:t>SA disponível apenas conforme descrito abaixo</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4B208C" w:rsidRDefault="00456002" w:rsidP="00232835">
            <w:pPr>
              <w:pStyle w:val="AppendixTableText"/>
              <w:jc w:val="left"/>
              <w:rPr>
                <w:rFonts w:ascii="Tahoma" w:hAnsi="Tahoma" w:cs="Tahoma"/>
                <w:color w:val="000000"/>
              </w:rPr>
            </w:pPr>
            <w:r w:rsidRPr="004B208C">
              <w:rPr>
                <w:rFonts w:ascii="Tahoma" w:hAnsi="Tahoma" w:cs="Tahoma"/>
                <w:color w:val="000000"/>
              </w:rPr>
              <w:t>Aplica-se a Licença Open, Select,</w:t>
            </w:r>
            <w:r w:rsidR="00232835">
              <w:rPr>
                <w:rFonts w:ascii="Tahoma" w:hAnsi="Tahoma" w:cs="Tahoma"/>
                <w:color w:val="000000"/>
              </w:rPr>
              <w:t> </w:t>
            </w:r>
            <w:r w:rsidRPr="004B208C">
              <w:rPr>
                <w:rFonts w:ascii="Tahoma" w:hAnsi="Tahoma" w:cs="Tahoma"/>
                <w:color w:val="000000"/>
              </w:rPr>
              <w:t>Select Plus e Licença não</w:t>
            </w:r>
            <w:r w:rsidR="00232835">
              <w:rPr>
                <w:rFonts w:ascii="Tahoma" w:hAnsi="Tahoma" w:cs="Tahoma"/>
                <w:color w:val="000000"/>
              </w:rPr>
              <w:t> </w:t>
            </w:r>
            <w:r w:rsidRPr="004B208C">
              <w:rPr>
                <w:rFonts w:ascii="Tahoma" w:hAnsi="Tahoma" w:cs="Tahoma"/>
              </w:rPr>
              <w:t>extensiva a toda a Organização/Empresa</w:t>
            </w:r>
            <w:r w:rsidRPr="004B208C">
              <w:rPr>
                <w:rFonts w:ascii="Tahoma" w:hAnsi="Tahoma" w:cs="Tahoma"/>
                <w:color w:val="000000"/>
              </w:rPr>
              <w:t xml:space="preserve"> sob Open Value e Produtos Adicionais sob Contratos Enterprise. Não se aplica a Produtos Enterprise sob Open Value e Contratos Enterprise</w:t>
            </w:r>
          </w:p>
        </w:tc>
      </w:tr>
      <w:tr w:rsidR="00456002" w:rsidRPr="004B208C" w:rsidTr="00232835">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232835" w:rsidP="005C647E">
            <w:pPr>
              <w:pStyle w:val="AppendixTableText"/>
              <w:rPr>
                <w:rFonts w:ascii="Tahoma" w:hAnsi="Tahoma" w:cs="Tahoma"/>
                <w:b/>
                <w:color w:val="000000"/>
                <w:sz w:val="20"/>
                <w:szCs w:val="20"/>
              </w:rPr>
            </w:pPr>
            <w:r>
              <w:rPr>
                <w:rFonts w:ascii="Tahoma" w:hAnsi="Tahoma" w:cs="Tahoma"/>
                <w:b/>
                <w:color w:val="000000"/>
                <w:sz w:val="20"/>
                <w:szCs w:val="20"/>
              </w:rPr>
              <w:t>Pool de sistemas</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pStyle w:val="AppendixTableText"/>
              <w:rPr>
                <w:rFonts w:ascii="Tahoma" w:hAnsi="Tahoma" w:cs="Tahoma"/>
                <w:color w:val="000000"/>
              </w:rPr>
            </w:pPr>
            <w:r w:rsidRPr="004B208C">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pStyle w:val="AppendixTableText"/>
              <w:rPr>
                <w:rFonts w:ascii="Tahoma" w:hAnsi="Tahoma" w:cs="Tahoma"/>
                <w:color w:val="000000"/>
              </w:rPr>
            </w:pPr>
            <w:r w:rsidRPr="004B208C">
              <w:rPr>
                <w:rFonts w:ascii="Tahoma" w:hAnsi="Tahoma" w:cs="Tahoma"/>
                <w:color w:val="000000"/>
              </w:rPr>
              <w:t xml:space="preserve">SA disponível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rPr>
                <w:rFonts w:cs="Tahoma"/>
                <w:color w:val="000000"/>
                <w:szCs w:val="18"/>
              </w:rPr>
            </w:pPr>
          </w:p>
        </w:tc>
      </w:tr>
      <w:tr w:rsidR="00456002" w:rsidRPr="004B208C" w:rsidTr="00232835">
        <w:tc>
          <w:tcPr>
            <w:tcW w:w="1710"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pStyle w:val="AppendixTableText"/>
              <w:rPr>
                <w:rFonts w:ascii="Tahoma" w:hAnsi="Tahoma" w:cs="Tahoma"/>
                <w:b/>
                <w:color w:val="000000"/>
                <w:sz w:val="20"/>
                <w:szCs w:val="20"/>
              </w:rPr>
            </w:pPr>
            <w:r w:rsidRPr="004B208C">
              <w:rPr>
                <w:rFonts w:ascii="Tahoma" w:hAnsi="Tahoma" w:cs="Tahoma"/>
                <w:b/>
                <w:color w:val="000000"/>
                <w:sz w:val="20"/>
                <w:szCs w:val="20"/>
              </w:rPr>
              <w:t>Pool de Servidores</w:t>
            </w:r>
          </w:p>
        </w:tc>
        <w:tc>
          <w:tcPr>
            <w:tcW w:w="1603"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pStyle w:val="AppendixTableText"/>
              <w:rPr>
                <w:rFonts w:ascii="Tahoma" w:hAnsi="Tahoma" w:cs="Tahoma"/>
                <w:color w:val="000000"/>
              </w:rPr>
            </w:pPr>
            <w:r w:rsidRPr="004B208C">
              <w:rPr>
                <w:rFonts w:ascii="Tahoma" w:hAnsi="Tahoma" w:cs="Tahoma"/>
                <w:color w:val="000000"/>
              </w:rPr>
              <w:t xml:space="preserve">SA disponível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pStyle w:val="AppendixTableText"/>
              <w:rPr>
                <w:rFonts w:ascii="Tahoma" w:hAnsi="Tahoma" w:cs="Tahoma"/>
                <w:color w:val="000000"/>
              </w:rPr>
            </w:pPr>
            <w:r w:rsidRPr="004B208C">
              <w:rPr>
                <w:rFonts w:ascii="Tahoma" w:hAnsi="Tahoma" w:cs="Tahoma"/>
                <w:color w:val="000000"/>
              </w:rPr>
              <w:t>SA disponível</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4B208C" w:rsidRDefault="00456002" w:rsidP="005C647E">
            <w:pPr>
              <w:rPr>
                <w:rFonts w:cs="Tahoma"/>
                <w:color w:val="000000"/>
                <w:szCs w:val="18"/>
              </w:rPr>
            </w:pPr>
          </w:p>
        </w:tc>
      </w:tr>
    </w:tbl>
    <w:p w:rsidR="00456002" w:rsidRPr="004B208C" w:rsidRDefault="00456002" w:rsidP="00456002">
      <w:pPr>
        <w:ind w:right="720"/>
        <w:rPr>
          <w:rFonts w:cs="Tahoma"/>
        </w:rPr>
      </w:pPr>
    </w:p>
    <w:p w:rsidR="00456002" w:rsidRPr="00232835" w:rsidRDefault="00456002" w:rsidP="00B147AB">
      <w:pPr>
        <w:pStyle w:val="AppendixBodyText"/>
        <w:spacing w:after="0"/>
        <w:ind w:right="720"/>
        <w:rPr>
          <w:rFonts w:ascii="Tahoma" w:hAnsi="Tahoma" w:cs="Tahoma"/>
          <w:sz w:val="18"/>
          <w:szCs w:val="18"/>
        </w:rPr>
      </w:pPr>
      <w:r w:rsidRPr="00232835">
        <w:rPr>
          <w:rFonts w:ascii="Tahoma" w:hAnsi="Tahoma" w:cs="Tahoma"/>
          <w:sz w:val="18"/>
          <w:szCs w:val="18"/>
        </w:rPr>
        <w:t>Os clientes que adquirirem o Microsoft Office Professional 2013 com um OEM poderão adquirir o Software Assurance para Microsoft Office Standard 2013 nos programas Licença Open, nos programas Select e Select Plus, e na Licença não extensiva a toda a empresa sob Open Value no prazo de 90 dias a partir da data da compra com o OEM. Os Cartões de Chave de Produto (PKC) do Office são considerados uma oferta de Produto em Caixa (Varejo) e não são qualificados para a opção de adquirir o Software Assurance.</w:t>
      </w:r>
    </w:p>
    <w:p w:rsidR="00255158" w:rsidRPr="00232835" w:rsidRDefault="00255158" w:rsidP="00B147AB">
      <w:pPr>
        <w:pStyle w:val="AppendixBodyText"/>
        <w:spacing w:after="0"/>
        <w:ind w:right="720"/>
        <w:rPr>
          <w:rFonts w:ascii="Tahoma" w:hAnsi="Tahoma" w:cs="Tahoma"/>
          <w:sz w:val="18"/>
          <w:szCs w:val="18"/>
        </w:rPr>
      </w:pPr>
    </w:p>
    <w:p w:rsidR="00456002" w:rsidRPr="004B208C" w:rsidRDefault="00456002" w:rsidP="00456002">
      <w:pPr>
        <w:pStyle w:val="Heading2"/>
        <w:ind w:left="0" w:right="720"/>
        <w:rPr>
          <w:rFonts w:ascii="Tahoma" w:hAnsi="Tahoma" w:cs="Tahoma"/>
        </w:rPr>
      </w:pPr>
      <w:bookmarkStart w:id="633" w:name="_Toc323819651"/>
      <w:bookmarkStart w:id="634" w:name="_Toc336338202"/>
      <w:bookmarkStart w:id="635" w:name="_Toc370981316"/>
      <w:r w:rsidRPr="004B208C">
        <w:rPr>
          <w:rFonts w:ascii="Tahoma" w:hAnsi="Tahoma" w:cs="Tahoma"/>
        </w:rPr>
        <w:t>Licenças Step-up</w:t>
      </w:r>
      <w:bookmarkEnd w:id="633"/>
      <w:bookmarkEnd w:id="634"/>
      <w:bookmarkEnd w:id="635"/>
    </w:p>
    <w:p w:rsidR="00456002" w:rsidRPr="004B208C" w:rsidRDefault="00456002" w:rsidP="00B147AB">
      <w:pPr>
        <w:ind w:right="720"/>
        <w:rPr>
          <w:rFonts w:cs="Tahoma"/>
        </w:rPr>
      </w:pPr>
    </w:p>
    <w:p w:rsidR="00456002" w:rsidRPr="004B208C" w:rsidRDefault="00456002" w:rsidP="00B147AB">
      <w:pPr>
        <w:pStyle w:val="AppendixIndent"/>
        <w:ind w:left="0" w:right="720"/>
        <w:rPr>
          <w:rFonts w:ascii="Tahoma" w:hAnsi="Tahoma" w:cs="Tahoma"/>
        </w:rPr>
      </w:pPr>
      <w:r w:rsidRPr="004B208C">
        <w:rPr>
          <w:rFonts w:ascii="Tahoma" w:hAnsi="Tahoma" w:cs="Tahoma"/>
          <w:sz w:val="18"/>
        </w:rPr>
        <w:t>Os clientes podem migrar da edição padrão para uma edição premium de determinados produtos com uma</w:t>
      </w:r>
      <w:r w:rsidR="00232835">
        <w:rPr>
          <w:rFonts w:ascii="Tahoma" w:hAnsi="Tahoma" w:cs="Tahoma"/>
          <w:sz w:val="18"/>
        </w:rPr>
        <w:t> </w:t>
      </w:r>
      <w:r w:rsidRPr="004B208C">
        <w:rPr>
          <w:rFonts w:ascii="Tahoma" w:hAnsi="Tahoma" w:cs="Tahoma"/>
          <w:sz w:val="18"/>
        </w:rPr>
        <w:t xml:space="preserve">Licença Step-up. Os clientes devem ter uma licença </w:t>
      </w:r>
      <w:r w:rsidRPr="004B208C">
        <w:rPr>
          <w:rFonts w:ascii="Tahoma" w:hAnsi="Tahoma" w:cs="Tahoma"/>
          <w:sz w:val="18"/>
          <w:szCs w:val="18"/>
        </w:rPr>
        <w:t xml:space="preserve">com Software </w:t>
      </w:r>
      <w:r w:rsidRPr="004B208C">
        <w:rPr>
          <w:rFonts w:ascii="Tahoma" w:hAnsi="Tahoma" w:cs="Tahoma"/>
          <w:color w:val="000000"/>
          <w:sz w:val="18"/>
          <w:szCs w:val="18"/>
        </w:rPr>
        <w:t>Assurance ativo para o produto qualificado para adquirir essa Licença Step-up.</w:t>
      </w:r>
      <w:r w:rsidR="00172F11">
        <w:rPr>
          <w:rFonts w:ascii="Tahoma" w:hAnsi="Tahoma" w:cs="Tahoma"/>
          <w:color w:val="000000"/>
          <w:sz w:val="18"/>
          <w:szCs w:val="18"/>
        </w:rPr>
        <w:t xml:space="preserve"> </w:t>
      </w:r>
      <w:r w:rsidRPr="004B208C">
        <w:rPr>
          <w:rFonts w:ascii="Tahoma" w:hAnsi="Tahoma" w:cs="Tahoma"/>
          <w:color w:val="000000"/>
          <w:sz w:val="18"/>
          <w:szCs w:val="18"/>
        </w:rPr>
        <w:t xml:space="preserve">A Licença Step-up deve ser adquirida, e é válida apenas quando adquirida, sob os mesmos contrato e registro do Programa de Licenciamento por Volume (se houver), sob o qual a cobertura de proteção de atualização do produto qualificado foi originalmente adquirida. </w:t>
      </w:r>
      <w:r w:rsidRPr="004B208C">
        <w:rPr>
          <w:rFonts w:ascii="Tahoma" w:hAnsi="Tahoma" w:cs="Tahoma"/>
          <w:color w:val="000000"/>
          <w:sz w:val="18"/>
        </w:rPr>
        <w:t>O direito de uso de software do cliente sob uma licença Step-up está condicionado à posse e</w:t>
      </w:r>
      <w:r w:rsidR="00232835">
        <w:rPr>
          <w:rFonts w:ascii="Tahoma" w:hAnsi="Tahoma" w:cs="Tahoma"/>
          <w:color w:val="000000"/>
          <w:sz w:val="18"/>
        </w:rPr>
        <w:t> </w:t>
      </w:r>
      <w:r w:rsidRPr="004B208C">
        <w:rPr>
          <w:rFonts w:ascii="Tahoma" w:hAnsi="Tahoma" w:cs="Tahoma"/>
          <w:color w:val="000000"/>
          <w:sz w:val="18"/>
        </w:rPr>
        <w:t xml:space="preserve">manutenção de uma Licença do </w:t>
      </w:r>
      <w:r w:rsidRPr="004B208C">
        <w:rPr>
          <w:rFonts w:ascii="Tahoma" w:hAnsi="Tahoma" w:cs="Tahoma"/>
          <w:sz w:val="18"/>
        </w:rPr>
        <w:t>produto qualificado.</w:t>
      </w:r>
      <w:r w:rsidR="00172F11">
        <w:rPr>
          <w:rFonts w:ascii="Tahoma" w:hAnsi="Tahoma" w:cs="Tahoma"/>
          <w:sz w:val="18"/>
        </w:rPr>
        <w:t xml:space="preserve"> </w:t>
      </w:r>
      <w:r w:rsidRPr="004B208C">
        <w:rPr>
          <w:rFonts w:ascii="Tahoma" w:hAnsi="Tahoma" w:cs="Tahoma"/>
          <w:sz w:val="18"/>
        </w:rPr>
        <w:t>Os clientes não podem transferir a Licença do produto</w:t>
      </w:r>
      <w:r w:rsidR="00232835">
        <w:rPr>
          <w:rFonts w:ascii="Tahoma" w:hAnsi="Tahoma" w:cs="Tahoma"/>
          <w:sz w:val="18"/>
        </w:rPr>
        <w:t> </w:t>
      </w:r>
      <w:r w:rsidRPr="004B208C">
        <w:rPr>
          <w:rFonts w:ascii="Tahoma" w:hAnsi="Tahoma" w:cs="Tahoma"/>
          <w:sz w:val="18"/>
        </w:rPr>
        <w:t xml:space="preserve">qualificado separadamente da licença </w:t>
      </w:r>
      <w:r w:rsidRPr="004B208C">
        <w:rPr>
          <w:rFonts w:ascii="Tahoma" w:hAnsi="Tahoma" w:cs="Tahoma"/>
          <w:sz w:val="18"/>
          <w:szCs w:val="18"/>
        </w:rPr>
        <w:t>Step-up.</w:t>
      </w:r>
      <w:r w:rsidR="00172F11">
        <w:rPr>
          <w:rFonts w:ascii="Tahoma" w:hAnsi="Tahoma" w:cs="Tahoma"/>
          <w:sz w:val="18"/>
          <w:szCs w:val="18"/>
        </w:rPr>
        <w:t xml:space="preserve"> </w:t>
      </w:r>
      <w:r w:rsidRPr="004B208C">
        <w:rPr>
          <w:rFonts w:ascii="Tahoma" w:hAnsi="Tahoma" w:cs="Tahoma"/>
          <w:sz w:val="18"/>
          <w:szCs w:val="18"/>
        </w:rPr>
        <w:t>Para obter mais detalhes e informações sobre a</w:t>
      </w:r>
      <w:r w:rsidR="0065137B">
        <w:rPr>
          <w:rFonts w:ascii="Tahoma" w:hAnsi="Tahoma" w:cs="Tahoma"/>
          <w:sz w:val="18"/>
          <w:szCs w:val="18"/>
        </w:rPr>
        <w:t> </w:t>
      </w:r>
      <w:r w:rsidRPr="004B208C">
        <w:rPr>
          <w:rFonts w:ascii="Tahoma" w:hAnsi="Tahoma" w:cs="Tahoma"/>
          <w:sz w:val="18"/>
          <w:szCs w:val="18"/>
        </w:rPr>
        <w:t>disponibilidade da licença, consulte o Resumo de Licenciamento por Volume da Licença Step-up para Enterprise Edition no site: http://</w:t>
      </w:r>
      <w:hyperlink r:id="rId20" w:history="1">
        <w:r w:rsidRPr="004B208C">
          <w:rPr>
            <w:rStyle w:val="Hyperlink"/>
            <w:rFonts w:ascii="Tahoma" w:hAnsi="Tahoma" w:cs="Tahoma"/>
            <w:sz w:val="18"/>
            <w:szCs w:val="18"/>
          </w:rPr>
          <w:t>www.microsoft.com/licensing</w:t>
        </w:r>
      </w:hyperlink>
      <w:r w:rsidRPr="004B208C">
        <w:rPr>
          <w:rFonts w:ascii="Tahoma" w:hAnsi="Tahoma" w:cs="Tahoma"/>
          <w:sz w:val="18"/>
          <w:szCs w:val="18"/>
        </w:rPr>
        <w:t>.</w:t>
      </w:r>
    </w:p>
    <w:p w:rsidR="00ED589D" w:rsidRPr="004B208C" w:rsidRDefault="00ED589D" w:rsidP="00ED589D">
      <w:pPr>
        <w:rPr>
          <w:rFonts w:cs="Tahoma"/>
        </w:rPr>
      </w:pPr>
    </w:p>
    <w:p w:rsidR="00456002" w:rsidRPr="004B208C" w:rsidRDefault="00456002" w:rsidP="00456002">
      <w:pPr>
        <w:pStyle w:val="Heading2"/>
        <w:ind w:left="0" w:right="720"/>
        <w:rPr>
          <w:rFonts w:ascii="Tahoma" w:hAnsi="Tahoma" w:cs="Tahoma"/>
        </w:rPr>
      </w:pPr>
      <w:bookmarkStart w:id="636" w:name="_Toc323819652"/>
      <w:bookmarkStart w:id="637" w:name="_Toc336338203"/>
      <w:bookmarkStart w:id="638" w:name="_Toc370981317"/>
      <w:r w:rsidRPr="004B208C">
        <w:rPr>
          <w:rFonts w:ascii="Tahoma" w:hAnsi="Tahoma" w:cs="Tahoma"/>
        </w:rPr>
        <w:t>Licenças de Assinatura</w:t>
      </w:r>
      <w:bookmarkEnd w:id="636"/>
      <w:bookmarkEnd w:id="637"/>
      <w:bookmarkEnd w:id="638"/>
      <w:r w:rsidRPr="004B208C">
        <w:rPr>
          <w:rFonts w:ascii="Tahoma" w:hAnsi="Tahoma" w:cs="Tahoma"/>
        </w:rPr>
        <w:t xml:space="preserve"> </w:t>
      </w:r>
    </w:p>
    <w:p w:rsidR="00456002" w:rsidRPr="004B208C" w:rsidRDefault="00456002" w:rsidP="007C05C1">
      <w:pPr>
        <w:ind w:right="720"/>
        <w:rPr>
          <w:rFonts w:cs="Tahoma"/>
        </w:rPr>
      </w:pPr>
    </w:p>
    <w:p w:rsidR="00456002" w:rsidRPr="00232835" w:rsidRDefault="00456002" w:rsidP="00B147AB">
      <w:pPr>
        <w:pStyle w:val="AppendixIndent"/>
        <w:spacing w:before="0"/>
        <w:ind w:left="0" w:right="720"/>
        <w:rPr>
          <w:rFonts w:ascii="Tahoma" w:hAnsi="Tahoma" w:cs="Tahoma"/>
          <w:sz w:val="18"/>
          <w:szCs w:val="18"/>
        </w:rPr>
      </w:pPr>
      <w:r w:rsidRPr="00232835">
        <w:rPr>
          <w:rFonts w:ascii="Tahoma" w:hAnsi="Tahoma" w:cs="Tahoma"/>
          <w:sz w:val="18"/>
          <w:szCs w:val="18"/>
        </w:rPr>
        <w:t>Este tipo de produto está disponível para Serviços Online e alguns produtos de software, não é específico à</w:t>
      </w:r>
      <w:r w:rsidR="0065137B">
        <w:rPr>
          <w:rFonts w:ascii="Tahoma" w:hAnsi="Tahoma" w:cs="Tahoma"/>
          <w:sz w:val="18"/>
          <w:szCs w:val="18"/>
        </w:rPr>
        <w:t> </w:t>
      </w:r>
      <w:r w:rsidRPr="00232835">
        <w:rPr>
          <w:rFonts w:ascii="Tahoma" w:hAnsi="Tahoma" w:cs="Tahoma"/>
          <w:sz w:val="18"/>
          <w:szCs w:val="18"/>
        </w:rPr>
        <w:t>versão e permite que os clientes usem o software e, no caso de um Serviço Online, o serviço durante o</w:t>
      </w:r>
      <w:r w:rsidR="0065137B">
        <w:rPr>
          <w:rFonts w:ascii="Tahoma" w:hAnsi="Tahoma" w:cs="Tahoma"/>
          <w:sz w:val="18"/>
          <w:szCs w:val="18"/>
        </w:rPr>
        <w:t> </w:t>
      </w:r>
      <w:r w:rsidRPr="00232835">
        <w:rPr>
          <w:rFonts w:ascii="Tahoma" w:hAnsi="Tahoma" w:cs="Tahoma"/>
          <w:sz w:val="18"/>
          <w:szCs w:val="18"/>
        </w:rPr>
        <w:t>prazo do registro Select ou Enterprise ou do contrato Open sob o qual ele foi adquirido.</w:t>
      </w:r>
      <w:r w:rsidR="00172F11" w:rsidRPr="00232835">
        <w:rPr>
          <w:rFonts w:ascii="Tahoma" w:hAnsi="Tahoma" w:cs="Tahoma"/>
          <w:sz w:val="18"/>
          <w:szCs w:val="18"/>
        </w:rPr>
        <w:t xml:space="preserve"> </w:t>
      </w:r>
      <w:r w:rsidRPr="00232835">
        <w:rPr>
          <w:rFonts w:ascii="Tahoma" w:hAnsi="Tahoma" w:cs="Tahoma"/>
          <w:sz w:val="18"/>
          <w:szCs w:val="18"/>
        </w:rPr>
        <w:t xml:space="preserve">As licenças de assinatura adquiridas sob um Contrato Enterprise ou um Contrato Enterprise Subscription deverão ser adquiridas na ocasião do primeiro acesso ao serviço e são rateadas com base no número de meses restantes no prazo do registro ou contrato. Estão disponíveis nos seguintes programas: </w:t>
      </w:r>
    </w:p>
    <w:p w:rsidR="00456002" w:rsidRPr="00232835" w:rsidRDefault="00456002" w:rsidP="00B147AB">
      <w:pPr>
        <w:pStyle w:val="AppendixIndent"/>
        <w:spacing w:before="0"/>
        <w:ind w:left="0" w:right="720"/>
        <w:rPr>
          <w:rFonts w:ascii="Tahoma" w:hAnsi="Tahoma" w:cs="Tahoma"/>
          <w:sz w:val="18"/>
          <w:szCs w:val="18"/>
        </w:rPr>
      </w:pPr>
    </w:p>
    <w:p w:rsidR="00456002" w:rsidRPr="00232835" w:rsidRDefault="00456002" w:rsidP="00A1385C">
      <w:pPr>
        <w:pStyle w:val="AppendixBulletIndent"/>
        <w:numPr>
          <w:ilvl w:val="0"/>
          <w:numId w:val="64"/>
        </w:numPr>
        <w:tabs>
          <w:tab w:val="left" w:pos="1440"/>
        </w:tabs>
        <w:spacing w:after="60"/>
        <w:ind w:left="1440" w:right="720"/>
        <w:rPr>
          <w:rFonts w:ascii="Tahoma" w:hAnsi="Tahoma" w:cs="Tahoma"/>
          <w:sz w:val="18"/>
          <w:szCs w:val="18"/>
        </w:rPr>
      </w:pPr>
      <w:r w:rsidRPr="00232835">
        <w:rPr>
          <w:rFonts w:ascii="Tahoma" w:hAnsi="Tahoma" w:cs="Tahoma"/>
          <w:sz w:val="18"/>
          <w:szCs w:val="18"/>
        </w:rPr>
        <w:t>Open Value</w:t>
      </w:r>
    </w:p>
    <w:p w:rsidR="00456002" w:rsidRPr="00232835" w:rsidRDefault="00456002" w:rsidP="00A1385C">
      <w:pPr>
        <w:pStyle w:val="AppendixBulletIndent"/>
        <w:numPr>
          <w:ilvl w:val="0"/>
          <w:numId w:val="64"/>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Open Value Subscription </w:t>
      </w:r>
    </w:p>
    <w:p w:rsidR="00456002" w:rsidRPr="00232835" w:rsidRDefault="00456002" w:rsidP="00A1385C">
      <w:pPr>
        <w:pStyle w:val="AppendixBulletIndent"/>
        <w:numPr>
          <w:ilvl w:val="0"/>
          <w:numId w:val="64"/>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Select </w:t>
      </w:r>
    </w:p>
    <w:p w:rsidR="00456002" w:rsidRPr="00232835" w:rsidRDefault="00456002" w:rsidP="00A1385C">
      <w:pPr>
        <w:pStyle w:val="AppendixBulletIndent"/>
        <w:numPr>
          <w:ilvl w:val="0"/>
          <w:numId w:val="64"/>
        </w:numPr>
        <w:tabs>
          <w:tab w:val="left" w:pos="1440"/>
        </w:tabs>
        <w:spacing w:after="60"/>
        <w:ind w:left="1440" w:right="720"/>
        <w:rPr>
          <w:rFonts w:ascii="Tahoma" w:hAnsi="Tahoma" w:cs="Tahoma"/>
          <w:sz w:val="18"/>
          <w:szCs w:val="18"/>
        </w:rPr>
      </w:pPr>
      <w:r w:rsidRPr="00232835">
        <w:rPr>
          <w:rFonts w:ascii="Tahoma" w:hAnsi="Tahoma" w:cs="Tahoma"/>
          <w:sz w:val="18"/>
          <w:szCs w:val="18"/>
        </w:rPr>
        <w:t>Select Plus</w:t>
      </w:r>
    </w:p>
    <w:p w:rsidR="00456002" w:rsidRPr="00232835" w:rsidRDefault="00B215EA" w:rsidP="00A1385C">
      <w:pPr>
        <w:pStyle w:val="AppendixBulletIndent"/>
        <w:numPr>
          <w:ilvl w:val="0"/>
          <w:numId w:val="64"/>
        </w:numPr>
        <w:tabs>
          <w:tab w:val="left" w:pos="1440"/>
        </w:tabs>
        <w:spacing w:after="60"/>
        <w:ind w:left="1440" w:right="720"/>
        <w:rPr>
          <w:rFonts w:ascii="Tahoma" w:hAnsi="Tahoma" w:cs="Tahoma"/>
          <w:sz w:val="18"/>
          <w:szCs w:val="18"/>
        </w:rPr>
      </w:pPr>
      <w:r w:rsidRPr="00232835">
        <w:rPr>
          <w:rFonts w:ascii="Tahoma" w:hAnsi="Tahoma" w:cs="Tahoma"/>
          <w:sz w:val="18"/>
          <w:szCs w:val="18"/>
        </w:rPr>
        <w:t>Contrato para Campus e School</w:t>
      </w:r>
    </w:p>
    <w:p w:rsidR="00456002" w:rsidRPr="00232835" w:rsidRDefault="00B215EA" w:rsidP="00A1385C">
      <w:pPr>
        <w:pStyle w:val="AppendixBulletIndent"/>
        <w:numPr>
          <w:ilvl w:val="0"/>
          <w:numId w:val="64"/>
        </w:numPr>
        <w:tabs>
          <w:tab w:val="left" w:pos="1440"/>
        </w:tabs>
        <w:spacing w:after="60"/>
        <w:ind w:left="1440" w:right="720"/>
        <w:rPr>
          <w:rFonts w:ascii="Tahoma" w:hAnsi="Tahoma" w:cs="Tahoma"/>
          <w:sz w:val="18"/>
          <w:szCs w:val="18"/>
        </w:rPr>
      </w:pPr>
      <w:r w:rsidRPr="00232835">
        <w:rPr>
          <w:rFonts w:ascii="Tahoma" w:hAnsi="Tahoma" w:cs="Tahoma"/>
          <w:sz w:val="18"/>
          <w:szCs w:val="18"/>
        </w:rPr>
        <w:t>Enrollment for Education Solutions</w:t>
      </w:r>
    </w:p>
    <w:p w:rsidR="00456002" w:rsidRPr="00232835" w:rsidRDefault="00456002" w:rsidP="00A1385C">
      <w:pPr>
        <w:pStyle w:val="AppendixBulletIndent"/>
        <w:numPr>
          <w:ilvl w:val="0"/>
          <w:numId w:val="64"/>
        </w:numPr>
        <w:tabs>
          <w:tab w:val="left" w:pos="1440"/>
        </w:tabs>
        <w:spacing w:after="60"/>
        <w:ind w:left="1440" w:right="720"/>
        <w:rPr>
          <w:rFonts w:ascii="Tahoma" w:hAnsi="Tahoma" w:cs="Tahoma"/>
          <w:sz w:val="18"/>
          <w:szCs w:val="18"/>
        </w:rPr>
      </w:pPr>
      <w:r w:rsidRPr="00232835">
        <w:rPr>
          <w:rFonts w:ascii="Tahoma" w:hAnsi="Tahoma" w:cs="Tahoma"/>
          <w:sz w:val="18"/>
          <w:szCs w:val="18"/>
        </w:rPr>
        <w:t>Contrato Enterprise</w:t>
      </w:r>
    </w:p>
    <w:p w:rsidR="00456002" w:rsidRPr="00232835" w:rsidRDefault="00456002" w:rsidP="00A1385C">
      <w:pPr>
        <w:pStyle w:val="AppendixIndent"/>
        <w:numPr>
          <w:ilvl w:val="0"/>
          <w:numId w:val="64"/>
        </w:numPr>
        <w:tabs>
          <w:tab w:val="left" w:pos="1440"/>
        </w:tabs>
        <w:spacing w:before="0"/>
        <w:ind w:left="1440" w:right="720"/>
        <w:rPr>
          <w:rFonts w:ascii="Tahoma" w:hAnsi="Tahoma" w:cs="Tahoma"/>
          <w:sz w:val="18"/>
          <w:szCs w:val="18"/>
        </w:rPr>
      </w:pPr>
      <w:r w:rsidRPr="00232835">
        <w:rPr>
          <w:rFonts w:ascii="Tahoma" w:hAnsi="Tahoma" w:cs="Tahoma"/>
          <w:sz w:val="18"/>
          <w:szCs w:val="18"/>
        </w:rPr>
        <w:t>Registro Enterprise Subscription</w:t>
      </w:r>
    </w:p>
    <w:p w:rsidR="00B215EA" w:rsidRPr="00232835" w:rsidRDefault="00B215EA" w:rsidP="00A1385C">
      <w:pPr>
        <w:pStyle w:val="AppendixIndent"/>
        <w:numPr>
          <w:ilvl w:val="0"/>
          <w:numId w:val="64"/>
        </w:numPr>
        <w:tabs>
          <w:tab w:val="left" w:pos="1440"/>
        </w:tabs>
        <w:spacing w:before="0"/>
        <w:ind w:left="1440" w:right="720"/>
        <w:rPr>
          <w:rFonts w:ascii="Tahoma" w:hAnsi="Tahoma" w:cs="Tahoma"/>
          <w:sz w:val="18"/>
          <w:szCs w:val="18"/>
        </w:rPr>
      </w:pPr>
      <w:r w:rsidRPr="00232835">
        <w:rPr>
          <w:rFonts w:ascii="Tahoma" w:hAnsi="Tahoma" w:cs="Tahoma"/>
          <w:sz w:val="18"/>
          <w:szCs w:val="18"/>
        </w:rPr>
        <w:t>Registro de Servidor e Nuvem</w:t>
      </w:r>
    </w:p>
    <w:p w:rsidR="00ED589D" w:rsidRDefault="00ED589D" w:rsidP="00B147AB">
      <w:pPr>
        <w:rPr>
          <w:rFonts w:cs="Tahoma"/>
        </w:rPr>
      </w:pPr>
    </w:p>
    <w:p w:rsidR="00232835" w:rsidRDefault="00232835" w:rsidP="00B147AB">
      <w:pPr>
        <w:rPr>
          <w:rFonts w:cs="Tahoma"/>
        </w:rPr>
      </w:pPr>
    </w:p>
    <w:p w:rsidR="00232835" w:rsidRDefault="00232835" w:rsidP="00B147AB">
      <w:pPr>
        <w:rPr>
          <w:rFonts w:cs="Tahoma"/>
        </w:rPr>
      </w:pPr>
    </w:p>
    <w:p w:rsidR="00232835" w:rsidRDefault="00232835" w:rsidP="00B147AB">
      <w:pPr>
        <w:rPr>
          <w:rFonts w:cs="Tahoma"/>
        </w:rPr>
      </w:pPr>
    </w:p>
    <w:p w:rsidR="00232835" w:rsidRDefault="00232835" w:rsidP="00B147AB">
      <w:pPr>
        <w:rPr>
          <w:rFonts w:cs="Tahoma"/>
        </w:rPr>
      </w:pPr>
    </w:p>
    <w:p w:rsidR="00232835" w:rsidRPr="004B208C" w:rsidRDefault="00232835" w:rsidP="00B147AB">
      <w:pPr>
        <w:rPr>
          <w:rFonts w:cs="Tahoma"/>
        </w:rPr>
      </w:pPr>
    </w:p>
    <w:p w:rsidR="00456002" w:rsidRPr="004B208C" w:rsidRDefault="00456002" w:rsidP="00456002">
      <w:pPr>
        <w:pStyle w:val="Heading2"/>
        <w:ind w:left="0" w:right="720"/>
        <w:rPr>
          <w:rFonts w:ascii="Tahoma" w:hAnsi="Tahoma" w:cs="Tahoma"/>
        </w:rPr>
      </w:pPr>
      <w:bookmarkStart w:id="639" w:name="_Toc323819653"/>
      <w:bookmarkStart w:id="640" w:name="_Toc336338204"/>
      <w:bookmarkStart w:id="641" w:name="_Toc370981318"/>
      <w:r w:rsidRPr="004B208C">
        <w:rPr>
          <w:rFonts w:ascii="Tahoma" w:hAnsi="Tahoma" w:cs="Tahoma"/>
        </w:rPr>
        <w:lastRenderedPageBreak/>
        <w:t>Atualização</w:t>
      </w:r>
      <w:bookmarkEnd w:id="639"/>
      <w:bookmarkEnd w:id="640"/>
      <w:bookmarkEnd w:id="641"/>
    </w:p>
    <w:p w:rsidR="00456002" w:rsidRPr="00232835" w:rsidRDefault="00456002" w:rsidP="00B147AB">
      <w:pPr>
        <w:pStyle w:val="AppendixIndent"/>
        <w:spacing w:before="0"/>
        <w:ind w:left="0" w:right="720"/>
        <w:rPr>
          <w:rFonts w:ascii="Tahoma" w:hAnsi="Tahoma" w:cs="Tahoma"/>
          <w:sz w:val="18"/>
          <w:szCs w:val="18"/>
        </w:rPr>
      </w:pPr>
    </w:p>
    <w:p w:rsidR="00456002" w:rsidRPr="009869F4" w:rsidRDefault="00456002" w:rsidP="00B147AB">
      <w:pPr>
        <w:pStyle w:val="AppendixIndent"/>
        <w:spacing w:before="0"/>
        <w:ind w:left="0" w:right="720"/>
        <w:rPr>
          <w:rFonts w:ascii="Tahoma" w:hAnsi="Tahoma" w:cs="Tahoma"/>
          <w:sz w:val="18"/>
          <w:szCs w:val="18"/>
        </w:rPr>
      </w:pPr>
      <w:r w:rsidRPr="009869F4">
        <w:rPr>
          <w:rFonts w:ascii="Tahoma" w:hAnsi="Tahoma" w:cs="Tahoma"/>
          <w:sz w:val="18"/>
          <w:szCs w:val="18"/>
        </w:rPr>
        <w:t xml:space="preserve">Este tipo de produto está disponível somente para o </w:t>
      </w:r>
      <w:r w:rsidRPr="009869F4">
        <w:rPr>
          <w:rFonts w:ascii="Tahoma" w:hAnsi="Tahoma" w:cs="Tahoma"/>
          <w:sz w:val="18"/>
          <w:szCs w:val="18"/>
          <w:u w:val="single"/>
        </w:rPr>
        <w:t>Sistema Operacional Windows Desktop</w:t>
      </w:r>
      <w:r w:rsidRPr="009869F4">
        <w:rPr>
          <w:rFonts w:ascii="Tahoma" w:hAnsi="Tahoma" w:cs="Tahoma"/>
          <w:sz w:val="18"/>
          <w:szCs w:val="18"/>
        </w:rPr>
        <w:t>, é específico à</w:t>
      </w:r>
      <w:r w:rsidR="0065137B" w:rsidRPr="009869F4">
        <w:rPr>
          <w:rFonts w:ascii="Tahoma" w:hAnsi="Tahoma" w:cs="Tahoma"/>
          <w:sz w:val="18"/>
          <w:szCs w:val="18"/>
        </w:rPr>
        <w:t> </w:t>
      </w:r>
      <w:r w:rsidRPr="009869F4">
        <w:rPr>
          <w:rFonts w:ascii="Tahoma" w:hAnsi="Tahoma" w:cs="Tahoma"/>
          <w:sz w:val="18"/>
          <w:szCs w:val="18"/>
        </w:rPr>
        <w:t>versão e confere o direito de executar a versão do produto para a qual foi solicitado.</w:t>
      </w:r>
      <w:r w:rsidR="00172F11" w:rsidRPr="009869F4">
        <w:rPr>
          <w:rFonts w:ascii="Tahoma" w:hAnsi="Tahoma" w:cs="Tahoma"/>
          <w:sz w:val="18"/>
          <w:szCs w:val="18"/>
        </w:rPr>
        <w:t xml:space="preserve"> </w:t>
      </w:r>
      <w:r w:rsidRPr="009869F4">
        <w:rPr>
          <w:rFonts w:ascii="Tahoma" w:hAnsi="Tahoma" w:cs="Tahoma"/>
          <w:sz w:val="18"/>
          <w:szCs w:val="18"/>
        </w:rPr>
        <w:t>Estão disponíveis nos seguintes programas:</w:t>
      </w:r>
    </w:p>
    <w:p w:rsidR="00456002" w:rsidRPr="009869F4" w:rsidRDefault="00456002" w:rsidP="00B147AB">
      <w:pPr>
        <w:pStyle w:val="AppendixIndent"/>
        <w:spacing w:before="0"/>
        <w:ind w:left="0" w:right="720"/>
        <w:rPr>
          <w:rFonts w:ascii="Tahoma" w:hAnsi="Tahoma" w:cs="Tahoma"/>
          <w:sz w:val="16"/>
          <w:szCs w:val="16"/>
        </w:rPr>
      </w:pPr>
    </w:p>
    <w:p w:rsidR="00385C82" w:rsidRPr="00232835" w:rsidRDefault="00385C82" w:rsidP="00A1385C">
      <w:pPr>
        <w:pStyle w:val="AppendixBulletIndent"/>
        <w:numPr>
          <w:ilvl w:val="0"/>
          <w:numId w:val="57"/>
        </w:numPr>
        <w:tabs>
          <w:tab w:val="left" w:pos="1440"/>
        </w:tabs>
        <w:spacing w:after="60"/>
        <w:ind w:left="1440" w:right="720"/>
        <w:rPr>
          <w:rFonts w:ascii="Tahoma" w:hAnsi="Tahoma" w:cs="Tahoma"/>
          <w:sz w:val="18"/>
          <w:szCs w:val="18"/>
        </w:rPr>
      </w:pPr>
      <w:r w:rsidRPr="00232835">
        <w:rPr>
          <w:rFonts w:ascii="Tahoma" w:hAnsi="Tahoma" w:cs="Tahoma"/>
          <w:sz w:val="18"/>
          <w:szCs w:val="18"/>
        </w:rPr>
        <w:t>Licença Open</w:t>
      </w:r>
    </w:p>
    <w:p w:rsidR="00385C82" w:rsidRPr="00232835" w:rsidRDefault="00385C82" w:rsidP="00A1385C">
      <w:pPr>
        <w:pStyle w:val="AppendixBulletIndent"/>
        <w:numPr>
          <w:ilvl w:val="0"/>
          <w:numId w:val="57"/>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Open Value Subscription [somente para pedidos com opção de compra (“buy-out”)] </w:t>
      </w:r>
    </w:p>
    <w:p w:rsidR="00385C82" w:rsidRPr="00232835" w:rsidRDefault="00385C82" w:rsidP="00A1385C">
      <w:pPr>
        <w:pStyle w:val="AppendixBulletIndent"/>
        <w:numPr>
          <w:ilvl w:val="0"/>
          <w:numId w:val="57"/>
        </w:numPr>
        <w:tabs>
          <w:tab w:val="left" w:pos="1440"/>
        </w:tabs>
        <w:spacing w:after="60"/>
        <w:ind w:left="1440" w:right="720"/>
        <w:rPr>
          <w:rFonts w:ascii="Tahoma" w:hAnsi="Tahoma" w:cs="Tahoma"/>
          <w:sz w:val="18"/>
          <w:szCs w:val="18"/>
        </w:rPr>
      </w:pPr>
      <w:r w:rsidRPr="00232835">
        <w:rPr>
          <w:rFonts w:ascii="Tahoma" w:hAnsi="Tahoma" w:cs="Tahoma"/>
          <w:sz w:val="18"/>
          <w:szCs w:val="18"/>
        </w:rPr>
        <w:t xml:space="preserve">Select </w:t>
      </w:r>
    </w:p>
    <w:p w:rsidR="00385C82" w:rsidRPr="00232835" w:rsidRDefault="00385C82" w:rsidP="00A1385C">
      <w:pPr>
        <w:pStyle w:val="AppendixBulletIndent"/>
        <w:numPr>
          <w:ilvl w:val="0"/>
          <w:numId w:val="57"/>
        </w:numPr>
        <w:tabs>
          <w:tab w:val="left" w:pos="1440"/>
        </w:tabs>
        <w:spacing w:after="60"/>
        <w:ind w:left="1440" w:right="720"/>
        <w:rPr>
          <w:rFonts w:ascii="Tahoma" w:hAnsi="Tahoma" w:cs="Tahoma"/>
          <w:sz w:val="18"/>
          <w:szCs w:val="18"/>
        </w:rPr>
      </w:pPr>
      <w:r w:rsidRPr="00232835">
        <w:rPr>
          <w:rFonts w:ascii="Tahoma" w:hAnsi="Tahoma" w:cs="Tahoma"/>
          <w:sz w:val="18"/>
          <w:szCs w:val="18"/>
        </w:rPr>
        <w:t>Select Plus</w:t>
      </w:r>
    </w:p>
    <w:p w:rsidR="00385C82" w:rsidRPr="00D9192F" w:rsidRDefault="00B215EA" w:rsidP="00A1385C">
      <w:pPr>
        <w:pStyle w:val="AppendixBulletIndent"/>
        <w:numPr>
          <w:ilvl w:val="0"/>
          <w:numId w:val="57"/>
        </w:numPr>
        <w:tabs>
          <w:tab w:val="left" w:pos="1440"/>
        </w:tabs>
        <w:spacing w:after="60"/>
        <w:ind w:left="1440" w:right="720"/>
        <w:rPr>
          <w:rFonts w:ascii="Tahoma" w:hAnsi="Tahoma" w:cs="Tahoma"/>
          <w:spacing w:val="-1"/>
          <w:sz w:val="18"/>
          <w:szCs w:val="18"/>
        </w:rPr>
      </w:pPr>
      <w:r w:rsidRPr="00D9192F">
        <w:rPr>
          <w:rFonts w:ascii="Tahoma" w:hAnsi="Tahoma" w:cs="Tahoma"/>
          <w:spacing w:val="-1"/>
          <w:sz w:val="18"/>
          <w:szCs w:val="18"/>
        </w:rPr>
        <w:t>Contrato para Campus e School (somente para pedidos com opção de compra (“buy-out”))</w:t>
      </w:r>
    </w:p>
    <w:p w:rsidR="00385C82" w:rsidRPr="00D9192F" w:rsidRDefault="00B215EA" w:rsidP="00A1385C">
      <w:pPr>
        <w:pStyle w:val="AppendixBulletIndent"/>
        <w:numPr>
          <w:ilvl w:val="0"/>
          <w:numId w:val="57"/>
        </w:numPr>
        <w:tabs>
          <w:tab w:val="left" w:pos="1440"/>
        </w:tabs>
        <w:spacing w:after="60"/>
        <w:ind w:left="1440" w:right="720"/>
        <w:rPr>
          <w:rFonts w:ascii="Tahoma" w:hAnsi="Tahoma" w:cs="Tahoma"/>
          <w:spacing w:val="-3"/>
          <w:sz w:val="18"/>
          <w:szCs w:val="18"/>
        </w:rPr>
      </w:pPr>
      <w:r w:rsidRPr="00D9192F">
        <w:rPr>
          <w:rFonts w:ascii="Tahoma" w:hAnsi="Tahoma" w:cs="Tahoma"/>
          <w:spacing w:val="-3"/>
          <w:sz w:val="18"/>
          <w:szCs w:val="18"/>
        </w:rPr>
        <w:t>Enrollment for Education Solutions(somente para pedidos com opção de compra (</w:t>
      </w:r>
      <w:r w:rsidR="00172F11" w:rsidRPr="00D9192F">
        <w:rPr>
          <w:rFonts w:ascii="Tahoma" w:hAnsi="Tahoma" w:cs="Tahoma"/>
          <w:spacing w:val="-3"/>
          <w:sz w:val="18"/>
          <w:szCs w:val="18"/>
        </w:rPr>
        <w:t>“</w:t>
      </w:r>
      <w:r w:rsidRPr="00D9192F">
        <w:rPr>
          <w:rFonts w:ascii="Tahoma" w:hAnsi="Tahoma" w:cs="Tahoma"/>
          <w:spacing w:val="-3"/>
          <w:sz w:val="18"/>
          <w:szCs w:val="18"/>
        </w:rPr>
        <w:t>buy-out</w:t>
      </w:r>
      <w:r w:rsidR="00172F11" w:rsidRPr="00D9192F">
        <w:rPr>
          <w:rFonts w:ascii="Tahoma" w:hAnsi="Tahoma" w:cs="Tahoma"/>
          <w:spacing w:val="-3"/>
          <w:sz w:val="18"/>
          <w:szCs w:val="18"/>
        </w:rPr>
        <w:t>”</w:t>
      </w:r>
      <w:r w:rsidRPr="00D9192F">
        <w:rPr>
          <w:rFonts w:ascii="Tahoma" w:hAnsi="Tahoma" w:cs="Tahoma"/>
          <w:spacing w:val="-3"/>
          <w:sz w:val="18"/>
          <w:szCs w:val="18"/>
        </w:rPr>
        <w:t>))</w:t>
      </w:r>
    </w:p>
    <w:p w:rsidR="00385C82" w:rsidRPr="00D9192F" w:rsidRDefault="00385C82" w:rsidP="00A1385C">
      <w:pPr>
        <w:pStyle w:val="AppendixBulletIndent"/>
        <w:numPr>
          <w:ilvl w:val="0"/>
          <w:numId w:val="57"/>
        </w:numPr>
        <w:tabs>
          <w:tab w:val="left" w:pos="1440"/>
        </w:tabs>
        <w:ind w:left="1440" w:right="720"/>
        <w:rPr>
          <w:rFonts w:ascii="Tahoma" w:hAnsi="Tahoma" w:cs="Tahoma"/>
          <w:spacing w:val="-1"/>
          <w:sz w:val="18"/>
          <w:szCs w:val="18"/>
        </w:rPr>
      </w:pPr>
      <w:r w:rsidRPr="00D9192F">
        <w:rPr>
          <w:rFonts w:ascii="Tahoma" w:hAnsi="Tahoma" w:cs="Tahoma"/>
          <w:spacing w:val="-1"/>
          <w:sz w:val="18"/>
          <w:szCs w:val="18"/>
        </w:rPr>
        <w:t>Contrato Enterprise Subscription (somente para pedidos com opção de compra (“buy-out”))</w:t>
      </w:r>
    </w:p>
    <w:p w:rsidR="00456002" w:rsidRPr="009869F4" w:rsidRDefault="00456002" w:rsidP="00B147AB">
      <w:pPr>
        <w:pStyle w:val="AppendixIndent"/>
        <w:spacing w:before="0"/>
        <w:ind w:left="0" w:right="720"/>
        <w:rPr>
          <w:rFonts w:ascii="Tahoma" w:hAnsi="Tahoma" w:cs="Tahoma"/>
          <w:sz w:val="16"/>
          <w:szCs w:val="16"/>
        </w:rPr>
      </w:pPr>
    </w:p>
    <w:p w:rsidR="00456002" w:rsidRPr="00232835" w:rsidRDefault="00456002" w:rsidP="00B147AB">
      <w:pPr>
        <w:pStyle w:val="AppendixIndent"/>
        <w:spacing w:before="0"/>
        <w:ind w:left="0" w:right="720"/>
        <w:rPr>
          <w:rFonts w:ascii="Tahoma" w:hAnsi="Tahoma" w:cs="Tahoma"/>
          <w:sz w:val="18"/>
          <w:szCs w:val="18"/>
        </w:rPr>
      </w:pPr>
      <w:r w:rsidRPr="00232835">
        <w:rPr>
          <w:rFonts w:ascii="Tahoma" w:hAnsi="Tahoma" w:cs="Tahoma"/>
          <w:sz w:val="18"/>
          <w:szCs w:val="18"/>
        </w:rPr>
        <w:t>O cliente deverá ter uma licença básica de sistema operacional de desktop qualificada para poder adquirir a</w:t>
      </w:r>
      <w:r w:rsidR="00232835">
        <w:rPr>
          <w:rFonts w:ascii="Tahoma" w:hAnsi="Tahoma" w:cs="Tahoma"/>
          <w:sz w:val="18"/>
          <w:szCs w:val="18"/>
        </w:rPr>
        <w:t> </w:t>
      </w:r>
      <w:r w:rsidRPr="00232835">
        <w:rPr>
          <w:rFonts w:ascii="Tahoma" w:hAnsi="Tahoma" w:cs="Tahoma"/>
          <w:sz w:val="18"/>
          <w:szCs w:val="18"/>
        </w:rPr>
        <w:t>licença de Atualização de Sistema Operacional Windows Desktop. Consulte a seção sobre produtos de sistema para obter uma lista dos sistemas operacionais de desktop qualificados. Essa lista varia conforme o</w:t>
      </w:r>
      <w:r w:rsidR="00232835">
        <w:rPr>
          <w:rFonts w:ascii="Tahoma" w:hAnsi="Tahoma" w:cs="Tahoma"/>
          <w:sz w:val="18"/>
          <w:szCs w:val="18"/>
        </w:rPr>
        <w:t> </w:t>
      </w:r>
      <w:r w:rsidRPr="00232835">
        <w:rPr>
          <w:rFonts w:ascii="Tahoma" w:hAnsi="Tahoma" w:cs="Tahoma"/>
          <w:sz w:val="18"/>
          <w:szCs w:val="18"/>
        </w:rPr>
        <w:t>programa e as circunstâncias do pedido.</w:t>
      </w:r>
    </w:p>
    <w:p w:rsidR="001C1727" w:rsidRPr="00232835" w:rsidRDefault="001C1727" w:rsidP="00862623">
      <w:pPr>
        <w:rPr>
          <w:rFonts w:cs="Tahoma"/>
          <w:sz w:val="24"/>
          <w:szCs w:val="24"/>
        </w:rPr>
      </w:pPr>
      <w:bookmarkStart w:id="642" w:name="_Toc323819654"/>
      <w:bookmarkStart w:id="643" w:name="_Toc336338205"/>
    </w:p>
    <w:p w:rsidR="00456002" w:rsidRPr="004B208C" w:rsidRDefault="00456002" w:rsidP="00862623">
      <w:pPr>
        <w:pStyle w:val="Heading2"/>
        <w:keepNext/>
        <w:ind w:left="0" w:right="720"/>
        <w:rPr>
          <w:rFonts w:ascii="Tahoma" w:hAnsi="Tahoma" w:cs="Tahoma"/>
        </w:rPr>
      </w:pPr>
      <w:bookmarkStart w:id="644" w:name="_Toc370981319"/>
      <w:r w:rsidRPr="004B208C">
        <w:rPr>
          <w:rFonts w:ascii="Tahoma" w:hAnsi="Tahoma" w:cs="Tahoma"/>
        </w:rPr>
        <w:t>Atualização e Software Assurance</w:t>
      </w:r>
      <w:bookmarkEnd w:id="642"/>
      <w:bookmarkEnd w:id="643"/>
      <w:bookmarkEnd w:id="644"/>
      <w:r w:rsidRPr="004B208C">
        <w:rPr>
          <w:rFonts w:ascii="Tahoma" w:hAnsi="Tahoma" w:cs="Tahoma"/>
        </w:rPr>
        <w:t xml:space="preserve"> </w:t>
      </w:r>
    </w:p>
    <w:p w:rsidR="00456002" w:rsidRPr="009869F4" w:rsidRDefault="00456002" w:rsidP="00862623">
      <w:pPr>
        <w:keepNext/>
        <w:ind w:right="720"/>
        <w:rPr>
          <w:rFonts w:cs="Tahoma"/>
          <w:sz w:val="16"/>
          <w:szCs w:val="16"/>
        </w:rPr>
      </w:pPr>
    </w:p>
    <w:p w:rsidR="00456002" w:rsidRPr="00232835" w:rsidRDefault="00456002" w:rsidP="00B147AB">
      <w:pPr>
        <w:pStyle w:val="AppendixIndent"/>
        <w:spacing w:before="0"/>
        <w:ind w:left="0" w:right="720"/>
        <w:rPr>
          <w:rFonts w:ascii="Tahoma" w:hAnsi="Tahoma" w:cs="Tahoma"/>
          <w:sz w:val="18"/>
          <w:szCs w:val="18"/>
        </w:rPr>
      </w:pPr>
      <w:r w:rsidRPr="00232835">
        <w:rPr>
          <w:rFonts w:ascii="Tahoma" w:hAnsi="Tahoma" w:cs="Tahoma"/>
          <w:sz w:val="18"/>
          <w:szCs w:val="18"/>
        </w:rPr>
        <w:t>Este tipo de produto está disponível somente para o Sistema Operacional Windows Desktop, não é específico à versão e permite que os clientes adquiram a Atualização e o Software Assurance para o sistema operacional de desktop ao mesmo tempo. Estão disponíveis nos seguintes programas:</w:t>
      </w:r>
    </w:p>
    <w:p w:rsidR="00116EDC" w:rsidRPr="009869F4" w:rsidRDefault="00116EDC" w:rsidP="00B147AB">
      <w:pPr>
        <w:pStyle w:val="AppendixIndent"/>
        <w:spacing w:before="0"/>
        <w:ind w:left="0" w:right="720"/>
        <w:rPr>
          <w:rFonts w:ascii="Tahoma" w:hAnsi="Tahoma" w:cs="Tahoma"/>
          <w:sz w:val="16"/>
          <w:szCs w:val="16"/>
        </w:rPr>
      </w:pPr>
    </w:p>
    <w:p w:rsidR="00456002" w:rsidRPr="00232835" w:rsidRDefault="00456002" w:rsidP="00A1385C">
      <w:pPr>
        <w:pStyle w:val="AppendixBulletIndent"/>
        <w:numPr>
          <w:ilvl w:val="0"/>
          <w:numId w:val="58"/>
        </w:numPr>
        <w:tabs>
          <w:tab w:val="clear" w:pos="360"/>
          <w:tab w:val="num" w:pos="1440"/>
        </w:tabs>
        <w:spacing w:after="60"/>
        <w:ind w:left="1440" w:right="720"/>
        <w:rPr>
          <w:rFonts w:ascii="Tahoma" w:hAnsi="Tahoma" w:cs="Tahoma"/>
          <w:sz w:val="18"/>
          <w:szCs w:val="18"/>
        </w:rPr>
      </w:pPr>
      <w:r w:rsidRPr="00232835">
        <w:rPr>
          <w:rFonts w:ascii="Tahoma" w:hAnsi="Tahoma" w:cs="Tahoma"/>
          <w:sz w:val="18"/>
          <w:szCs w:val="18"/>
        </w:rPr>
        <w:t>Licença Open</w:t>
      </w:r>
    </w:p>
    <w:p w:rsidR="00456002" w:rsidRPr="00232835" w:rsidRDefault="00456002" w:rsidP="00A1385C">
      <w:pPr>
        <w:pStyle w:val="AppendixBulletIndent"/>
        <w:numPr>
          <w:ilvl w:val="0"/>
          <w:numId w:val="58"/>
        </w:numPr>
        <w:tabs>
          <w:tab w:val="clear" w:pos="360"/>
          <w:tab w:val="num" w:pos="1440"/>
        </w:tabs>
        <w:spacing w:after="60"/>
        <w:ind w:left="1440" w:right="720"/>
        <w:rPr>
          <w:rFonts w:ascii="Tahoma" w:hAnsi="Tahoma" w:cs="Tahoma"/>
          <w:sz w:val="18"/>
          <w:szCs w:val="18"/>
        </w:rPr>
      </w:pPr>
      <w:r w:rsidRPr="00232835">
        <w:rPr>
          <w:rFonts w:ascii="Tahoma" w:hAnsi="Tahoma" w:cs="Tahoma"/>
          <w:sz w:val="18"/>
          <w:szCs w:val="18"/>
        </w:rPr>
        <w:t>Open Value</w:t>
      </w:r>
    </w:p>
    <w:p w:rsidR="00456002" w:rsidRPr="00232835" w:rsidRDefault="00456002" w:rsidP="00A1385C">
      <w:pPr>
        <w:pStyle w:val="AppendixBulletIndent"/>
        <w:numPr>
          <w:ilvl w:val="0"/>
          <w:numId w:val="58"/>
        </w:numPr>
        <w:tabs>
          <w:tab w:val="clear" w:pos="360"/>
          <w:tab w:val="num" w:pos="1440"/>
        </w:tabs>
        <w:spacing w:after="60"/>
        <w:ind w:left="1440" w:right="720"/>
        <w:rPr>
          <w:rFonts w:ascii="Tahoma" w:hAnsi="Tahoma" w:cs="Tahoma"/>
          <w:sz w:val="18"/>
          <w:szCs w:val="18"/>
        </w:rPr>
      </w:pPr>
      <w:r w:rsidRPr="00232835">
        <w:rPr>
          <w:rFonts w:ascii="Tahoma" w:hAnsi="Tahoma" w:cs="Tahoma"/>
          <w:sz w:val="18"/>
          <w:szCs w:val="18"/>
        </w:rPr>
        <w:t>Open Value Subscription</w:t>
      </w:r>
    </w:p>
    <w:p w:rsidR="00456002" w:rsidRPr="00232835" w:rsidRDefault="00456002" w:rsidP="00A1385C">
      <w:pPr>
        <w:pStyle w:val="AppendixBulletIndent"/>
        <w:numPr>
          <w:ilvl w:val="0"/>
          <w:numId w:val="58"/>
        </w:numPr>
        <w:tabs>
          <w:tab w:val="clear" w:pos="360"/>
          <w:tab w:val="num" w:pos="1440"/>
        </w:tabs>
        <w:spacing w:after="60"/>
        <w:ind w:left="1440" w:right="720"/>
        <w:rPr>
          <w:rFonts w:ascii="Tahoma" w:hAnsi="Tahoma" w:cs="Tahoma"/>
          <w:sz w:val="18"/>
          <w:szCs w:val="18"/>
        </w:rPr>
      </w:pPr>
      <w:r w:rsidRPr="00232835">
        <w:rPr>
          <w:rFonts w:ascii="Tahoma" w:hAnsi="Tahoma" w:cs="Tahoma"/>
          <w:sz w:val="18"/>
          <w:szCs w:val="18"/>
        </w:rPr>
        <w:t xml:space="preserve">Select </w:t>
      </w:r>
    </w:p>
    <w:p w:rsidR="00456002" w:rsidRPr="00232835" w:rsidRDefault="00456002" w:rsidP="00A1385C">
      <w:pPr>
        <w:pStyle w:val="AppendixBulletIndent"/>
        <w:numPr>
          <w:ilvl w:val="0"/>
          <w:numId w:val="58"/>
        </w:numPr>
        <w:tabs>
          <w:tab w:val="clear" w:pos="360"/>
          <w:tab w:val="num" w:pos="1440"/>
        </w:tabs>
        <w:spacing w:after="60"/>
        <w:ind w:left="1440" w:right="720"/>
        <w:rPr>
          <w:rFonts w:ascii="Tahoma" w:hAnsi="Tahoma" w:cs="Tahoma"/>
          <w:sz w:val="18"/>
          <w:szCs w:val="18"/>
        </w:rPr>
      </w:pPr>
      <w:r w:rsidRPr="00232835">
        <w:rPr>
          <w:rFonts w:ascii="Tahoma" w:hAnsi="Tahoma" w:cs="Tahoma"/>
          <w:sz w:val="18"/>
          <w:szCs w:val="18"/>
        </w:rPr>
        <w:t>Select Plus</w:t>
      </w:r>
    </w:p>
    <w:p w:rsidR="00456002" w:rsidRPr="00232835" w:rsidRDefault="00456002" w:rsidP="00A1385C">
      <w:pPr>
        <w:pStyle w:val="AppendixBulletIndent"/>
        <w:numPr>
          <w:ilvl w:val="0"/>
          <w:numId w:val="58"/>
        </w:numPr>
        <w:tabs>
          <w:tab w:val="clear" w:pos="360"/>
          <w:tab w:val="num" w:pos="1440"/>
        </w:tabs>
        <w:spacing w:after="60"/>
        <w:ind w:left="1440" w:right="720"/>
        <w:rPr>
          <w:rFonts w:ascii="Tahoma" w:hAnsi="Tahoma" w:cs="Tahoma"/>
          <w:sz w:val="18"/>
          <w:szCs w:val="18"/>
        </w:rPr>
      </w:pPr>
      <w:r w:rsidRPr="00232835">
        <w:rPr>
          <w:rFonts w:ascii="Tahoma" w:hAnsi="Tahoma" w:cs="Tahoma"/>
          <w:sz w:val="18"/>
          <w:szCs w:val="18"/>
        </w:rPr>
        <w:t>Contrato School</w:t>
      </w:r>
    </w:p>
    <w:p w:rsidR="00456002" w:rsidRPr="00232835" w:rsidRDefault="00892A1D" w:rsidP="00A1385C">
      <w:pPr>
        <w:pStyle w:val="AppendixBulletIndent"/>
        <w:numPr>
          <w:ilvl w:val="0"/>
          <w:numId w:val="58"/>
        </w:numPr>
        <w:tabs>
          <w:tab w:val="clear" w:pos="360"/>
          <w:tab w:val="num" w:pos="1440"/>
        </w:tabs>
        <w:spacing w:after="60"/>
        <w:ind w:left="1440" w:right="720"/>
        <w:rPr>
          <w:rFonts w:ascii="Tahoma" w:hAnsi="Tahoma" w:cs="Tahoma"/>
          <w:sz w:val="18"/>
          <w:szCs w:val="18"/>
        </w:rPr>
      </w:pPr>
      <w:r w:rsidRPr="00232835">
        <w:rPr>
          <w:rFonts w:ascii="Tahoma" w:hAnsi="Tahoma" w:cs="Tahoma"/>
          <w:sz w:val="18"/>
          <w:szCs w:val="18"/>
        </w:rPr>
        <w:t>Enrollment for Education Solutions</w:t>
      </w:r>
    </w:p>
    <w:p w:rsidR="00456002" w:rsidRPr="00232835" w:rsidRDefault="00456002" w:rsidP="00A1385C">
      <w:pPr>
        <w:pStyle w:val="AppendixBulletIndent"/>
        <w:numPr>
          <w:ilvl w:val="0"/>
          <w:numId w:val="58"/>
        </w:numPr>
        <w:tabs>
          <w:tab w:val="clear" w:pos="360"/>
          <w:tab w:val="num" w:pos="1440"/>
        </w:tabs>
        <w:spacing w:after="60"/>
        <w:ind w:left="1440" w:right="720"/>
        <w:rPr>
          <w:rFonts w:ascii="Tahoma" w:hAnsi="Tahoma" w:cs="Tahoma"/>
          <w:sz w:val="18"/>
          <w:szCs w:val="18"/>
        </w:rPr>
      </w:pPr>
      <w:r w:rsidRPr="00232835">
        <w:rPr>
          <w:rFonts w:ascii="Tahoma" w:hAnsi="Tahoma" w:cs="Tahoma"/>
          <w:sz w:val="18"/>
          <w:szCs w:val="18"/>
        </w:rPr>
        <w:t>Registro Enterprise</w:t>
      </w:r>
    </w:p>
    <w:p w:rsidR="00456002" w:rsidRPr="00232835" w:rsidRDefault="00456002" w:rsidP="00A1385C">
      <w:pPr>
        <w:pStyle w:val="AppendixBulletIndent"/>
        <w:numPr>
          <w:ilvl w:val="0"/>
          <w:numId w:val="58"/>
        </w:numPr>
        <w:tabs>
          <w:tab w:val="clear" w:pos="360"/>
          <w:tab w:val="num" w:pos="1440"/>
        </w:tabs>
        <w:ind w:left="1440" w:right="720"/>
        <w:rPr>
          <w:rFonts w:ascii="Tahoma" w:hAnsi="Tahoma" w:cs="Tahoma"/>
          <w:sz w:val="18"/>
          <w:szCs w:val="18"/>
        </w:rPr>
      </w:pPr>
      <w:r w:rsidRPr="00232835">
        <w:rPr>
          <w:rFonts w:ascii="Tahoma" w:hAnsi="Tahoma" w:cs="Tahoma"/>
          <w:sz w:val="18"/>
          <w:szCs w:val="18"/>
        </w:rPr>
        <w:t>Registro Enterprise Subscription</w:t>
      </w:r>
    </w:p>
    <w:p w:rsidR="00456002" w:rsidRPr="009869F4" w:rsidRDefault="00456002" w:rsidP="00B147AB">
      <w:pPr>
        <w:pStyle w:val="AppendixIndent"/>
        <w:spacing w:before="0"/>
        <w:ind w:left="0" w:right="720"/>
        <w:rPr>
          <w:rFonts w:ascii="Tahoma" w:hAnsi="Tahoma" w:cs="Tahoma"/>
          <w:sz w:val="16"/>
          <w:szCs w:val="16"/>
        </w:rPr>
      </w:pPr>
    </w:p>
    <w:p w:rsidR="00456002" w:rsidRPr="00FE592A" w:rsidRDefault="00456002" w:rsidP="00ED589D">
      <w:pPr>
        <w:pStyle w:val="AppendixIndent"/>
        <w:spacing w:before="0"/>
        <w:ind w:left="0" w:right="720"/>
        <w:rPr>
          <w:rFonts w:ascii="Tahoma" w:hAnsi="Tahoma" w:cs="Tahoma"/>
          <w:sz w:val="18"/>
          <w:szCs w:val="18"/>
        </w:rPr>
      </w:pPr>
      <w:r w:rsidRPr="00FE592A">
        <w:rPr>
          <w:rFonts w:ascii="Tahoma" w:hAnsi="Tahoma" w:cs="Tahoma"/>
          <w:sz w:val="18"/>
          <w:szCs w:val="18"/>
        </w:rPr>
        <w:t>O cliente deverá ter a licença básica do sistema operacional de desktop qualificada para poder adquirir a</w:t>
      </w:r>
      <w:r w:rsidR="00D9192F">
        <w:rPr>
          <w:rFonts w:ascii="Tahoma" w:hAnsi="Tahoma" w:cs="Tahoma"/>
          <w:sz w:val="18"/>
          <w:szCs w:val="18"/>
        </w:rPr>
        <w:t> </w:t>
      </w:r>
      <w:r w:rsidRPr="00FE592A">
        <w:rPr>
          <w:rFonts w:ascii="Tahoma" w:hAnsi="Tahoma" w:cs="Tahoma"/>
          <w:sz w:val="18"/>
          <w:szCs w:val="18"/>
        </w:rPr>
        <w:t>atualização. O Software Assurance deverá ser adquirido por ocasião da aquisição da atualização correspondente, exceto no caso de programas de assinatura, quando a atualização deverá ser comprada na renovação do prazo de um Software Assurance existente.</w:t>
      </w:r>
    </w:p>
    <w:p w:rsidR="00ED589D" w:rsidRPr="009869F4" w:rsidRDefault="00ED589D" w:rsidP="00B147AB">
      <w:pPr>
        <w:pStyle w:val="AppendixIndent"/>
        <w:spacing w:before="0"/>
        <w:ind w:left="0" w:right="720"/>
        <w:rPr>
          <w:rFonts w:ascii="Tahoma" w:hAnsi="Tahoma" w:cs="Tahoma"/>
          <w:sz w:val="16"/>
          <w:szCs w:val="16"/>
        </w:rPr>
      </w:pPr>
    </w:p>
    <w:p w:rsidR="00456002" w:rsidRPr="004B208C" w:rsidRDefault="00456002" w:rsidP="00456002">
      <w:pPr>
        <w:pStyle w:val="Heading2"/>
        <w:ind w:left="0" w:right="720"/>
        <w:rPr>
          <w:rFonts w:ascii="Tahoma" w:hAnsi="Tahoma" w:cs="Tahoma"/>
        </w:rPr>
      </w:pPr>
      <w:bookmarkStart w:id="645" w:name="_Toc323819656"/>
      <w:bookmarkStart w:id="646" w:name="_Toc336338206"/>
      <w:bookmarkStart w:id="647" w:name="_Toc370981320"/>
      <w:r w:rsidRPr="004B208C">
        <w:rPr>
          <w:rFonts w:ascii="Tahoma" w:hAnsi="Tahoma" w:cs="Tahoma"/>
        </w:rPr>
        <w:t>Licenças Work-at-Home</w:t>
      </w:r>
      <w:bookmarkEnd w:id="645"/>
      <w:bookmarkEnd w:id="646"/>
      <w:bookmarkEnd w:id="647"/>
    </w:p>
    <w:p w:rsidR="00456002" w:rsidRPr="009869F4" w:rsidRDefault="00456002" w:rsidP="00B147AB">
      <w:pPr>
        <w:ind w:right="720"/>
        <w:rPr>
          <w:rFonts w:cs="Tahoma"/>
          <w:sz w:val="16"/>
          <w:szCs w:val="16"/>
        </w:rPr>
      </w:pPr>
    </w:p>
    <w:p w:rsidR="00456002" w:rsidRPr="00FE592A" w:rsidRDefault="00456002" w:rsidP="00B147AB">
      <w:pPr>
        <w:pStyle w:val="AppendixIndent"/>
        <w:spacing w:before="0"/>
        <w:ind w:left="0" w:right="720"/>
        <w:rPr>
          <w:rFonts w:ascii="Tahoma" w:hAnsi="Tahoma" w:cs="Tahoma"/>
          <w:sz w:val="18"/>
          <w:szCs w:val="18"/>
        </w:rPr>
      </w:pPr>
      <w:r w:rsidRPr="00FE592A">
        <w:rPr>
          <w:rFonts w:ascii="Tahoma" w:hAnsi="Tahoma" w:cs="Tahoma"/>
          <w:sz w:val="18"/>
          <w:szCs w:val="18"/>
        </w:rPr>
        <w:t>Estão disponíveis nos seguintes programas:</w:t>
      </w:r>
    </w:p>
    <w:p w:rsidR="00456002" w:rsidRPr="009869F4" w:rsidRDefault="00456002" w:rsidP="00B147AB">
      <w:pPr>
        <w:pStyle w:val="AppendixBulletIndent"/>
        <w:ind w:left="0" w:right="720" w:firstLine="0"/>
        <w:rPr>
          <w:rFonts w:ascii="Tahoma" w:hAnsi="Tahoma" w:cs="Tahoma"/>
          <w:sz w:val="16"/>
          <w:szCs w:val="16"/>
        </w:rPr>
      </w:pPr>
    </w:p>
    <w:p w:rsidR="00456002" w:rsidRPr="00FE592A" w:rsidRDefault="00456002" w:rsidP="00A1385C">
      <w:pPr>
        <w:pStyle w:val="AppendixBulletIndent"/>
        <w:numPr>
          <w:ilvl w:val="0"/>
          <w:numId w:val="60"/>
        </w:numPr>
        <w:tabs>
          <w:tab w:val="clear" w:pos="360"/>
          <w:tab w:val="num" w:pos="1440"/>
        </w:tabs>
        <w:spacing w:after="60"/>
        <w:ind w:left="1440" w:right="720"/>
        <w:rPr>
          <w:rFonts w:ascii="Tahoma" w:hAnsi="Tahoma" w:cs="Tahoma"/>
          <w:sz w:val="18"/>
          <w:szCs w:val="18"/>
        </w:rPr>
      </w:pPr>
      <w:r w:rsidRPr="00FE592A">
        <w:rPr>
          <w:rFonts w:ascii="Tahoma" w:hAnsi="Tahoma" w:cs="Tahoma"/>
          <w:sz w:val="18"/>
          <w:szCs w:val="18"/>
        </w:rPr>
        <w:t xml:space="preserve">Select </w:t>
      </w:r>
    </w:p>
    <w:p w:rsidR="00456002" w:rsidRPr="00FE592A" w:rsidRDefault="00456002" w:rsidP="00A1385C">
      <w:pPr>
        <w:pStyle w:val="AppendixBulletIndent"/>
        <w:numPr>
          <w:ilvl w:val="0"/>
          <w:numId w:val="60"/>
        </w:numPr>
        <w:tabs>
          <w:tab w:val="clear" w:pos="360"/>
          <w:tab w:val="num" w:pos="1440"/>
        </w:tabs>
        <w:spacing w:after="60"/>
        <w:ind w:left="1440" w:right="720"/>
        <w:rPr>
          <w:rFonts w:ascii="Tahoma" w:hAnsi="Tahoma" w:cs="Tahoma"/>
          <w:sz w:val="18"/>
          <w:szCs w:val="18"/>
        </w:rPr>
      </w:pPr>
      <w:r w:rsidRPr="00FE592A">
        <w:rPr>
          <w:rFonts w:ascii="Tahoma" w:hAnsi="Tahoma" w:cs="Tahoma"/>
          <w:sz w:val="18"/>
          <w:szCs w:val="18"/>
        </w:rPr>
        <w:t>Select Plus</w:t>
      </w:r>
    </w:p>
    <w:p w:rsidR="00456002" w:rsidRPr="00FE592A" w:rsidRDefault="00456002" w:rsidP="00A1385C">
      <w:pPr>
        <w:pStyle w:val="AppendixBulletIndent"/>
        <w:numPr>
          <w:ilvl w:val="0"/>
          <w:numId w:val="60"/>
        </w:numPr>
        <w:tabs>
          <w:tab w:val="clear" w:pos="360"/>
          <w:tab w:val="num" w:pos="1440"/>
        </w:tabs>
        <w:ind w:left="1440" w:right="720"/>
        <w:rPr>
          <w:rFonts w:ascii="Tahoma" w:hAnsi="Tahoma" w:cs="Tahoma"/>
          <w:sz w:val="18"/>
          <w:szCs w:val="18"/>
        </w:rPr>
      </w:pPr>
      <w:r w:rsidRPr="00FE592A">
        <w:rPr>
          <w:rFonts w:ascii="Tahoma" w:hAnsi="Tahoma" w:cs="Tahoma"/>
          <w:sz w:val="18"/>
          <w:szCs w:val="18"/>
        </w:rPr>
        <w:t>Registro Enterprise</w:t>
      </w:r>
    </w:p>
    <w:p w:rsidR="00456002" w:rsidRPr="009869F4" w:rsidRDefault="00456002" w:rsidP="00B147AB">
      <w:pPr>
        <w:pStyle w:val="AppendixBulletIndent"/>
        <w:ind w:left="0" w:right="720" w:firstLine="0"/>
        <w:rPr>
          <w:rFonts w:ascii="Tahoma" w:hAnsi="Tahoma" w:cs="Tahoma"/>
          <w:sz w:val="16"/>
          <w:szCs w:val="16"/>
        </w:rPr>
      </w:pPr>
    </w:p>
    <w:p w:rsidR="003D7C23" w:rsidRDefault="00456002" w:rsidP="003D7C23">
      <w:r w:rsidRPr="004B208C">
        <w:rPr>
          <w:rFonts w:cs="Tahoma"/>
        </w:rPr>
        <w:t>Uma licença Work-at-Home só poderá ser adquirida em conjunto com um produto que ela estiver licenciada para executar em um desktop At Work. A oferta Work-at-Home não é uma oferta de plano de compra para funcionários. O</w:t>
      </w:r>
      <w:r w:rsidR="009869F4">
        <w:rPr>
          <w:rFonts w:cs="Tahoma"/>
        </w:rPr>
        <w:t> </w:t>
      </w:r>
      <w:r w:rsidRPr="004B208C">
        <w:rPr>
          <w:rFonts w:cs="Tahoma"/>
        </w:rPr>
        <w:t>cliente da Licença Select, do Select Plus ou do Contrato Enterprise (não o funcionário) detém os direitos da licença Work-at-Home.</w:t>
      </w:r>
      <w:r w:rsidR="00172F11">
        <w:rPr>
          <w:rFonts w:cs="Tahoma"/>
        </w:rPr>
        <w:t xml:space="preserve"> </w:t>
      </w:r>
      <w:r w:rsidRPr="004B208C">
        <w:rPr>
          <w:rFonts w:cs="Tahoma"/>
        </w:rPr>
        <w:t>Para os direitos da licença Work-at-Home disponíveis para clientes qualificados da instituição acadêmica, consulte o Contrato/Registro.</w:t>
      </w:r>
      <w:r w:rsidR="00172F11">
        <w:rPr>
          <w:rFonts w:cs="Tahoma"/>
        </w:rPr>
        <w:t xml:space="preserve"> </w:t>
      </w:r>
      <w:bookmarkStart w:id="648" w:name="_Section_5_–"/>
      <w:bookmarkStart w:id="649" w:name="_Seção_5_–"/>
      <w:bookmarkEnd w:id="648"/>
      <w:bookmarkEnd w:id="649"/>
      <w:r w:rsidR="00023FE7" w:rsidRPr="004B208C">
        <w:br w:type="page"/>
      </w:r>
      <w:bookmarkStart w:id="650" w:name="_Toc336338207"/>
    </w:p>
    <w:p w:rsidR="003D7C23" w:rsidRPr="003D7C23" w:rsidRDefault="003D7C23" w:rsidP="003D7C23">
      <w:pPr>
        <w:rPr>
          <w:sz w:val="4"/>
          <w:szCs w:val="4"/>
        </w:rPr>
      </w:pPr>
    </w:p>
    <w:p w:rsidR="00456002" w:rsidRPr="004B208C" w:rsidRDefault="00023FE7" w:rsidP="00FE592A">
      <w:pPr>
        <w:pStyle w:val="Heading1"/>
        <w:spacing w:before="0"/>
        <w:rPr>
          <w:rFonts w:cs="Tahoma"/>
        </w:rPr>
      </w:pPr>
      <w:bookmarkStart w:id="651" w:name="_Seção_5_–_1"/>
      <w:bookmarkStart w:id="652" w:name="_Toc370981321"/>
      <w:bookmarkEnd w:id="651"/>
      <w:r w:rsidRPr="004B208C">
        <w:rPr>
          <w:rFonts w:cs="Tahoma"/>
        </w:rPr>
        <w:t>Seção 5 –</w:t>
      </w:r>
      <w:bookmarkStart w:id="653" w:name="Sect5_OnlineServices"/>
      <w:r w:rsidRPr="004B208C">
        <w:rPr>
          <w:rFonts w:cs="Tahoma"/>
        </w:rPr>
        <w:t xml:space="preserve"> TERMOS DE PAGAMENTO e PREÇOS DE</w:t>
      </w:r>
      <w:r w:rsidR="00FE592A">
        <w:rPr>
          <w:rFonts w:cs="Tahoma"/>
        </w:rPr>
        <w:t> </w:t>
      </w:r>
      <w:r w:rsidRPr="004B208C">
        <w:rPr>
          <w:rFonts w:cs="Tahoma"/>
        </w:rPr>
        <w:t>SERVIÇOS ONLINE</w:t>
      </w:r>
      <w:bookmarkEnd w:id="650"/>
      <w:bookmarkEnd w:id="652"/>
      <w:bookmarkEnd w:id="653"/>
    </w:p>
    <w:p w:rsidR="00456002" w:rsidRPr="00FE592A" w:rsidRDefault="00456002" w:rsidP="00456002">
      <w:pPr>
        <w:outlineLvl w:val="2"/>
        <w:rPr>
          <w:rFonts w:cs="Tahoma"/>
          <w:sz w:val="24"/>
          <w:szCs w:val="24"/>
        </w:rPr>
      </w:pPr>
    </w:p>
    <w:p w:rsidR="00D85FDD" w:rsidRPr="00FE592A" w:rsidRDefault="00D85FDD" w:rsidP="003C3A72">
      <w:pPr>
        <w:pStyle w:val="Heading2"/>
        <w:ind w:left="0"/>
        <w:rPr>
          <w:rFonts w:ascii="Tahoma" w:hAnsi="Tahoma" w:cs="Tahoma"/>
          <w:sz w:val="32"/>
          <w:szCs w:val="32"/>
        </w:rPr>
      </w:pPr>
      <w:bookmarkStart w:id="654" w:name="_Toc370981322"/>
      <w:r w:rsidRPr="00FE592A">
        <w:rPr>
          <w:rFonts w:ascii="Tahoma" w:hAnsi="Tahoma" w:cs="Tahoma"/>
          <w:sz w:val="32"/>
          <w:szCs w:val="32"/>
        </w:rPr>
        <w:t>Termos de Pagamento e Preços de Serviços Online</w:t>
      </w:r>
      <w:bookmarkEnd w:id="654"/>
    </w:p>
    <w:p w:rsidR="00D85FDD" w:rsidRPr="004B208C" w:rsidRDefault="00D85FDD" w:rsidP="00212CC6">
      <w:pPr>
        <w:outlineLvl w:val="2"/>
        <w:rPr>
          <w:rFonts w:cs="Tahoma"/>
        </w:rPr>
      </w:pPr>
    </w:p>
    <w:p w:rsidR="00456002" w:rsidRPr="004B208C" w:rsidRDefault="00456002" w:rsidP="00212CC6">
      <w:pPr>
        <w:outlineLvl w:val="2"/>
        <w:rPr>
          <w:rFonts w:cs="Tahoma"/>
        </w:rPr>
      </w:pPr>
      <w:r w:rsidRPr="004B208C">
        <w:rPr>
          <w:rFonts w:cs="Tahoma"/>
          <w:szCs w:val="18"/>
        </w:rPr>
        <w:t>Os Serviços Online são produtos que incluem software com serviços disponíveis em uma assinatura baseada conforme descrito nos Direitos de Uso de Produto e fornecidos online.</w:t>
      </w:r>
      <w:r w:rsidR="00172F11">
        <w:rPr>
          <w:rFonts w:cs="Tahoma"/>
          <w:szCs w:val="18"/>
        </w:rPr>
        <w:t xml:space="preserve"> </w:t>
      </w:r>
      <w:r w:rsidRPr="004B208C">
        <w:rPr>
          <w:rFonts w:cs="Tahoma"/>
          <w:szCs w:val="18"/>
        </w:rPr>
        <w:t>Alguns contratos de licença por volume direcionam os clientes para a Lista de Produtos para obter uma lista dos “Serviços Online” disponíveis. Para fins dessa referência, os Serviços Online incluem:</w:t>
      </w:r>
    </w:p>
    <w:p w:rsidR="002D25C8" w:rsidRPr="004B208C" w:rsidRDefault="002D25C8" w:rsidP="00212CC6">
      <w:pPr>
        <w:outlineLvl w:val="2"/>
        <w:rPr>
          <w:rFonts w:cs="Tahoma"/>
        </w:rPr>
      </w:pPr>
    </w:p>
    <w:p w:rsidR="00073E15" w:rsidRPr="004B208C" w:rsidRDefault="00A0550D" w:rsidP="00A1385C">
      <w:pPr>
        <w:numPr>
          <w:ilvl w:val="0"/>
          <w:numId w:val="65"/>
        </w:numPr>
        <w:spacing w:after="60"/>
        <w:rPr>
          <w:rFonts w:cs="Tahoma"/>
        </w:rPr>
      </w:pPr>
      <w:r w:rsidRPr="004B208C">
        <w:rPr>
          <w:rFonts w:eastAsia="Calibri" w:cs="Tahoma"/>
          <w:color w:val="000000"/>
          <w:szCs w:val="18"/>
        </w:rPr>
        <w:t>Bing Maps Enterprise Platform</w:t>
      </w:r>
    </w:p>
    <w:p w:rsidR="00A0550D" w:rsidRPr="004B208C" w:rsidRDefault="00A0550D" w:rsidP="00A1385C">
      <w:pPr>
        <w:numPr>
          <w:ilvl w:val="0"/>
          <w:numId w:val="65"/>
        </w:numPr>
        <w:spacing w:after="60"/>
        <w:rPr>
          <w:rFonts w:cs="Tahoma"/>
        </w:rPr>
      </w:pPr>
      <w:r w:rsidRPr="004B208C">
        <w:rPr>
          <w:rFonts w:eastAsia="Calibri" w:cs="Tahoma"/>
          <w:color w:val="000000"/>
          <w:szCs w:val="18"/>
        </w:rPr>
        <w:t>Plataforma de Gerenciamento de Ativos Móveis do Bing Maps</w:t>
      </w:r>
    </w:p>
    <w:p w:rsidR="00A0550D" w:rsidRPr="004B208C" w:rsidRDefault="00A0550D" w:rsidP="00A1385C">
      <w:pPr>
        <w:numPr>
          <w:ilvl w:val="0"/>
          <w:numId w:val="65"/>
        </w:numPr>
        <w:spacing w:after="60"/>
        <w:rPr>
          <w:rFonts w:cs="Tahoma"/>
        </w:rPr>
      </w:pPr>
      <w:r w:rsidRPr="004B208C">
        <w:rPr>
          <w:rFonts w:eastAsia="Calibri" w:cs="Tahoma"/>
          <w:color w:val="000000"/>
          <w:szCs w:val="18"/>
        </w:rPr>
        <w:t xml:space="preserve">Prevenção à Perda de Dados </w:t>
      </w:r>
    </w:p>
    <w:p w:rsidR="00A0550D" w:rsidRPr="004B208C" w:rsidRDefault="00A0550D" w:rsidP="00A1385C">
      <w:pPr>
        <w:numPr>
          <w:ilvl w:val="0"/>
          <w:numId w:val="65"/>
        </w:numPr>
        <w:spacing w:after="60"/>
        <w:rPr>
          <w:rFonts w:cs="Tahoma"/>
        </w:rPr>
      </w:pPr>
      <w:r w:rsidRPr="004B208C">
        <w:rPr>
          <w:rFonts w:eastAsia="Calibri" w:cs="Tahoma"/>
          <w:color w:val="000000"/>
          <w:szCs w:val="18"/>
        </w:rPr>
        <w:t xml:space="preserve">Duet Enterprise Online para Microsoft SharePoint e SAP </w:t>
      </w:r>
    </w:p>
    <w:p w:rsidR="00B00423" w:rsidRPr="004B208C" w:rsidRDefault="00B00423" w:rsidP="00A1385C">
      <w:pPr>
        <w:numPr>
          <w:ilvl w:val="0"/>
          <w:numId w:val="65"/>
        </w:numPr>
        <w:spacing w:after="60"/>
        <w:rPr>
          <w:rFonts w:cs="Tahoma"/>
        </w:rPr>
      </w:pPr>
      <w:r w:rsidRPr="004B208C">
        <w:rPr>
          <w:rFonts w:eastAsia="Calibri" w:cs="Tahoma"/>
          <w:color w:val="000000"/>
          <w:szCs w:val="18"/>
        </w:rPr>
        <w:t xml:space="preserve">Exchange Hosted Encryption </w:t>
      </w:r>
    </w:p>
    <w:p w:rsidR="00A0550D" w:rsidRPr="004B208C" w:rsidRDefault="00A0550D" w:rsidP="00A1385C">
      <w:pPr>
        <w:numPr>
          <w:ilvl w:val="0"/>
          <w:numId w:val="65"/>
        </w:numPr>
        <w:spacing w:after="60"/>
        <w:rPr>
          <w:rFonts w:cs="Tahoma"/>
        </w:rPr>
      </w:pPr>
      <w:r w:rsidRPr="004B208C">
        <w:rPr>
          <w:rFonts w:eastAsia="Calibri" w:cs="Tahoma"/>
          <w:color w:val="000000"/>
          <w:szCs w:val="18"/>
        </w:rPr>
        <w:t xml:space="preserve">Arquivamento do Exchange Online para Exchange Online </w:t>
      </w:r>
    </w:p>
    <w:p w:rsidR="00456002" w:rsidRPr="004B208C" w:rsidRDefault="00456002" w:rsidP="00A1385C">
      <w:pPr>
        <w:numPr>
          <w:ilvl w:val="0"/>
          <w:numId w:val="65"/>
        </w:numPr>
        <w:spacing w:after="60"/>
        <w:rPr>
          <w:rFonts w:cs="Tahoma"/>
        </w:rPr>
      </w:pPr>
      <w:r w:rsidRPr="004B208C">
        <w:rPr>
          <w:rFonts w:eastAsia="Calibri" w:cs="Tahoma"/>
          <w:color w:val="000000"/>
          <w:szCs w:val="18"/>
        </w:rPr>
        <w:t>Arquivamento do Exchange Online para Exchange Server</w:t>
      </w:r>
    </w:p>
    <w:p w:rsidR="00456002" w:rsidRPr="004B208C" w:rsidRDefault="00456002" w:rsidP="00A1385C">
      <w:pPr>
        <w:numPr>
          <w:ilvl w:val="0"/>
          <w:numId w:val="65"/>
        </w:numPr>
        <w:spacing w:after="60"/>
        <w:rPr>
          <w:rFonts w:cs="Tahoma"/>
        </w:rPr>
      </w:pPr>
      <w:r w:rsidRPr="004B208C">
        <w:rPr>
          <w:rFonts w:eastAsia="Calibri" w:cs="Tahoma"/>
          <w:color w:val="000000"/>
          <w:szCs w:val="18"/>
        </w:rPr>
        <w:t xml:space="preserve">Quiosque do Exchange Online, Plano 1 e Plano 2 </w:t>
      </w:r>
    </w:p>
    <w:p w:rsidR="00A0550D" w:rsidRPr="004B208C" w:rsidRDefault="00A0550D" w:rsidP="00A1385C">
      <w:pPr>
        <w:numPr>
          <w:ilvl w:val="0"/>
          <w:numId w:val="65"/>
        </w:numPr>
        <w:spacing w:after="60"/>
        <w:rPr>
          <w:rFonts w:cs="Tahoma"/>
        </w:rPr>
      </w:pPr>
      <w:r w:rsidRPr="004B208C">
        <w:rPr>
          <w:rFonts w:eastAsia="Calibri" w:cs="Tahoma"/>
          <w:color w:val="000000"/>
          <w:szCs w:val="18"/>
        </w:rPr>
        <w:t xml:space="preserve">Exchange Online Protection </w:t>
      </w:r>
    </w:p>
    <w:p w:rsidR="00A0550D" w:rsidRPr="004B208C" w:rsidRDefault="00A0550D" w:rsidP="00A1385C">
      <w:pPr>
        <w:numPr>
          <w:ilvl w:val="0"/>
          <w:numId w:val="65"/>
        </w:numPr>
        <w:spacing w:after="60"/>
        <w:rPr>
          <w:rFonts w:cs="Tahoma"/>
        </w:rPr>
      </w:pPr>
      <w:r w:rsidRPr="004B208C">
        <w:rPr>
          <w:rFonts w:eastAsia="Calibri" w:cs="Tahoma"/>
          <w:color w:val="000000"/>
          <w:szCs w:val="18"/>
        </w:rPr>
        <w:t xml:space="preserve">Forefront Online Protection para Exchange </w:t>
      </w:r>
    </w:p>
    <w:p w:rsidR="00A0550D" w:rsidRPr="004B208C" w:rsidRDefault="00A0550D" w:rsidP="00A1385C">
      <w:pPr>
        <w:numPr>
          <w:ilvl w:val="0"/>
          <w:numId w:val="65"/>
        </w:numPr>
        <w:spacing w:after="60"/>
        <w:rPr>
          <w:rFonts w:cs="Tahoma"/>
        </w:rPr>
      </w:pPr>
      <w:r w:rsidRPr="004B208C">
        <w:rPr>
          <w:rFonts w:eastAsia="Calibri" w:cs="Tahoma"/>
          <w:color w:val="000000"/>
          <w:szCs w:val="18"/>
        </w:rPr>
        <w:t xml:space="preserve">Groove Enterprise Services </w:t>
      </w:r>
    </w:p>
    <w:p w:rsidR="00456002" w:rsidRPr="004B208C" w:rsidRDefault="00456002" w:rsidP="00A1385C">
      <w:pPr>
        <w:numPr>
          <w:ilvl w:val="0"/>
          <w:numId w:val="65"/>
        </w:numPr>
        <w:spacing w:after="60"/>
        <w:rPr>
          <w:rFonts w:cs="Tahoma"/>
        </w:rPr>
      </w:pPr>
      <w:r w:rsidRPr="004B208C">
        <w:rPr>
          <w:rFonts w:eastAsia="Calibri" w:cs="Tahoma"/>
          <w:color w:val="000000"/>
          <w:szCs w:val="18"/>
        </w:rPr>
        <w:t>Lync Online Planos 1, 2 e 3</w:t>
      </w:r>
    </w:p>
    <w:p w:rsidR="00A0550D" w:rsidRPr="004B208C" w:rsidRDefault="00A0550D" w:rsidP="00A1385C">
      <w:pPr>
        <w:numPr>
          <w:ilvl w:val="0"/>
          <w:numId w:val="65"/>
        </w:numPr>
        <w:spacing w:after="60"/>
        <w:rPr>
          <w:rFonts w:cs="Tahoma"/>
        </w:rPr>
      </w:pPr>
      <w:r w:rsidRPr="004B208C">
        <w:rPr>
          <w:rFonts w:eastAsia="Calibri" w:cs="Tahoma"/>
          <w:color w:val="000000"/>
          <w:szCs w:val="18"/>
        </w:rPr>
        <w:t>Microsoft Dynamics CRM Online</w:t>
      </w:r>
    </w:p>
    <w:p w:rsidR="00A0550D" w:rsidRPr="004B208C" w:rsidRDefault="00A0550D" w:rsidP="00A1385C">
      <w:pPr>
        <w:numPr>
          <w:ilvl w:val="0"/>
          <w:numId w:val="65"/>
        </w:numPr>
        <w:spacing w:after="60"/>
        <w:rPr>
          <w:rFonts w:cs="Tahoma"/>
        </w:rPr>
      </w:pPr>
      <w:r w:rsidRPr="004B208C">
        <w:rPr>
          <w:rFonts w:eastAsia="Calibri" w:cs="Tahoma"/>
          <w:color w:val="000000"/>
          <w:szCs w:val="18"/>
        </w:rPr>
        <w:t>Microsoft Learning E-Reference Library e IT Academy</w:t>
      </w:r>
    </w:p>
    <w:p w:rsidR="00456002" w:rsidRPr="004B208C" w:rsidRDefault="00456002" w:rsidP="00A1385C">
      <w:pPr>
        <w:numPr>
          <w:ilvl w:val="0"/>
          <w:numId w:val="65"/>
        </w:numPr>
        <w:spacing w:after="60"/>
        <w:rPr>
          <w:rFonts w:cs="Tahoma"/>
        </w:rPr>
      </w:pPr>
      <w:r w:rsidRPr="004B208C">
        <w:rPr>
          <w:rFonts w:eastAsia="Calibri" w:cs="Tahoma"/>
          <w:color w:val="000000"/>
          <w:szCs w:val="18"/>
        </w:rPr>
        <w:t>Office 365 Enterprise K1, E1, E3 e E4</w:t>
      </w:r>
    </w:p>
    <w:p w:rsidR="00061A45" w:rsidRPr="004B208C" w:rsidRDefault="008368B4" w:rsidP="00A1385C">
      <w:pPr>
        <w:numPr>
          <w:ilvl w:val="0"/>
          <w:numId w:val="65"/>
        </w:numPr>
        <w:spacing w:after="60"/>
        <w:rPr>
          <w:rFonts w:cs="Tahoma"/>
        </w:rPr>
      </w:pPr>
      <w:r w:rsidRPr="004B208C">
        <w:rPr>
          <w:rFonts w:eastAsia="Calibri" w:cs="Tahoma"/>
          <w:color w:val="000000"/>
          <w:szCs w:val="18"/>
        </w:rPr>
        <w:t>Office 365 ProPlus</w:t>
      </w:r>
    </w:p>
    <w:p w:rsidR="00A0550D" w:rsidRPr="004B208C" w:rsidRDefault="00A0550D" w:rsidP="00A1385C">
      <w:pPr>
        <w:numPr>
          <w:ilvl w:val="0"/>
          <w:numId w:val="65"/>
        </w:numPr>
        <w:spacing w:after="60"/>
        <w:rPr>
          <w:rFonts w:cs="Tahoma"/>
        </w:rPr>
      </w:pPr>
      <w:r w:rsidRPr="004B208C">
        <w:rPr>
          <w:rFonts w:eastAsia="Calibri" w:cs="Tahoma"/>
          <w:color w:val="000000"/>
          <w:szCs w:val="18"/>
        </w:rPr>
        <w:t xml:space="preserve">Aplicativos da Web do Office </w:t>
      </w:r>
    </w:p>
    <w:p w:rsidR="008368B4" w:rsidRPr="004B208C" w:rsidRDefault="008368B4" w:rsidP="00A1385C">
      <w:pPr>
        <w:numPr>
          <w:ilvl w:val="0"/>
          <w:numId w:val="65"/>
        </w:numPr>
        <w:spacing w:after="60"/>
        <w:rPr>
          <w:rFonts w:cs="Tahoma"/>
        </w:rPr>
      </w:pPr>
      <w:r w:rsidRPr="004B208C">
        <w:rPr>
          <w:rFonts w:eastAsia="Calibri" w:cs="Tahoma"/>
          <w:color w:val="000000"/>
          <w:szCs w:val="18"/>
        </w:rPr>
        <w:t>Project Online</w:t>
      </w:r>
    </w:p>
    <w:p w:rsidR="008368B4" w:rsidRPr="004B208C" w:rsidRDefault="008368B4" w:rsidP="00A1385C">
      <w:pPr>
        <w:numPr>
          <w:ilvl w:val="0"/>
          <w:numId w:val="65"/>
        </w:numPr>
        <w:spacing w:after="60"/>
        <w:rPr>
          <w:rFonts w:cs="Tahoma"/>
        </w:rPr>
      </w:pPr>
      <w:r w:rsidRPr="004B208C">
        <w:rPr>
          <w:rFonts w:eastAsia="Calibri" w:cs="Tahoma"/>
          <w:color w:val="000000"/>
          <w:szCs w:val="18"/>
        </w:rPr>
        <w:t>Project Pro para Office 365</w:t>
      </w:r>
    </w:p>
    <w:p w:rsidR="00456002" w:rsidRPr="004B208C" w:rsidRDefault="00456002" w:rsidP="00A1385C">
      <w:pPr>
        <w:numPr>
          <w:ilvl w:val="0"/>
          <w:numId w:val="65"/>
        </w:numPr>
        <w:spacing w:after="60"/>
        <w:rPr>
          <w:rFonts w:cs="Tahoma"/>
        </w:rPr>
      </w:pPr>
      <w:r w:rsidRPr="004B208C">
        <w:rPr>
          <w:rFonts w:eastAsia="Calibri" w:cs="Tahoma"/>
          <w:color w:val="000000"/>
          <w:szCs w:val="18"/>
        </w:rPr>
        <w:t xml:space="preserve">SharePoint Online Kiosk, Plano 1 e Plano 2 </w:t>
      </w:r>
    </w:p>
    <w:p w:rsidR="00456002" w:rsidRPr="004B208C" w:rsidRDefault="00456002" w:rsidP="00A1385C">
      <w:pPr>
        <w:numPr>
          <w:ilvl w:val="0"/>
          <w:numId w:val="65"/>
        </w:numPr>
        <w:spacing w:after="60"/>
        <w:rPr>
          <w:rFonts w:cs="Tahoma"/>
        </w:rPr>
      </w:pPr>
      <w:r w:rsidRPr="004B208C">
        <w:rPr>
          <w:rFonts w:eastAsia="Calibri" w:cs="Tahoma"/>
          <w:color w:val="000000"/>
          <w:szCs w:val="18"/>
        </w:rPr>
        <w:t xml:space="preserve">System Center Endpoint Protection </w:t>
      </w:r>
    </w:p>
    <w:p w:rsidR="00B00423" w:rsidRPr="004B208C" w:rsidRDefault="00B00423" w:rsidP="00A1385C">
      <w:pPr>
        <w:numPr>
          <w:ilvl w:val="0"/>
          <w:numId w:val="65"/>
        </w:numPr>
        <w:spacing w:after="60"/>
        <w:rPr>
          <w:rFonts w:cs="Tahoma"/>
        </w:rPr>
      </w:pPr>
      <w:r w:rsidRPr="004B208C">
        <w:rPr>
          <w:rFonts w:eastAsia="Calibri" w:cs="Tahoma"/>
          <w:color w:val="000000"/>
          <w:szCs w:val="18"/>
        </w:rPr>
        <w:t xml:space="preserve">Translator API </w:t>
      </w:r>
    </w:p>
    <w:p w:rsidR="008368B4" w:rsidRPr="004B208C" w:rsidRDefault="008368B4" w:rsidP="00A1385C">
      <w:pPr>
        <w:numPr>
          <w:ilvl w:val="0"/>
          <w:numId w:val="65"/>
        </w:numPr>
        <w:spacing w:after="60"/>
        <w:rPr>
          <w:rFonts w:cs="Tahoma"/>
        </w:rPr>
      </w:pPr>
      <w:r w:rsidRPr="004B208C">
        <w:rPr>
          <w:rFonts w:eastAsia="Calibri" w:cs="Tahoma"/>
          <w:color w:val="000000"/>
          <w:szCs w:val="18"/>
        </w:rPr>
        <w:t>Visio Pro para Office 365</w:t>
      </w:r>
    </w:p>
    <w:p w:rsidR="00073E15" w:rsidRPr="004B208C" w:rsidRDefault="00456002" w:rsidP="00A1385C">
      <w:pPr>
        <w:numPr>
          <w:ilvl w:val="0"/>
          <w:numId w:val="65"/>
        </w:numPr>
        <w:spacing w:after="60"/>
        <w:rPr>
          <w:rFonts w:cs="Tahoma"/>
        </w:rPr>
      </w:pPr>
      <w:r w:rsidRPr="004B208C">
        <w:rPr>
          <w:rFonts w:eastAsia="Calibri" w:cs="Tahoma"/>
          <w:color w:val="000000"/>
          <w:szCs w:val="18"/>
        </w:rPr>
        <w:t>Gerenciamento de Direitos do Active Directory do Windows Azure</w:t>
      </w:r>
    </w:p>
    <w:p w:rsidR="00456002" w:rsidRPr="004B208C" w:rsidRDefault="00073E15" w:rsidP="00A1385C">
      <w:pPr>
        <w:numPr>
          <w:ilvl w:val="0"/>
          <w:numId w:val="65"/>
        </w:numPr>
        <w:spacing w:after="60"/>
        <w:rPr>
          <w:rFonts w:cs="Tahoma"/>
        </w:rPr>
      </w:pPr>
      <w:r w:rsidRPr="004B208C">
        <w:rPr>
          <w:rFonts w:eastAsia="Calibri" w:cs="Tahoma"/>
          <w:color w:val="000000"/>
          <w:szCs w:val="18"/>
        </w:rPr>
        <w:t>Serviços do Windows Azure</w:t>
      </w:r>
    </w:p>
    <w:p w:rsidR="00073E15" w:rsidRPr="004B208C" w:rsidRDefault="00456002" w:rsidP="00A1385C">
      <w:pPr>
        <w:numPr>
          <w:ilvl w:val="0"/>
          <w:numId w:val="65"/>
        </w:numPr>
        <w:spacing w:after="60"/>
        <w:rPr>
          <w:rFonts w:cs="Tahoma"/>
        </w:rPr>
      </w:pPr>
      <w:r w:rsidRPr="004B208C">
        <w:rPr>
          <w:rFonts w:eastAsia="Calibri" w:cs="Tahoma"/>
          <w:color w:val="000000"/>
          <w:szCs w:val="18"/>
        </w:rPr>
        <w:t>Windows Intune</w:t>
      </w:r>
    </w:p>
    <w:p w:rsidR="00456002" w:rsidRPr="004B208C" w:rsidRDefault="003929D1" w:rsidP="00A1385C">
      <w:pPr>
        <w:numPr>
          <w:ilvl w:val="0"/>
          <w:numId w:val="65"/>
        </w:numPr>
        <w:spacing w:after="60"/>
        <w:rPr>
          <w:rFonts w:cs="Tahoma"/>
        </w:rPr>
      </w:pPr>
      <w:r w:rsidRPr="004B208C">
        <w:rPr>
          <w:rFonts w:eastAsia="Calibri" w:cs="Tahoma"/>
          <w:color w:val="000000"/>
          <w:szCs w:val="18"/>
        </w:rPr>
        <w:t>Complemento do Windows Intune para System Center Configuration Manager e System Center Endpoint Protection</w:t>
      </w:r>
    </w:p>
    <w:p w:rsidR="00B00423" w:rsidRPr="004B208C" w:rsidRDefault="00B00423" w:rsidP="00A1385C">
      <w:pPr>
        <w:numPr>
          <w:ilvl w:val="0"/>
          <w:numId w:val="65"/>
        </w:numPr>
        <w:spacing w:after="60"/>
        <w:rPr>
          <w:rFonts w:cs="Tahoma"/>
        </w:rPr>
      </w:pPr>
      <w:r w:rsidRPr="004B208C">
        <w:rPr>
          <w:rFonts w:eastAsia="Calibri" w:cs="Tahoma"/>
          <w:color w:val="000000"/>
          <w:szCs w:val="18"/>
        </w:rPr>
        <w:t>Yammer Enterprise</w:t>
      </w:r>
    </w:p>
    <w:p w:rsidR="002D25C8" w:rsidRPr="004B208C" w:rsidRDefault="002D25C8" w:rsidP="00212CC6">
      <w:pPr>
        <w:rPr>
          <w:rFonts w:cs="Tahoma"/>
        </w:rPr>
      </w:pPr>
    </w:p>
    <w:p w:rsidR="00456002" w:rsidRPr="004B208C" w:rsidRDefault="00456002" w:rsidP="00116EDC">
      <w:pPr>
        <w:outlineLvl w:val="2"/>
        <w:rPr>
          <w:rFonts w:cs="Tahoma"/>
        </w:rPr>
      </w:pPr>
      <w:r w:rsidRPr="004B208C">
        <w:rPr>
          <w:rFonts w:cs="Tahoma"/>
          <w:szCs w:val="18"/>
        </w:rPr>
        <w:t>Existem outras ofertas além daquelas identificadas na seção de Serviços Online dos Direitos de Uso de Produto.</w:t>
      </w:r>
      <w:r w:rsidR="00172F11">
        <w:rPr>
          <w:rFonts w:cs="Tahoma"/>
          <w:szCs w:val="18"/>
        </w:rPr>
        <w:t xml:space="preserve"> </w:t>
      </w:r>
      <w:r w:rsidRPr="004B208C">
        <w:rPr>
          <w:rFonts w:cs="Tahoma"/>
          <w:szCs w:val="18"/>
        </w:rPr>
        <w:t>As</w:t>
      </w:r>
      <w:r w:rsidR="00FE592A">
        <w:rPr>
          <w:rFonts w:cs="Tahoma"/>
          <w:szCs w:val="18"/>
        </w:rPr>
        <w:t> </w:t>
      </w:r>
      <w:r w:rsidRPr="004B208C">
        <w:rPr>
          <w:rFonts w:cs="Tahoma"/>
          <w:szCs w:val="18"/>
        </w:rPr>
        <w:t>seções restantes desses “Termos de Preços e Pagamentos dos Serviços Online” se aplicam aos Serviços Online identificados por nome anteriormente e a essas outras ofertas.</w:t>
      </w:r>
    </w:p>
    <w:p w:rsidR="00116EDC" w:rsidRDefault="00116EDC" w:rsidP="00116EDC">
      <w:pPr>
        <w:outlineLvl w:val="2"/>
        <w:rPr>
          <w:rFonts w:cs="Tahoma"/>
        </w:rPr>
      </w:pPr>
    </w:p>
    <w:p w:rsidR="00FE592A" w:rsidRDefault="00FE592A" w:rsidP="00116EDC">
      <w:pPr>
        <w:outlineLvl w:val="2"/>
        <w:rPr>
          <w:rFonts w:cs="Tahoma"/>
        </w:rPr>
      </w:pPr>
    </w:p>
    <w:p w:rsidR="00FE592A" w:rsidRPr="004B208C" w:rsidRDefault="00FE592A" w:rsidP="00116EDC">
      <w:pPr>
        <w:outlineLvl w:val="2"/>
        <w:rPr>
          <w:rFonts w:cs="Tahoma"/>
        </w:rPr>
      </w:pPr>
    </w:p>
    <w:p w:rsidR="00456002" w:rsidRPr="004B208C" w:rsidRDefault="00456002" w:rsidP="00456002">
      <w:pPr>
        <w:pStyle w:val="Heading2"/>
        <w:ind w:left="0"/>
        <w:rPr>
          <w:rFonts w:ascii="Tahoma" w:hAnsi="Tahoma" w:cs="Tahoma"/>
        </w:rPr>
      </w:pPr>
      <w:bookmarkStart w:id="655" w:name="_Toc336338208"/>
      <w:bookmarkStart w:id="656" w:name="_Toc370981323"/>
      <w:r w:rsidRPr="004B208C">
        <w:rPr>
          <w:rFonts w:ascii="Tahoma" w:hAnsi="Tahoma" w:cs="Tahoma"/>
        </w:rPr>
        <w:lastRenderedPageBreak/>
        <w:t>Prazo da assinatura de Serviços Online</w:t>
      </w:r>
      <w:bookmarkEnd w:id="655"/>
      <w:bookmarkEnd w:id="656"/>
    </w:p>
    <w:p w:rsidR="00456002" w:rsidRPr="004B208C" w:rsidRDefault="00456002" w:rsidP="00116EDC">
      <w:pPr>
        <w:outlineLvl w:val="2"/>
        <w:rPr>
          <w:rFonts w:cs="Tahoma"/>
        </w:rPr>
      </w:pPr>
    </w:p>
    <w:p w:rsidR="006A5DAE" w:rsidRPr="004B208C" w:rsidRDefault="00456002" w:rsidP="006A5DAE">
      <w:pPr>
        <w:outlineLvl w:val="2"/>
        <w:rPr>
          <w:rFonts w:cs="Tahoma"/>
        </w:rPr>
      </w:pPr>
      <w:r w:rsidRPr="004B208C">
        <w:rPr>
          <w:rFonts w:cs="Tahoma"/>
          <w:szCs w:val="18"/>
        </w:rPr>
        <w:t>A compra inicial de uma nova assinatura de serviços online determinará a duração do prazo da assinatura.</w:t>
      </w:r>
      <w:r w:rsidR="00172F11">
        <w:rPr>
          <w:rFonts w:cs="Tahoma"/>
          <w:szCs w:val="18"/>
        </w:rPr>
        <w:t xml:space="preserve"> </w:t>
      </w:r>
      <w:r w:rsidRPr="004B208C">
        <w:rPr>
          <w:rFonts w:cs="Tahoma"/>
          <w:szCs w:val="18"/>
        </w:rPr>
        <w:t>Alguns serviços permitem ao cliente optar entre um prazo de assinatura de um ano ou uma assinatura que acaba na data de</w:t>
      </w:r>
      <w:r w:rsidR="00FE592A">
        <w:rPr>
          <w:rFonts w:cs="Tahoma"/>
          <w:szCs w:val="18"/>
        </w:rPr>
        <w:t> </w:t>
      </w:r>
      <w:r w:rsidRPr="004B208C">
        <w:rPr>
          <w:rFonts w:cs="Tahoma"/>
          <w:szCs w:val="18"/>
        </w:rPr>
        <w:t>término do contrato ou registro do cliente (“coextensiva”) conforme indicado na tabela a seguir.</w:t>
      </w:r>
      <w:r w:rsidR="00172F11">
        <w:rPr>
          <w:rFonts w:cs="Tahoma"/>
          <w:szCs w:val="18"/>
        </w:rPr>
        <w:t xml:space="preserve"> </w:t>
      </w:r>
      <w:r w:rsidRPr="004B208C">
        <w:rPr>
          <w:rFonts w:cs="Tahoma"/>
          <w:szCs w:val="18"/>
        </w:rPr>
        <w:t>O Select Plus não</w:t>
      </w:r>
      <w:r w:rsidR="00FE592A">
        <w:rPr>
          <w:rFonts w:cs="Tahoma"/>
          <w:szCs w:val="18"/>
        </w:rPr>
        <w:t> </w:t>
      </w:r>
      <w:r w:rsidRPr="004B208C">
        <w:rPr>
          <w:rFonts w:cs="Tahoma"/>
          <w:szCs w:val="18"/>
        </w:rPr>
        <w:t>oferece a opção coextensiva, mas permite ao cliente optar pelos termos de assinatura, incluindo 1 ano, 3 anos ou para alinhar o segundo aniversário a partir da data de início do prazo.</w:t>
      </w:r>
      <w:r w:rsidR="00172F11">
        <w:rPr>
          <w:rFonts w:cs="Tahoma"/>
          <w:szCs w:val="18"/>
        </w:rPr>
        <w:t xml:space="preserve"> </w:t>
      </w:r>
      <w:r w:rsidRPr="004B208C">
        <w:rPr>
          <w:rFonts w:cs="Tahoma"/>
          <w:szCs w:val="18"/>
        </w:rPr>
        <w:t>O prazo de assinatura de um ano pode não</w:t>
      </w:r>
      <w:r w:rsidR="00FE592A">
        <w:rPr>
          <w:rFonts w:cs="Tahoma"/>
          <w:szCs w:val="18"/>
        </w:rPr>
        <w:t> </w:t>
      </w:r>
      <w:r w:rsidRPr="004B208C">
        <w:rPr>
          <w:rFonts w:cs="Tahoma"/>
          <w:szCs w:val="18"/>
        </w:rPr>
        <w:t>estar alinhado nem expirar na data de término do contrato do cliente.</w:t>
      </w:r>
      <w:r w:rsidR="00172F11">
        <w:rPr>
          <w:rFonts w:cs="Tahoma"/>
          <w:szCs w:val="18"/>
        </w:rPr>
        <w:t xml:space="preserve"> </w:t>
      </w:r>
      <w:r w:rsidRPr="004B208C">
        <w:rPr>
          <w:rFonts w:cs="Tahoma"/>
          <w:szCs w:val="18"/>
        </w:rPr>
        <w:t>Se o prazo de assinatura de um ano se encerrar após o contrato, o cliente deverá ter um contrato de licenciamento por volume ativo para solicitar licenças adicionais ou renovar o serviço.</w:t>
      </w:r>
      <w:r w:rsidR="00172F11">
        <w:rPr>
          <w:rFonts w:cs="Tahoma"/>
          <w:szCs w:val="18"/>
        </w:rPr>
        <w:t xml:space="preserve"> </w:t>
      </w:r>
      <w:r w:rsidRPr="004B208C">
        <w:rPr>
          <w:rFonts w:cs="Tahoma"/>
          <w:szCs w:val="18"/>
        </w:rPr>
        <w:t>Se o cliente fizer compras adicionais de um serviço, o prazo da assinatura da compra adicional deverá estar alinhado com o prazo da assinatura existente do cliente para o mesmo serviço.</w:t>
      </w:r>
      <w:r w:rsidR="00172F11">
        <w:rPr>
          <w:rFonts w:cs="Tahoma"/>
          <w:szCs w:val="18"/>
        </w:rPr>
        <w:t xml:space="preserve"> </w:t>
      </w:r>
      <w:r w:rsidRPr="004B208C">
        <w:rPr>
          <w:rFonts w:cs="Tahoma"/>
          <w:szCs w:val="18"/>
        </w:rPr>
        <w:t>Se a questão do preço de pedidos adicionais de produtos ou serviços não estiver tratada no contrato existente do cliente, o preço que cobraremos da parte registrada para cobrança por quantidades adicionais de serviços será igual ao preço cobrado na compra inicial.</w:t>
      </w:r>
      <w:r w:rsidR="00172F11">
        <w:rPr>
          <w:rFonts w:cs="Tahoma"/>
          <w:szCs w:val="18"/>
        </w:rPr>
        <w:t xml:space="preserve"> </w:t>
      </w:r>
      <w:r w:rsidRPr="004B208C">
        <w:rPr>
          <w:rFonts w:cs="Tahoma"/>
          <w:szCs w:val="18"/>
        </w:rPr>
        <w:t xml:space="preserve">Para informações específicas dos Serviços do Windows Azure, consulte a seção Serviços do Windows Azure abaixo. </w:t>
      </w:r>
    </w:p>
    <w:p w:rsidR="00456002" w:rsidRPr="004B208C" w:rsidRDefault="00456002" w:rsidP="00212CC6">
      <w:pPr>
        <w:rPr>
          <w:rFonts w:cs="Tahoma"/>
        </w:rPr>
      </w:pPr>
    </w:p>
    <w:p w:rsidR="001C1727" w:rsidRPr="004B208C" w:rsidRDefault="001C1727">
      <w:pPr>
        <w:rPr>
          <w:rFonts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4B208C"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4B208C" w:rsidRDefault="00456002" w:rsidP="005C647E">
            <w:pPr>
              <w:jc w:val="center"/>
              <w:rPr>
                <w:rFonts w:eastAsia="Calibri" w:cs="Tahoma"/>
                <w:b/>
                <w:bCs/>
                <w:sz w:val="20"/>
                <w:szCs w:val="18"/>
              </w:rPr>
            </w:pPr>
            <w:r w:rsidRPr="004B208C">
              <w:rPr>
                <w:rFonts w:eastAsia="Calibri" w:cs="Tahoma"/>
                <w:b/>
                <w:bCs/>
                <w:sz w:val="20"/>
                <w:szCs w:val="18"/>
              </w:rPr>
              <w:t>Serviços Online Disponíveis por um Ano ou Termo de Assinatura Coextensiva</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4B208C" w:rsidRDefault="00456002" w:rsidP="005C647E">
            <w:pPr>
              <w:jc w:val="center"/>
              <w:rPr>
                <w:rFonts w:eastAsia="Calibri" w:cs="Tahoma"/>
                <w:b/>
                <w:bCs/>
                <w:sz w:val="20"/>
                <w:szCs w:val="18"/>
              </w:rPr>
            </w:pPr>
            <w:r w:rsidRPr="004B208C">
              <w:rPr>
                <w:rFonts w:eastAsia="Calibri" w:cs="Tahoma"/>
                <w:b/>
                <w:bCs/>
                <w:sz w:val="20"/>
                <w:szCs w:val="18"/>
              </w:rPr>
              <w:t>Serviços Online Disponíveis Apenas para Termo de Assinatura Coextensiva</w:t>
            </w:r>
          </w:p>
        </w:tc>
      </w:tr>
      <w:tr w:rsidR="00456002" w:rsidRPr="004B208C"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Bing Maps Enterprise</w:t>
            </w:r>
          </w:p>
          <w:p w:rsidR="00AD481C" w:rsidRPr="004B208C" w:rsidRDefault="00AD481C" w:rsidP="00A1385C">
            <w:pPr>
              <w:numPr>
                <w:ilvl w:val="0"/>
                <w:numId w:val="66"/>
              </w:numPr>
              <w:spacing w:after="60"/>
              <w:ind w:left="720" w:right="259"/>
              <w:rPr>
                <w:rFonts w:cs="Tahoma"/>
              </w:rPr>
            </w:pPr>
            <w:r w:rsidRPr="004B208C">
              <w:rPr>
                <w:rFonts w:eastAsia="Calibri" w:cs="Tahoma"/>
                <w:color w:val="000000"/>
                <w:szCs w:val="18"/>
              </w:rPr>
              <w:t>Gerenciamento de Ativos Móveis do Bing Maps</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Forefront Protection 2010 for Exchange Server</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 xml:space="preserve">Forefront Protection 2010 para SharePoint </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Forefront Protection Suite</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Forefront Security for Office Communications Server</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Forefront Threat Management Gateway Web Protection Service</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O Lync Server Public Instant Messaging Connectivity com Serviço de Mensagens Instantâneas AOL (America Online) e Serviço Windows Live Messenger</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 xml:space="preserve">Lync Server Public Instant Messaging Connectivity com Serviço de Mensagens Instantâneas Yahoo </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Microsoft Exchange Hosted Encryption</w:t>
            </w:r>
            <w:r w:rsidR="00172F11">
              <w:rPr>
                <w:rFonts w:eastAsia="Calibri" w:cs="Tahoma"/>
                <w:color w:val="000000"/>
                <w:szCs w:val="18"/>
              </w:rPr>
              <w:t xml:space="preserve"> </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Microsoft Learning</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Office Groove Enterprise Services</w:t>
            </w:r>
          </w:p>
          <w:p w:rsidR="00456002" w:rsidRPr="004B208C" w:rsidRDefault="00456002" w:rsidP="00A1385C">
            <w:pPr>
              <w:numPr>
                <w:ilvl w:val="0"/>
                <w:numId w:val="66"/>
              </w:numPr>
              <w:spacing w:after="60"/>
              <w:ind w:left="720" w:right="259"/>
              <w:rPr>
                <w:rFonts w:cs="Tahoma"/>
              </w:rPr>
            </w:pPr>
            <w:r w:rsidRPr="004B208C">
              <w:rPr>
                <w:rFonts w:eastAsia="Calibri" w:cs="Tahoma"/>
                <w:color w:val="000000"/>
                <w:szCs w:val="18"/>
              </w:rPr>
              <w:t>System Center 2012 Endpoint Protection</w:t>
            </w:r>
          </w:p>
          <w:p w:rsidR="00456002" w:rsidRPr="004B208C"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4B208C" w:rsidRDefault="001B413E" w:rsidP="00A1385C">
            <w:pPr>
              <w:numPr>
                <w:ilvl w:val="0"/>
                <w:numId w:val="67"/>
              </w:numPr>
              <w:spacing w:after="60"/>
              <w:ind w:left="576" w:right="187"/>
              <w:rPr>
                <w:rFonts w:cs="Tahoma"/>
              </w:rPr>
            </w:pPr>
            <w:r w:rsidRPr="004B208C">
              <w:rPr>
                <w:rFonts w:eastAsia="Calibri" w:cs="Tahoma"/>
                <w:color w:val="000000"/>
                <w:szCs w:val="18"/>
              </w:rPr>
              <w:t xml:space="preserve">Microsoft Dynamics CRM Online </w:t>
            </w:r>
          </w:p>
          <w:p w:rsidR="00456002" w:rsidRPr="004B208C" w:rsidRDefault="00456002" w:rsidP="00A1385C">
            <w:pPr>
              <w:numPr>
                <w:ilvl w:val="0"/>
                <w:numId w:val="67"/>
              </w:numPr>
              <w:spacing w:after="60"/>
              <w:ind w:left="576" w:right="187"/>
              <w:rPr>
                <w:rFonts w:cs="Tahoma"/>
              </w:rPr>
            </w:pPr>
            <w:r w:rsidRPr="004B208C">
              <w:rPr>
                <w:rFonts w:eastAsia="Calibri" w:cs="Tahoma"/>
                <w:color w:val="000000"/>
                <w:szCs w:val="18"/>
              </w:rPr>
              <w:t>Dynamics Mobile</w:t>
            </w:r>
          </w:p>
          <w:p w:rsidR="00456002" w:rsidRPr="004B208C" w:rsidRDefault="00456002" w:rsidP="00A1385C">
            <w:pPr>
              <w:numPr>
                <w:ilvl w:val="0"/>
                <w:numId w:val="67"/>
              </w:numPr>
              <w:spacing w:after="60"/>
              <w:ind w:left="576" w:right="187"/>
              <w:rPr>
                <w:rFonts w:cs="Tahoma"/>
              </w:rPr>
            </w:pPr>
            <w:r w:rsidRPr="004B208C">
              <w:rPr>
                <w:rFonts w:eastAsia="Calibri" w:cs="Tahoma"/>
                <w:color w:val="000000"/>
                <w:szCs w:val="18"/>
              </w:rPr>
              <w:t>Dynamics Onprem Mobile</w:t>
            </w:r>
          </w:p>
          <w:p w:rsidR="009B3FA2" w:rsidRPr="004B208C" w:rsidRDefault="009B3FA2" w:rsidP="00A1385C">
            <w:pPr>
              <w:numPr>
                <w:ilvl w:val="0"/>
                <w:numId w:val="67"/>
              </w:numPr>
              <w:spacing w:after="60"/>
              <w:ind w:left="576" w:right="187"/>
              <w:rPr>
                <w:rFonts w:cs="Tahoma"/>
              </w:rPr>
            </w:pPr>
            <w:r w:rsidRPr="004B208C">
              <w:rPr>
                <w:rFonts w:eastAsia="Calibri" w:cs="Tahoma"/>
                <w:color w:val="000000"/>
                <w:szCs w:val="18"/>
              </w:rPr>
              <w:t>Arquivamento do Exchange Online para Exchange Online</w:t>
            </w:r>
          </w:p>
          <w:p w:rsidR="00456002" w:rsidRPr="004B208C" w:rsidRDefault="00456002" w:rsidP="00A1385C">
            <w:pPr>
              <w:numPr>
                <w:ilvl w:val="0"/>
                <w:numId w:val="67"/>
              </w:numPr>
              <w:spacing w:after="60"/>
              <w:ind w:left="576" w:right="187"/>
              <w:rPr>
                <w:rFonts w:cs="Tahoma"/>
              </w:rPr>
            </w:pPr>
            <w:r w:rsidRPr="004B208C">
              <w:rPr>
                <w:rFonts w:eastAsia="Calibri" w:cs="Tahoma"/>
                <w:color w:val="000000"/>
                <w:szCs w:val="18"/>
              </w:rPr>
              <w:t>Arquivamento do Exchange Online para Exchange Server</w:t>
            </w:r>
          </w:p>
          <w:p w:rsidR="00456002" w:rsidRPr="004B208C" w:rsidRDefault="00456002" w:rsidP="00A1385C">
            <w:pPr>
              <w:numPr>
                <w:ilvl w:val="0"/>
                <w:numId w:val="67"/>
              </w:numPr>
              <w:spacing w:after="60"/>
              <w:ind w:left="576" w:right="187"/>
              <w:rPr>
                <w:rFonts w:cs="Tahoma"/>
              </w:rPr>
            </w:pPr>
            <w:r w:rsidRPr="004B208C">
              <w:rPr>
                <w:rFonts w:eastAsia="Calibri" w:cs="Tahoma"/>
                <w:color w:val="000000"/>
                <w:szCs w:val="18"/>
              </w:rPr>
              <w:t>Quiosque do Exchange Online, Plano 1 e</w:t>
            </w:r>
            <w:r w:rsidR="009869F4">
              <w:rPr>
                <w:rFonts w:eastAsia="Calibri" w:cs="Tahoma"/>
                <w:color w:val="000000"/>
                <w:szCs w:val="18"/>
              </w:rPr>
              <w:t> </w:t>
            </w:r>
            <w:r w:rsidRPr="004B208C">
              <w:rPr>
                <w:rFonts w:eastAsia="Calibri" w:cs="Tahoma"/>
                <w:color w:val="000000"/>
                <w:szCs w:val="18"/>
              </w:rPr>
              <w:t xml:space="preserve">Plano 2 </w:t>
            </w:r>
          </w:p>
          <w:p w:rsidR="00343766" w:rsidRPr="004B208C" w:rsidRDefault="00343766" w:rsidP="00A1385C">
            <w:pPr>
              <w:numPr>
                <w:ilvl w:val="0"/>
                <w:numId w:val="67"/>
              </w:numPr>
              <w:spacing w:after="60"/>
              <w:ind w:left="576" w:right="187"/>
              <w:rPr>
                <w:rFonts w:cs="Tahoma"/>
              </w:rPr>
            </w:pPr>
            <w:r w:rsidRPr="004B208C">
              <w:rPr>
                <w:rFonts w:eastAsia="Calibri" w:cs="Tahoma"/>
                <w:color w:val="000000"/>
                <w:szCs w:val="18"/>
              </w:rPr>
              <w:t>Exchange Online Protection</w:t>
            </w:r>
          </w:p>
          <w:p w:rsidR="00456002" w:rsidRPr="004B208C" w:rsidRDefault="00456002" w:rsidP="00A1385C">
            <w:pPr>
              <w:numPr>
                <w:ilvl w:val="0"/>
                <w:numId w:val="67"/>
              </w:numPr>
              <w:spacing w:after="60"/>
              <w:ind w:left="576" w:right="187"/>
              <w:rPr>
                <w:rFonts w:cs="Tahoma"/>
              </w:rPr>
            </w:pPr>
            <w:r w:rsidRPr="004B208C">
              <w:rPr>
                <w:rFonts w:eastAsia="Calibri" w:cs="Tahoma"/>
                <w:color w:val="000000"/>
                <w:szCs w:val="18"/>
              </w:rPr>
              <w:t>Lync Online Planos 1, 2 e 3</w:t>
            </w:r>
          </w:p>
          <w:p w:rsidR="009B3FA2" w:rsidRPr="004B208C" w:rsidRDefault="00456002" w:rsidP="00A1385C">
            <w:pPr>
              <w:numPr>
                <w:ilvl w:val="0"/>
                <w:numId w:val="67"/>
              </w:numPr>
              <w:spacing w:after="60"/>
              <w:ind w:left="576" w:right="187"/>
              <w:rPr>
                <w:rFonts w:cs="Tahoma"/>
              </w:rPr>
            </w:pPr>
            <w:r w:rsidRPr="004B208C">
              <w:rPr>
                <w:rFonts w:eastAsia="Calibri" w:cs="Tahoma"/>
                <w:color w:val="000000"/>
                <w:szCs w:val="18"/>
              </w:rPr>
              <w:t>Office 365 Education A2, A3 e A4</w:t>
            </w:r>
          </w:p>
          <w:p w:rsidR="00456002" w:rsidRPr="004B208C" w:rsidRDefault="009B3FA2" w:rsidP="00A1385C">
            <w:pPr>
              <w:numPr>
                <w:ilvl w:val="0"/>
                <w:numId w:val="67"/>
              </w:numPr>
              <w:spacing w:after="60"/>
              <w:ind w:left="576" w:right="187"/>
              <w:rPr>
                <w:rFonts w:cs="Tahoma"/>
              </w:rPr>
            </w:pPr>
            <w:r w:rsidRPr="004B208C">
              <w:rPr>
                <w:rFonts w:eastAsia="Calibri" w:cs="Tahoma"/>
                <w:color w:val="000000"/>
                <w:szCs w:val="18"/>
              </w:rPr>
              <w:t>Office 365 Enterprise K1, E1, E3 e E4</w:t>
            </w:r>
          </w:p>
          <w:p w:rsidR="00061A45" w:rsidRPr="004B208C" w:rsidRDefault="008368B4" w:rsidP="00A1385C">
            <w:pPr>
              <w:numPr>
                <w:ilvl w:val="0"/>
                <w:numId w:val="67"/>
              </w:numPr>
              <w:spacing w:after="60"/>
              <w:ind w:left="576" w:right="187"/>
              <w:rPr>
                <w:rFonts w:cs="Tahoma"/>
              </w:rPr>
            </w:pPr>
            <w:r w:rsidRPr="004B208C">
              <w:rPr>
                <w:rFonts w:eastAsia="Calibri" w:cs="Tahoma"/>
                <w:color w:val="000000"/>
                <w:szCs w:val="18"/>
              </w:rPr>
              <w:t>Office 365 ProPlus</w:t>
            </w:r>
          </w:p>
          <w:p w:rsidR="00456002" w:rsidRPr="004B208C" w:rsidRDefault="00456002" w:rsidP="00A1385C">
            <w:pPr>
              <w:numPr>
                <w:ilvl w:val="0"/>
                <w:numId w:val="67"/>
              </w:numPr>
              <w:spacing w:after="60"/>
              <w:ind w:left="576" w:right="187"/>
              <w:rPr>
                <w:rFonts w:cs="Tahoma"/>
              </w:rPr>
            </w:pPr>
            <w:r w:rsidRPr="004B208C">
              <w:rPr>
                <w:rFonts w:eastAsia="Calibri" w:cs="Tahoma"/>
                <w:color w:val="000000"/>
                <w:szCs w:val="18"/>
              </w:rPr>
              <w:t>Aplicativos da Web do Office</w:t>
            </w:r>
          </w:p>
          <w:p w:rsidR="008368B4" w:rsidRPr="004B208C" w:rsidRDefault="008368B4" w:rsidP="00A1385C">
            <w:pPr>
              <w:numPr>
                <w:ilvl w:val="0"/>
                <w:numId w:val="67"/>
              </w:numPr>
              <w:spacing w:after="60"/>
              <w:ind w:left="576" w:right="187"/>
              <w:rPr>
                <w:rFonts w:cs="Tahoma"/>
              </w:rPr>
            </w:pPr>
            <w:r w:rsidRPr="004B208C">
              <w:rPr>
                <w:rFonts w:eastAsia="Calibri" w:cs="Tahoma"/>
                <w:color w:val="000000"/>
                <w:szCs w:val="18"/>
              </w:rPr>
              <w:t>Project Online</w:t>
            </w:r>
          </w:p>
          <w:p w:rsidR="008368B4" w:rsidRPr="004B208C" w:rsidRDefault="008368B4" w:rsidP="00A1385C">
            <w:pPr>
              <w:numPr>
                <w:ilvl w:val="0"/>
                <w:numId w:val="67"/>
              </w:numPr>
              <w:spacing w:after="60"/>
              <w:ind w:left="576" w:right="187"/>
              <w:rPr>
                <w:rFonts w:cs="Tahoma"/>
              </w:rPr>
            </w:pPr>
            <w:r w:rsidRPr="004B208C">
              <w:rPr>
                <w:rFonts w:eastAsia="Calibri" w:cs="Tahoma"/>
                <w:color w:val="000000"/>
                <w:szCs w:val="18"/>
              </w:rPr>
              <w:t>Project Pro para Office 365</w:t>
            </w:r>
          </w:p>
          <w:p w:rsidR="00523BAF" w:rsidRPr="004B208C" w:rsidRDefault="00456002" w:rsidP="00A1385C">
            <w:pPr>
              <w:numPr>
                <w:ilvl w:val="0"/>
                <w:numId w:val="67"/>
              </w:numPr>
              <w:spacing w:after="60"/>
              <w:ind w:left="576" w:right="187"/>
              <w:rPr>
                <w:rFonts w:cs="Tahoma"/>
              </w:rPr>
            </w:pPr>
            <w:r w:rsidRPr="004B208C">
              <w:rPr>
                <w:rFonts w:eastAsia="Calibri" w:cs="Tahoma"/>
                <w:color w:val="000000"/>
                <w:szCs w:val="18"/>
              </w:rPr>
              <w:t>SharePoint Online Plan 1 e Plano 2</w:t>
            </w:r>
          </w:p>
          <w:p w:rsidR="00456002" w:rsidRPr="004B208C" w:rsidRDefault="00523BAF" w:rsidP="00A1385C">
            <w:pPr>
              <w:numPr>
                <w:ilvl w:val="0"/>
                <w:numId w:val="67"/>
              </w:numPr>
              <w:spacing w:after="60"/>
              <w:ind w:left="576" w:right="187"/>
              <w:rPr>
                <w:rFonts w:cs="Tahoma"/>
              </w:rPr>
            </w:pPr>
            <w:r w:rsidRPr="004B208C">
              <w:rPr>
                <w:rFonts w:eastAsia="Calibri" w:cs="Tahoma"/>
                <w:color w:val="000000"/>
                <w:szCs w:val="18"/>
              </w:rPr>
              <w:t xml:space="preserve">Visio Pro para Office 365 </w:t>
            </w:r>
          </w:p>
          <w:p w:rsidR="00D8521B" w:rsidRPr="004B208C" w:rsidRDefault="00D8521B" w:rsidP="00A1385C">
            <w:pPr>
              <w:numPr>
                <w:ilvl w:val="0"/>
                <w:numId w:val="67"/>
              </w:numPr>
              <w:spacing w:after="60"/>
              <w:ind w:left="576" w:right="187"/>
              <w:rPr>
                <w:rFonts w:cs="Tahoma"/>
              </w:rPr>
            </w:pPr>
            <w:r w:rsidRPr="004B208C">
              <w:rPr>
                <w:rFonts w:eastAsia="Calibri" w:cs="Tahoma"/>
                <w:color w:val="000000"/>
                <w:szCs w:val="18"/>
              </w:rPr>
              <w:t>Gerenciamento de Direitos do Active Directory do Windows Azure</w:t>
            </w:r>
          </w:p>
          <w:p w:rsidR="002653EB" w:rsidRPr="004B208C" w:rsidRDefault="002653EB" w:rsidP="00A1385C">
            <w:pPr>
              <w:numPr>
                <w:ilvl w:val="0"/>
                <w:numId w:val="67"/>
              </w:numPr>
              <w:spacing w:after="60"/>
              <w:ind w:left="576" w:right="187"/>
              <w:rPr>
                <w:rFonts w:cs="Tahoma"/>
              </w:rPr>
            </w:pPr>
            <w:r w:rsidRPr="004B208C">
              <w:rPr>
                <w:rFonts w:eastAsia="Calibri" w:cs="Tahoma"/>
                <w:color w:val="000000"/>
                <w:szCs w:val="18"/>
              </w:rPr>
              <w:t>Serviços do Windows Azure</w:t>
            </w:r>
          </w:p>
          <w:p w:rsidR="00456002" w:rsidRPr="004B208C" w:rsidRDefault="00456002" w:rsidP="00A1385C">
            <w:pPr>
              <w:numPr>
                <w:ilvl w:val="0"/>
                <w:numId w:val="67"/>
              </w:numPr>
              <w:spacing w:after="60"/>
              <w:ind w:left="576" w:right="187"/>
              <w:rPr>
                <w:rFonts w:cs="Tahoma"/>
              </w:rPr>
            </w:pPr>
            <w:r w:rsidRPr="004B208C">
              <w:rPr>
                <w:rFonts w:eastAsia="Calibri" w:cs="Tahoma"/>
                <w:color w:val="000000"/>
                <w:szCs w:val="18"/>
              </w:rPr>
              <w:t>Windows Intune</w:t>
            </w:r>
          </w:p>
          <w:p w:rsidR="00456002" w:rsidRPr="004B208C" w:rsidRDefault="003929D1" w:rsidP="00A1385C">
            <w:pPr>
              <w:numPr>
                <w:ilvl w:val="0"/>
                <w:numId w:val="67"/>
              </w:numPr>
              <w:spacing w:after="60"/>
              <w:ind w:left="576" w:right="187"/>
              <w:rPr>
                <w:rFonts w:cs="Tahoma"/>
              </w:rPr>
            </w:pPr>
            <w:r w:rsidRPr="004B208C">
              <w:rPr>
                <w:rFonts w:eastAsia="Calibri" w:cs="Tahoma"/>
                <w:color w:val="000000"/>
                <w:szCs w:val="18"/>
              </w:rPr>
              <w:t>Complemento do Windows Intune</w:t>
            </w:r>
          </w:p>
          <w:p w:rsidR="009B3FA2" w:rsidRPr="004B208C" w:rsidRDefault="009B3FA2" w:rsidP="00A1385C">
            <w:pPr>
              <w:numPr>
                <w:ilvl w:val="0"/>
                <w:numId w:val="67"/>
              </w:numPr>
              <w:spacing w:after="60"/>
              <w:ind w:left="576" w:right="187"/>
              <w:rPr>
                <w:rFonts w:eastAsia="Calibri" w:cs="Tahoma"/>
                <w:szCs w:val="18"/>
              </w:rPr>
            </w:pPr>
            <w:r w:rsidRPr="004B208C">
              <w:rPr>
                <w:rFonts w:eastAsia="Calibri" w:cs="Tahoma"/>
                <w:color w:val="000000"/>
                <w:szCs w:val="18"/>
              </w:rPr>
              <w:t>Yammer Enterprise</w:t>
            </w:r>
          </w:p>
        </w:tc>
      </w:tr>
    </w:tbl>
    <w:p w:rsidR="00171817" w:rsidRDefault="00171817" w:rsidP="00212CC6">
      <w:pPr>
        <w:pStyle w:val="Heading2"/>
        <w:ind w:left="0"/>
        <w:rPr>
          <w:rFonts w:ascii="Tahoma" w:hAnsi="Tahoma" w:cs="Tahoma"/>
        </w:rPr>
      </w:pPr>
    </w:p>
    <w:p w:rsidR="00FE592A" w:rsidRDefault="00FE592A" w:rsidP="00FE592A"/>
    <w:p w:rsidR="00FE592A" w:rsidRDefault="00FE592A" w:rsidP="00FE592A"/>
    <w:p w:rsidR="00FE592A" w:rsidRDefault="00FE592A" w:rsidP="00FE592A"/>
    <w:p w:rsidR="00FE592A" w:rsidRDefault="00FE592A" w:rsidP="00FE592A"/>
    <w:p w:rsidR="00FE592A" w:rsidRPr="00FE592A" w:rsidRDefault="00FE592A" w:rsidP="00FE592A"/>
    <w:p w:rsidR="00456002" w:rsidRPr="004B208C" w:rsidRDefault="00456002" w:rsidP="00171817">
      <w:pPr>
        <w:pStyle w:val="Heading2"/>
        <w:ind w:left="0"/>
        <w:rPr>
          <w:rFonts w:ascii="Tahoma" w:hAnsi="Tahoma" w:cs="Tahoma"/>
        </w:rPr>
      </w:pPr>
      <w:bookmarkStart w:id="657" w:name="_Toc336338209"/>
      <w:bookmarkStart w:id="658" w:name="_Toc370981324"/>
      <w:r w:rsidRPr="004B208C">
        <w:rPr>
          <w:rFonts w:ascii="Tahoma" w:hAnsi="Tahoma" w:cs="Tahoma"/>
        </w:rPr>
        <w:lastRenderedPageBreak/>
        <w:t>Compras e renovação automática em Serviços Online</w:t>
      </w:r>
      <w:bookmarkEnd w:id="657"/>
      <w:bookmarkEnd w:id="658"/>
      <w:r w:rsidRPr="004B208C">
        <w:rPr>
          <w:rFonts w:ascii="Tahoma" w:hAnsi="Tahoma" w:cs="Tahoma"/>
        </w:rPr>
        <w:t xml:space="preserve"> </w:t>
      </w:r>
    </w:p>
    <w:p w:rsidR="00456002" w:rsidRPr="004B208C" w:rsidRDefault="00456002" w:rsidP="00171817">
      <w:pPr>
        <w:outlineLvl w:val="2"/>
        <w:rPr>
          <w:rFonts w:cs="Tahoma"/>
        </w:rPr>
      </w:pPr>
    </w:p>
    <w:p w:rsidR="00456002" w:rsidRPr="004B208C" w:rsidRDefault="00456002" w:rsidP="00212CC6">
      <w:pPr>
        <w:outlineLvl w:val="2"/>
        <w:rPr>
          <w:rFonts w:cs="Tahoma"/>
        </w:rPr>
      </w:pPr>
      <w:r w:rsidRPr="004B208C">
        <w:rPr>
          <w:rFonts w:cs="Tahoma"/>
          <w:szCs w:val="18"/>
        </w:rPr>
        <w:t>Os clientes deverão ter um contrato de Licenciamento por Volume ativo para solicitar ou renovar assinaturas de serviços online no Licenciamento por Volume.</w:t>
      </w:r>
      <w:r w:rsidR="00172F11">
        <w:rPr>
          <w:rFonts w:cs="Tahoma"/>
          <w:szCs w:val="18"/>
        </w:rPr>
        <w:t xml:space="preserve"> </w:t>
      </w:r>
      <w:r w:rsidRPr="004B208C">
        <w:rPr>
          <w:rFonts w:cs="Tahoma"/>
          <w:szCs w:val="18"/>
        </w:rPr>
        <w:t>Uma assinatura de serviços online será automaticamente renovada no</w:t>
      </w:r>
      <w:r w:rsidR="00FE592A">
        <w:rPr>
          <w:rFonts w:cs="Tahoma"/>
          <w:szCs w:val="18"/>
        </w:rPr>
        <w:t> </w:t>
      </w:r>
      <w:r w:rsidRPr="004B208C">
        <w:rPr>
          <w:rFonts w:cs="Tahoma"/>
          <w:szCs w:val="18"/>
        </w:rPr>
        <w:t xml:space="preserve">dia seguinte ao término do prazo da assinatura, a não ser que o cliente opte por não renová-la </w:t>
      </w:r>
      <w:r w:rsidRPr="004B208C">
        <w:rPr>
          <w:rFonts w:cs="Tahoma"/>
          <w:color w:val="000000"/>
          <w:szCs w:val="18"/>
        </w:rPr>
        <w:t>recusando a</w:t>
      </w:r>
      <w:r w:rsidR="00FE592A">
        <w:rPr>
          <w:rFonts w:cs="Tahoma"/>
          <w:color w:val="000000"/>
          <w:szCs w:val="18"/>
        </w:rPr>
        <w:t> </w:t>
      </w:r>
      <w:r w:rsidRPr="004B208C">
        <w:rPr>
          <w:rFonts w:cs="Tahoma"/>
          <w:color w:val="000000"/>
          <w:szCs w:val="18"/>
        </w:rPr>
        <w:t>renovação automática</w:t>
      </w:r>
      <w:r w:rsidRPr="004B208C">
        <w:rPr>
          <w:rFonts w:cs="Tahoma"/>
          <w:bCs/>
          <w:color w:val="000000"/>
        </w:rPr>
        <w:t xml:space="preserve"> no mínimo 5</w:t>
      </w:r>
      <w:r w:rsidR="00172F11">
        <w:rPr>
          <w:rFonts w:cs="Tahoma"/>
          <w:bCs/>
          <w:color w:val="000000"/>
        </w:rPr>
        <w:t xml:space="preserve"> </w:t>
      </w:r>
      <w:r w:rsidRPr="004B208C">
        <w:rPr>
          <w:rFonts w:cs="Tahoma"/>
          <w:szCs w:val="18"/>
        </w:rPr>
        <w:t>dias antes da assinatura expirar.</w:t>
      </w:r>
      <w:r w:rsidR="00172F11">
        <w:rPr>
          <w:rFonts w:cs="Tahoma"/>
          <w:szCs w:val="18"/>
        </w:rPr>
        <w:t xml:space="preserve"> </w:t>
      </w:r>
      <w:r w:rsidRPr="004B208C">
        <w:rPr>
          <w:rFonts w:cs="Tahoma"/>
          <w:szCs w:val="18"/>
        </w:rPr>
        <w:t>Na renovação automática, a Microsoft enviará à</w:t>
      </w:r>
      <w:r w:rsidR="00FE592A">
        <w:rPr>
          <w:rFonts w:cs="Tahoma"/>
          <w:szCs w:val="18"/>
        </w:rPr>
        <w:t> </w:t>
      </w:r>
      <w:r w:rsidRPr="004B208C">
        <w:rPr>
          <w:rFonts w:cs="Tahoma"/>
          <w:szCs w:val="18"/>
        </w:rPr>
        <w:t>parte registrada para cobrança uma fatura referente ao número de licenças em vias de terminar com a mesma opção de prazo de assinatura, se o contrato inicial do cliente permanecer ativo.</w:t>
      </w:r>
      <w:r w:rsidR="00172F11">
        <w:rPr>
          <w:rFonts w:cs="Tahoma"/>
          <w:szCs w:val="18"/>
        </w:rPr>
        <w:t xml:space="preserve"> </w:t>
      </w:r>
      <w:r w:rsidRPr="004B208C">
        <w:rPr>
          <w:rFonts w:cs="Tahoma"/>
          <w:szCs w:val="18"/>
        </w:rPr>
        <w:t>As assinaturas dos serviços online com contratos Government e Academic só serão renovadas automaticamente se o cliente escolher a opção de renovação automática.</w:t>
      </w:r>
      <w:r w:rsidR="00172F11">
        <w:rPr>
          <w:rFonts w:cs="Tahoma"/>
          <w:szCs w:val="18"/>
        </w:rPr>
        <w:t xml:space="preserve"> </w:t>
      </w:r>
      <w:r w:rsidRPr="004B208C">
        <w:rPr>
          <w:rFonts w:cs="Tahoma"/>
          <w:szCs w:val="18"/>
        </w:rPr>
        <w:t>Os preços serão redefinidos por ocasião da renovação.</w:t>
      </w:r>
      <w:r w:rsidR="00172F11">
        <w:rPr>
          <w:rFonts w:cs="Tahoma"/>
          <w:szCs w:val="18"/>
        </w:rPr>
        <w:t xml:space="preserve"> </w:t>
      </w:r>
      <w:r w:rsidRPr="004B208C">
        <w:rPr>
          <w:rFonts w:cs="Tahoma"/>
          <w:szCs w:val="18"/>
        </w:rPr>
        <w:t>A opção de renovação automática não está disponível para Serviços do Windows Azure.</w:t>
      </w:r>
    </w:p>
    <w:p w:rsidR="00116EDC" w:rsidRPr="004B208C" w:rsidRDefault="00116EDC" w:rsidP="00116EDC">
      <w:pPr>
        <w:rPr>
          <w:rFonts w:cs="Tahoma"/>
        </w:rPr>
      </w:pPr>
    </w:p>
    <w:p w:rsidR="00456002" w:rsidRPr="004B208C" w:rsidRDefault="00456002" w:rsidP="00171817">
      <w:pPr>
        <w:pStyle w:val="Heading2"/>
        <w:ind w:left="0"/>
        <w:rPr>
          <w:rFonts w:ascii="Tahoma" w:hAnsi="Tahoma" w:cs="Tahoma"/>
        </w:rPr>
      </w:pPr>
      <w:bookmarkStart w:id="659" w:name="_Toc336338210"/>
      <w:bookmarkStart w:id="660" w:name="_Toc370981325"/>
      <w:r w:rsidRPr="004B208C">
        <w:rPr>
          <w:rFonts w:ascii="Tahoma" w:hAnsi="Tahoma" w:cs="Tahoma"/>
        </w:rPr>
        <w:t>Gerenciamento do status da renovação e da renovação automática</w:t>
      </w:r>
      <w:bookmarkEnd w:id="659"/>
      <w:bookmarkEnd w:id="660"/>
    </w:p>
    <w:p w:rsidR="00456002" w:rsidRPr="004B208C" w:rsidRDefault="00456002" w:rsidP="00171817">
      <w:pPr>
        <w:outlineLvl w:val="2"/>
        <w:rPr>
          <w:rFonts w:cs="Tahoma"/>
        </w:rPr>
      </w:pPr>
    </w:p>
    <w:p w:rsidR="00456002" w:rsidRPr="004B208C" w:rsidRDefault="00456002" w:rsidP="00171817">
      <w:pPr>
        <w:outlineLvl w:val="2"/>
        <w:rPr>
          <w:rFonts w:cs="Tahoma"/>
        </w:rPr>
      </w:pPr>
      <w:r w:rsidRPr="004B208C">
        <w:rPr>
          <w:rFonts w:cs="Tahoma"/>
          <w:szCs w:val="18"/>
        </w:rPr>
        <w:t>Os clientes receberão notificações de renovação antes do fim do prazo da assinatura dos serviços online.</w:t>
      </w:r>
      <w:r w:rsidR="00172F11">
        <w:rPr>
          <w:rFonts w:cs="Tahoma"/>
          <w:szCs w:val="18"/>
        </w:rPr>
        <w:t xml:space="preserve"> </w:t>
      </w:r>
      <w:r w:rsidRPr="004B208C">
        <w:rPr>
          <w:rFonts w:cs="Tahoma"/>
          <w:szCs w:val="18"/>
        </w:rPr>
        <w:t>Os clientes poderão cancelar a renovação ou alterar um pedido de renovação automática caso procedam pelo menos 30 dias antes do fim do prazo da assinatura.</w:t>
      </w:r>
      <w:r w:rsidR="00172F11">
        <w:rPr>
          <w:rFonts w:cs="Tahoma"/>
          <w:szCs w:val="18"/>
        </w:rPr>
        <w:t xml:space="preserve"> </w:t>
      </w:r>
      <w:r w:rsidRPr="004B208C">
        <w:rPr>
          <w:rFonts w:cs="Tahoma"/>
          <w:szCs w:val="18"/>
        </w:rPr>
        <w:t>Além disso, poderão alterar um pedido de renovação fazendo um pedido ao revendedor 30 dias antes do término da assinatura.</w:t>
      </w:r>
      <w:r w:rsidR="00172F11">
        <w:rPr>
          <w:rFonts w:cs="Tahoma"/>
          <w:szCs w:val="18"/>
        </w:rPr>
        <w:t xml:space="preserve"> </w:t>
      </w:r>
      <w:r w:rsidRPr="004B208C">
        <w:rPr>
          <w:rFonts w:cs="Tahoma"/>
          <w:szCs w:val="18"/>
        </w:rPr>
        <w:t xml:space="preserve">Os clientes poderão cancelar a renovação de uma assinatura, enviando à Microsoft uma notificação por escrito com 30 dias de antecedência em um formulário disponibilizado pelo revendedor da Microsoft ou no site </w:t>
      </w:r>
      <w:r w:rsidR="00FE592A" w:rsidRPr="00052DA2">
        <w:rPr>
          <w:rFonts w:cs="Tahoma"/>
          <w:szCs w:val="18"/>
        </w:rPr>
        <w:t>http://microsoft.com/licensing/contracts</w:t>
      </w:r>
      <w:r w:rsidRPr="004B208C">
        <w:rPr>
          <w:rFonts w:cs="Tahoma"/>
          <w:szCs w:val="18"/>
        </w:rPr>
        <w:t>.</w:t>
      </w:r>
      <w:r w:rsidR="00172F11">
        <w:rPr>
          <w:rFonts w:cs="Tahoma"/>
          <w:szCs w:val="18"/>
        </w:rPr>
        <w:t xml:space="preserve"> </w:t>
      </w:r>
      <w:r w:rsidRPr="004B208C">
        <w:rPr>
          <w:rFonts w:cs="Tahoma"/>
          <w:szCs w:val="18"/>
        </w:rPr>
        <w:t>Todas as renovações de serviços iniciam um novo prazo de assinatura que começa no primeiro dia do mês do calendário seguinte após o término do prazo da</w:t>
      </w:r>
      <w:r w:rsidR="00FE592A">
        <w:rPr>
          <w:rFonts w:cs="Tahoma"/>
          <w:szCs w:val="18"/>
        </w:rPr>
        <w:t> </w:t>
      </w:r>
      <w:r w:rsidRPr="004B208C">
        <w:rPr>
          <w:rFonts w:cs="Tahoma"/>
          <w:szCs w:val="18"/>
        </w:rPr>
        <w:t>assinatura anterior.</w:t>
      </w:r>
    </w:p>
    <w:p w:rsidR="00456002" w:rsidRPr="004B208C" w:rsidRDefault="00456002" w:rsidP="00171817">
      <w:pPr>
        <w:outlineLvl w:val="2"/>
        <w:rPr>
          <w:rFonts w:cs="Tahoma"/>
        </w:rPr>
      </w:pPr>
    </w:p>
    <w:p w:rsidR="00456002" w:rsidRPr="004B208C" w:rsidRDefault="00456002" w:rsidP="00171817">
      <w:pPr>
        <w:outlineLvl w:val="2"/>
        <w:rPr>
          <w:rFonts w:cs="Tahoma"/>
        </w:rPr>
      </w:pPr>
      <w:r w:rsidRPr="004B208C">
        <w:rPr>
          <w:rFonts w:cs="Tahoma"/>
          <w:szCs w:val="18"/>
        </w:rPr>
        <w:t>Os clientes podem aumentar o compromisso de assinatura dos serviços online, mas não podem reduzi-los durante o</w:t>
      </w:r>
      <w:r w:rsidR="00FE592A">
        <w:rPr>
          <w:rFonts w:cs="Tahoma"/>
          <w:szCs w:val="18"/>
        </w:rPr>
        <w:t> </w:t>
      </w:r>
      <w:r w:rsidRPr="004B208C">
        <w:rPr>
          <w:rFonts w:cs="Tahoma"/>
          <w:szCs w:val="18"/>
        </w:rPr>
        <w:t>prazo da assinatura dos serviços online, salvo se for permitido em seus contratos. Para assegurar que usuários adicionais sejam provisionados, o cliente deverá fazer um pedido para cada aumento no serviço da assinatura.</w:t>
      </w:r>
      <w:r w:rsidR="00172F11">
        <w:rPr>
          <w:rFonts w:cs="Tahoma"/>
          <w:szCs w:val="18"/>
        </w:rPr>
        <w:t xml:space="preserve"> </w:t>
      </w:r>
    </w:p>
    <w:p w:rsidR="00BD1A6A" w:rsidRPr="009869F4" w:rsidRDefault="00BD1A6A" w:rsidP="00456002">
      <w:pPr>
        <w:pStyle w:val="Heading2"/>
        <w:ind w:left="0"/>
        <w:rPr>
          <w:rFonts w:ascii="Tahoma" w:hAnsi="Tahoma" w:cs="Tahoma"/>
          <w:b w:val="0"/>
          <w:sz w:val="16"/>
          <w:szCs w:val="16"/>
        </w:rPr>
      </w:pPr>
      <w:bookmarkStart w:id="661" w:name="_Toc336338211"/>
    </w:p>
    <w:p w:rsidR="00BD1A6A" w:rsidRPr="00FE592A" w:rsidRDefault="00BD1A6A">
      <w:pPr>
        <w:rPr>
          <w:rFonts w:cs="Tahoma"/>
          <w:szCs w:val="18"/>
        </w:rPr>
      </w:pPr>
    </w:p>
    <w:p w:rsidR="00456002" w:rsidRPr="004B208C" w:rsidRDefault="00456002" w:rsidP="00456002">
      <w:pPr>
        <w:pStyle w:val="Heading2"/>
        <w:ind w:left="0"/>
        <w:rPr>
          <w:rFonts w:ascii="Tahoma" w:hAnsi="Tahoma" w:cs="Tahoma"/>
        </w:rPr>
      </w:pPr>
      <w:bookmarkStart w:id="662" w:name="_Toc370981326"/>
      <w:r w:rsidRPr="004B208C">
        <w:rPr>
          <w:rFonts w:ascii="Tahoma" w:hAnsi="Tahoma" w:cs="Tahoma"/>
        </w:rPr>
        <w:t>Cancelamento de Serviços Online</w:t>
      </w:r>
      <w:bookmarkEnd w:id="661"/>
      <w:bookmarkEnd w:id="662"/>
    </w:p>
    <w:p w:rsidR="00456002" w:rsidRPr="004B208C" w:rsidRDefault="00456002" w:rsidP="00456002">
      <w:pPr>
        <w:outlineLvl w:val="2"/>
        <w:rPr>
          <w:rFonts w:cs="Tahoma"/>
        </w:rPr>
      </w:pPr>
    </w:p>
    <w:p w:rsidR="00456002" w:rsidRPr="000C5B49" w:rsidRDefault="00456002" w:rsidP="00116EDC">
      <w:pPr>
        <w:outlineLvl w:val="2"/>
        <w:rPr>
          <w:rFonts w:cs="Tahoma"/>
          <w:spacing w:val="-1"/>
        </w:rPr>
      </w:pPr>
      <w:r w:rsidRPr="000C5B49">
        <w:rPr>
          <w:rFonts w:cs="Tahoma"/>
          <w:spacing w:val="-1"/>
          <w:szCs w:val="18"/>
        </w:rPr>
        <w:t>É possível cancelar assinaturas de um serviço online sem penalidades em até 30 (trinta) dias após o pedido inicial ou</w:t>
      </w:r>
      <w:r w:rsidR="000C5B49">
        <w:rPr>
          <w:rFonts w:cs="Tahoma"/>
          <w:spacing w:val="-1"/>
          <w:szCs w:val="18"/>
        </w:rPr>
        <w:t> </w:t>
      </w:r>
      <w:r w:rsidRPr="000C5B49">
        <w:rPr>
          <w:rFonts w:cs="Tahoma"/>
          <w:spacing w:val="-1"/>
          <w:szCs w:val="18"/>
        </w:rPr>
        <w:t>a</w:t>
      </w:r>
      <w:r w:rsidR="000C5B49">
        <w:rPr>
          <w:rFonts w:cs="Tahoma"/>
          <w:spacing w:val="-1"/>
          <w:szCs w:val="18"/>
        </w:rPr>
        <w:t> </w:t>
      </w:r>
      <w:r w:rsidRPr="000C5B49">
        <w:rPr>
          <w:rFonts w:cs="Tahoma"/>
          <w:spacing w:val="-1"/>
          <w:szCs w:val="18"/>
        </w:rPr>
        <w:t>reserva de licença inicial de um serviço, o que ocorrer primeiro.</w:t>
      </w:r>
      <w:r w:rsidR="00172F11" w:rsidRPr="000C5B49">
        <w:rPr>
          <w:rFonts w:cs="Tahoma"/>
          <w:spacing w:val="-1"/>
          <w:szCs w:val="18"/>
        </w:rPr>
        <w:t xml:space="preserve"> </w:t>
      </w:r>
      <w:r w:rsidRPr="000C5B49">
        <w:rPr>
          <w:rFonts w:cs="Tahoma"/>
          <w:spacing w:val="-1"/>
          <w:szCs w:val="18"/>
        </w:rPr>
        <w:t>Consulte as seções desta Lista de Produtos referentes a produtos específicos para obter informações sobre termos de cancelamento adicionais que possam existir.</w:t>
      </w:r>
    </w:p>
    <w:p w:rsidR="00116EDC" w:rsidRPr="004B208C" w:rsidRDefault="00116EDC" w:rsidP="00116EDC">
      <w:pPr>
        <w:outlineLvl w:val="2"/>
        <w:rPr>
          <w:rFonts w:cs="Tahoma"/>
        </w:rPr>
      </w:pPr>
    </w:p>
    <w:p w:rsidR="00456002" w:rsidRPr="004B208C" w:rsidRDefault="00456002" w:rsidP="00456002">
      <w:pPr>
        <w:pStyle w:val="Heading2"/>
        <w:ind w:left="0"/>
        <w:rPr>
          <w:rFonts w:ascii="Tahoma" w:hAnsi="Tahoma" w:cs="Tahoma"/>
        </w:rPr>
      </w:pPr>
      <w:bookmarkStart w:id="663" w:name="_Toc328145982"/>
      <w:bookmarkStart w:id="664" w:name="_Toc336338212"/>
      <w:bookmarkStart w:id="665" w:name="_Toc370981327"/>
      <w:r w:rsidRPr="004B208C">
        <w:rPr>
          <w:rFonts w:ascii="Tahoma" w:hAnsi="Tahoma" w:cs="Tahoma"/>
        </w:rPr>
        <w:t>Opções de termos de pagamento de Serviços Online</w:t>
      </w:r>
      <w:bookmarkEnd w:id="663"/>
      <w:bookmarkEnd w:id="664"/>
      <w:bookmarkEnd w:id="665"/>
    </w:p>
    <w:p w:rsidR="00456002" w:rsidRPr="004B208C" w:rsidRDefault="00456002" w:rsidP="00456002">
      <w:pPr>
        <w:ind w:left="720"/>
        <w:outlineLvl w:val="2"/>
        <w:rPr>
          <w:rFonts w:cs="Tahoma"/>
        </w:rPr>
      </w:pPr>
    </w:p>
    <w:p w:rsidR="00456002" w:rsidRPr="004B208C" w:rsidRDefault="00456002" w:rsidP="00456002">
      <w:pPr>
        <w:outlineLvl w:val="2"/>
        <w:rPr>
          <w:rFonts w:cs="Tahoma"/>
        </w:rPr>
      </w:pPr>
      <w:r w:rsidRPr="004B208C">
        <w:rPr>
          <w:rFonts w:cs="Tahoma"/>
          <w:szCs w:val="18"/>
        </w:rPr>
        <w:t>Os clientes deverão pagar por assinaturas dos serviços online de um ano integralmente no início do prazo da assinatura.</w:t>
      </w:r>
      <w:r w:rsidR="00172F11">
        <w:rPr>
          <w:rFonts w:cs="Tahoma"/>
          <w:szCs w:val="18"/>
        </w:rPr>
        <w:t xml:space="preserve"> </w:t>
      </w:r>
      <w:r w:rsidRPr="004B208C">
        <w:rPr>
          <w:rFonts w:cs="Tahoma"/>
          <w:szCs w:val="18"/>
        </w:rPr>
        <w:t>Os clientes que optarem pelos termos da assinatura coextensiva, ou “Alinhar-se com o 2° Aniversário” no Select Plus, dispõem destas duas formas de pagamento: (1) pagamento integral ao efetuar o pedido cobrindo todo o</w:t>
      </w:r>
      <w:r w:rsidR="009869F4">
        <w:rPr>
          <w:rFonts w:cs="Tahoma"/>
          <w:szCs w:val="18"/>
        </w:rPr>
        <w:t> </w:t>
      </w:r>
      <w:r w:rsidRPr="004B208C">
        <w:rPr>
          <w:rFonts w:cs="Tahoma"/>
          <w:szCs w:val="18"/>
        </w:rPr>
        <w:t>prazo da assinatura ou (2) pagamentos parcelados, sendo o primeiro pagamento ao efetuar o pedido que cobre o</w:t>
      </w:r>
      <w:r w:rsidR="00FE592A">
        <w:rPr>
          <w:rFonts w:cs="Tahoma"/>
          <w:szCs w:val="18"/>
        </w:rPr>
        <w:t> </w:t>
      </w:r>
      <w:r w:rsidRPr="004B208C">
        <w:rPr>
          <w:rFonts w:cs="Tahoma"/>
          <w:szCs w:val="18"/>
        </w:rPr>
        <w:t>restante do ano contratual corrente e os demais pagamentos com vencimento em cada aniversário do contrato (no</w:t>
      </w:r>
      <w:r w:rsidR="00FE592A">
        <w:rPr>
          <w:rFonts w:cs="Tahoma"/>
          <w:szCs w:val="18"/>
        </w:rPr>
        <w:t> </w:t>
      </w:r>
      <w:r w:rsidRPr="004B208C">
        <w:rPr>
          <w:rFonts w:cs="Tahoma"/>
          <w:szCs w:val="18"/>
        </w:rPr>
        <w:t>caso do Select Plus, o aniversário da afiliada é usado em vez do aniversário do contrato).</w:t>
      </w:r>
      <w:r w:rsidR="00172F11">
        <w:rPr>
          <w:rFonts w:cs="Tahoma"/>
          <w:szCs w:val="18"/>
        </w:rPr>
        <w:t xml:space="preserve"> </w:t>
      </w:r>
      <w:r w:rsidRPr="004B208C">
        <w:rPr>
          <w:rFonts w:cs="Tahoma"/>
          <w:szCs w:val="18"/>
        </w:rPr>
        <w:t>Uma terceira opção está disponível para os clientes do Select Plus: cobrança no aniversário do pedido, sendo o primeiro pagamento ao</w:t>
      </w:r>
      <w:r w:rsidR="00FE592A">
        <w:rPr>
          <w:rFonts w:cs="Tahoma"/>
          <w:szCs w:val="18"/>
        </w:rPr>
        <w:t> </w:t>
      </w:r>
      <w:r w:rsidRPr="004B208C">
        <w:rPr>
          <w:rFonts w:cs="Tahoma"/>
          <w:szCs w:val="18"/>
        </w:rPr>
        <w:t>efetuar o pedido que cobre 12 meses e os demais pagamentos com vencimento em cada aniversário do pedido (o</w:t>
      </w:r>
      <w:r w:rsidR="00FE592A">
        <w:rPr>
          <w:rFonts w:cs="Tahoma"/>
          <w:szCs w:val="18"/>
        </w:rPr>
        <w:t> </w:t>
      </w:r>
      <w:r w:rsidRPr="004B208C">
        <w:rPr>
          <w:rFonts w:cs="Tahoma"/>
          <w:szCs w:val="18"/>
        </w:rPr>
        <w:t>último pagamento cobrirá o saldo entre o aniversário do pedido e a data de término da cobertura da assinatura).</w:t>
      </w:r>
    </w:p>
    <w:p w:rsidR="00456002" w:rsidRPr="004B208C" w:rsidRDefault="00456002" w:rsidP="00456002">
      <w:pPr>
        <w:outlineLvl w:val="2"/>
        <w:rPr>
          <w:rFonts w:cs="Tahoma"/>
        </w:rPr>
      </w:pPr>
    </w:p>
    <w:p w:rsidR="00456002" w:rsidRPr="004B208C" w:rsidRDefault="00456002" w:rsidP="00456002">
      <w:pPr>
        <w:outlineLvl w:val="2"/>
        <w:rPr>
          <w:rFonts w:cs="Tahoma"/>
        </w:rPr>
      </w:pPr>
      <w:r w:rsidRPr="004B208C">
        <w:rPr>
          <w:rFonts w:cs="Tahoma"/>
          <w:szCs w:val="18"/>
        </w:rPr>
        <w:t>Além disso, os clientes do Open Value também podem optar por uma forma de pagamento mensal.</w:t>
      </w:r>
      <w:r w:rsidR="00172F11">
        <w:rPr>
          <w:rFonts w:cs="Tahoma"/>
          <w:szCs w:val="18"/>
        </w:rPr>
        <w:t xml:space="preserve"> </w:t>
      </w:r>
      <w:r w:rsidRPr="004B208C">
        <w:rPr>
          <w:rFonts w:cs="Tahoma"/>
          <w:szCs w:val="18"/>
        </w:rPr>
        <w:t>Nessa opção, uma parte registrada para cobrança receberá automaticamente uma fatura referente à quantidade de assinaturas solicitadas pelo cliente a cada mês durante o prazo da assinatura.</w:t>
      </w:r>
    </w:p>
    <w:p w:rsidR="00456002" w:rsidRPr="004B208C" w:rsidRDefault="00456002" w:rsidP="00456002">
      <w:pPr>
        <w:outlineLvl w:val="2"/>
        <w:rPr>
          <w:rFonts w:cs="Tahoma"/>
        </w:rPr>
      </w:pPr>
    </w:p>
    <w:p w:rsidR="00456002" w:rsidRPr="004B208C" w:rsidRDefault="00456002" w:rsidP="00456002">
      <w:pPr>
        <w:outlineLvl w:val="2"/>
        <w:rPr>
          <w:rFonts w:cs="Tahoma"/>
        </w:rPr>
      </w:pPr>
      <w:r w:rsidRPr="004B208C">
        <w:rPr>
          <w:rFonts w:cs="Tahoma"/>
          <w:szCs w:val="18"/>
        </w:rPr>
        <w:t>Os termos de pagamento e preços das assinaturas adquiridas por meio de revendedores serão determinados pelo</w:t>
      </w:r>
      <w:r w:rsidR="00FE592A">
        <w:rPr>
          <w:rFonts w:cs="Tahoma"/>
          <w:szCs w:val="18"/>
        </w:rPr>
        <w:t> </w:t>
      </w:r>
      <w:r w:rsidRPr="004B208C">
        <w:rPr>
          <w:rFonts w:cs="Tahoma"/>
          <w:szCs w:val="18"/>
        </w:rPr>
        <w:t>contrato entre o cliente e seu revendedor.</w:t>
      </w:r>
      <w:r w:rsidR="00172F11">
        <w:rPr>
          <w:rFonts w:cs="Tahoma"/>
          <w:szCs w:val="18"/>
        </w:rPr>
        <w:t xml:space="preserve"> </w:t>
      </w:r>
      <w:r w:rsidRPr="004B208C">
        <w:rPr>
          <w:rFonts w:cs="Tahoma"/>
          <w:szCs w:val="18"/>
        </w:rPr>
        <w:t>A não ser que o cliente tenha celebrado o Aditamento do Registro Enterprise - Adicionando Serviços Online Enterprise, não obstante qualquer disposição em contrário no contrato, ele</w:t>
      </w:r>
      <w:r w:rsidR="000C5B49">
        <w:rPr>
          <w:rFonts w:cs="Tahoma"/>
          <w:szCs w:val="18"/>
        </w:rPr>
        <w:t> </w:t>
      </w:r>
      <w:r w:rsidRPr="004B208C">
        <w:rPr>
          <w:rFonts w:cs="Tahoma"/>
          <w:szCs w:val="18"/>
        </w:rPr>
        <w:t>deverá solicitar uma assinatura dos serviços online antes de a assinatura ser usada pela primeira vez.</w:t>
      </w:r>
      <w:r w:rsidR="00172F11">
        <w:rPr>
          <w:rFonts w:cs="Tahoma"/>
          <w:szCs w:val="18"/>
        </w:rPr>
        <w:t xml:space="preserve"> </w:t>
      </w:r>
      <w:r w:rsidRPr="004B208C">
        <w:rPr>
          <w:rFonts w:cs="Tahoma"/>
          <w:szCs w:val="18"/>
        </w:rPr>
        <w:t>Os clientes com um Contrato Enterprise não poderão enviar um pedido de adequação (“true-up”) para licenças de assinatura adicionais.</w:t>
      </w:r>
      <w:r w:rsidR="00172F11">
        <w:rPr>
          <w:rFonts w:cs="Tahoma"/>
          <w:szCs w:val="18"/>
        </w:rPr>
        <w:t xml:space="preserve"> </w:t>
      </w:r>
    </w:p>
    <w:p w:rsidR="00456002" w:rsidRPr="004B208C" w:rsidRDefault="00456002" w:rsidP="00DF28F2">
      <w:pPr>
        <w:outlineLvl w:val="2"/>
        <w:rPr>
          <w:rFonts w:cs="Tahoma"/>
        </w:rPr>
      </w:pPr>
    </w:p>
    <w:p w:rsidR="00456002" w:rsidRPr="004B208C" w:rsidRDefault="006A5DAE" w:rsidP="00116EDC">
      <w:pPr>
        <w:outlineLvl w:val="2"/>
        <w:rPr>
          <w:rFonts w:cs="Tahoma"/>
        </w:rPr>
      </w:pPr>
      <w:r w:rsidRPr="004B208C">
        <w:rPr>
          <w:rFonts w:cs="Tahoma"/>
          <w:szCs w:val="18"/>
        </w:rPr>
        <w:t>Para informações específicas dos Serviços do Windows Azure, consulte a seção Serviços do Windows Azure abaixo.</w:t>
      </w:r>
    </w:p>
    <w:p w:rsidR="00456002" w:rsidRPr="004B208C" w:rsidRDefault="00456002" w:rsidP="00456002">
      <w:pPr>
        <w:pStyle w:val="Heading2"/>
        <w:ind w:left="0"/>
        <w:rPr>
          <w:rFonts w:ascii="Tahoma" w:hAnsi="Tahoma" w:cs="Tahoma"/>
        </w:rPr>
      </w:pPr>
      <w:bookmarkStart w:id="666" w:name="_Toc328145983"/>
      <w:bookmarkStart w:id="667" w:name="_Toc336338213"/>
      <w:bookmarkStart w:id="668" w:name="_Toc370981328"/>
      <w:r w:rsidRPr="004B208C">
        <w:rPr>
          <w:rFonts w:ascii="Tahoma" w:hAnsi="Tahoma" w:cs="Tahoma"/>
        </w:rPr>
        <w:lastRenderedPageBreak/>
        <w:t>Requisitos de compra mínima para Serviços Online no Licenciamento por</w:t>
      </w:r>
      <w:r w:rsidR="000C5B49">
        <w:rPr>
          <w:rFonts w:ascii="Tahoma" w:hAnsi="Tahoma" w:cs="Tahoma"/>
        </w:rPr>
        <w:t> </w:t>
      </w:r>
      <w:r w:rsidRPr="004B208C">
        <w:rPr>
          <w:rFonts w:ascii="Tahoma" w:hAnsi="Tahoma" w:cs="Tahoma"/>
        </w:rPr>
        <w:t>Volume</w:t>
      </w:r>
      <w:bookmarkEnd w:id="666"/>
      <w:bookmarkEnd w:id="667"/>
      <w:bookmarkEnd w:id="668"/>
    </w:p>
    <w:p w:rsidR="00456002" w:rsidRPr="004B208C" w:rsidRDefault="00456002" w:rsidP="00DF28F2">
      <w:pPr>
        <w:outlineLvl w:val="2"/>
        <w:rPr>
          <w:rFonts w:cs="Tahoma"/>
        </w:rPr>
      </w:pPr>
    </w:p>
    <w:p w:rsidR="00116EDC" w:rsidRPr="004B208C" w:rsidRDefault="00456002" w:rsidP="00116EDC">
      <w:pPr>
        <w:outlineLvl w:val="2"/>
        <w:rPr>
          <w:rFonts w:cs="Tahoma"/>
        </w:rPr>
      </w:pPr>
      <w:r w:rsidRPr="004B208C">
        <w:rPr>
          <w:rFonts w:cs="Tahoma"/>
          <w:szCs w:val="18"/>
        </w:rPr>
        <w:t>Um cliente estará qualificado para o programa Open Value com uma compra mínima de 5 licenças.</w:t>
      </w:r>
      <w:r w:rsidR="00172F11">
        <w:rPr>
          <w:rFonts w:cs="Tahoma"/>
          <w:szCs w:val="18"/>
        </w:rPr>
        <w:t xml:space="preserve"> </w:t>
      </w:r>
      <w:r w:rsidRPr="004B208C">
        <w:rPr>
          <w:rFonts w:cs="Tahoma"/>
          <w:szCs w:val="18"/>
        </w:rPr>
        <w:t>Essa regra também se aplicará à contagem de quantidades de Licenças de Assinatura de Usuário (USLs) de Serviços Online.</w:t>
      </w:r>
      <w:r w:rsidR="00172F11">
        <w:rPr>
          <w:rFonts w:cs="Tahoma"/>
          <w:szCs w:val="18"/>
        </w:rPr>
        <w:t xml:space="preserve"> </w:t>
      </w:r>
      <w:r w:rsidRPr="004B208C">
        <w:rPr>
          <w:rFonts w:cs="Tahoma"/>
          <w:szCs w:val="18"/>
        </w:rPr>
        <w:t>Uma USL poderá ser contabilizada para a quantidade mínima de 5 licenças.</w:t>
      </w:r>
      <w:r w:rsidR="00172F11">
        <w:rPr>
          <w:rFonts w:cs="Tahoma"/>
          <w:szCs w:val="18"/>
        </w:rPr>
        <w:t xml:space="preserve"> </w:t>
      </w:r>
      <w:r w:rsidRPr="004B208C">
        <w:rPr>
          <w:rFonts w:cs="Tahoma"/>
          <w:szCs w:val="18"/>
        </w:rPr>
        <w:t>Um pedido de 5 USLs satisfaz o requisito mínimo do programa Open Value.</w:t>
      </w:r>
      <w:r w:rsidR="00172F11">
        <w:rPr>
          <w:rFonts w:cs="Tahoma"/>
          <w:szCs w:val="18"/>
        </w:rPr>
        <w:t xml:space="preserve"> </w:t>
      </w:r>
      <w:r w:rsidRPr="004B208C">
        <w:rPr>
          <w:rFonts w:cs="Tahoma"/>
          <w:szCs w:val="18"/>
        </w:rPr>
        <w:t>Porém, só as 5 USLs não satisfazem o mínimo para Open Value Companywide e</w:t>
      </w:r>
      <w:r w:rsidR="000C5B49">
        <w:rPr>
          <w:rFonts w:cs="Tahoma"/>
          <w:szCs w:val="18"/>
        </w:rPr>
        <w:t> </w:t>
      </w:r>
      <w:r w:rsidRPr="004B208C">
        <w:rPr>
          <w:rFonts w:cs="Tahoma"/>
          <w:szCs w:val="18"/>
        </w:rPr>
        <w:t>Open Value Subscription.</w:t>
      </w:r>
      <w:r w:rsidR="00172F11">
        <w:rPr>
          <w:rFonts w:cs="Tahoma"/>
          <w:szCs w:val="18"/>
        </w:rPr>
        <w:t xml:space="preserve"> </w:t>
      </w:r>
      <w:r w:rsidRPr="004B208C">
        <w:rPr>
          <w:rFonts w:cs="Tahoma"/>
          <w:szCs w:val="18"/>
        </w:rPr>
        <w:t>No caso de OV Companywide e OV Subscription, o pedido inicial deve incluir um mínimo de 5 Licenças de Plataforma de Desktop ou Componente de Desktop além de quaisquer USLs.</w:t>
      </w:r>
      <w:r w:rsidR="00172F11">
        <w:rPr>
          <w:rFonts w:cs="Tahoma"/>
          <w:szCs w:val="18"/>
        </w:rPr>
        <w:t xml:space="preserve"> </w:t>
      </w:r>
    </w:p>
    <w:p w:rsidR="00116EDC" w:rsidRPr="004B208C" w:rsidRDefault="00116EDC" w:rsidP="00116EDC">
      <w:pPr>
        <w:outlineLvl w:val="2"/>
        <w:rPr>
          <w:rFonts w:cs="Tahoma"/>
        </w:rPr>
      </w:pPr>
    </w:p>
    <w:p w:rsidR="00776E3B" w:rsidRPr="004B208C" w:rsidRDefault="00776E3B" w:rsidP="00776E3B">
      <w:pPr>
        <w:pStyle w:val="Heading3"/>
        <w:rPr>
          <w:rFonts w:ascii="Tahoma" w:hAnsi="Tahoma" w:cs="Tahoma"/>
        </w:rPr>
      </w:pPr>
      <w:bookmarkStart w:id="669" w:name="_Toc336338214"/>
      <w:bookmarkStart w:id="670" w:name="_Toc370981329"/>
      <w:r w:rsidRPr="004B208C">
        <w:rPr>
          <w:rFonts w:ascii="Tahoma" w:hAnsi="Tahoma" w:cs="Tahoma"/>
          <w:sz w:val="24"/>
        </w:rPr>
        <w:t>Serviços do Windows Azure</w:t>
      </w:r>
      <w:bookmarkEnd w:id="669"/>
      <w:bookmarkEnd w:id="670"/>
    </w:p>
    <w:p w:rsidR="00776E3B" w:rsidRPr="004B208C" w:rsidRDefault="00776E3B" w:rsidP="00DF28F2">
      <w:pPr>
        <w:outlineLvl w:val="1"/>
        <w:rPr>
          <w:rFonts w:cs="Tahoma"/>
        </w:rPr>
      </w:pPr>
    </w:p>
    <w:p w:rsidR="006A5DAE" w:rsidRPr="004B208C" w:rsidRDefault="005242EC" w:rsidP="005242EC">
      <w:pPr>
        <w:spacing w:after="60"/>
        <w:outlineLvl w:val="1"/>
        <w:rPr>
          <w:rFonts w:cs="Tahoma"/>
        </w:rPr>
      </w:pPr>
      <w:r w:rsidRPr="004B208C">
        <w:rPr>
          <w:rFonts w:cs="Tahoma"/>
          <w:b/>
          <w:szCs w:val="18"/>
        </w:rPr>
        <w:t>Definições</w:t>
      </w:r>
    </w:p>
    <w:p w:rsidR="006A5DAE" w:rsidRPr="004B208C" w:rsidRDefault="006A5DAE" w:rsidP="006A5DAE">
      <w:pPr>
        <w:outlineLvl w:val="1"/>
        <w:rPr>
          <w:rFonts w:cs="Tahoma"/>
        </w:rPr>
      </w:pPr>
      <w:r w:rsidRPr="004B208C">
        <w:rPr>
          <w:rFonts w:cs="Tahoma"/>
          <w:szCs w:val="18"/>
          <w:u w:val="single"/>
        </w:rPr>
        <w:t>Taxas de Compromissos</w:t>
      </w:r>
      <w:r w:rsidR="00172F11">
        <w:rPr>
          <w:rFonts w:cs="Tahoma"/>
          <w:b/>
          <w:szCs w:val="18"/>
        </w:rPr>
        <w:t xml:space="preserve"> </w:t>
      </w:r>
      <w:r w:rsidRPr="004B208C">
        <w:rPr>
          <w:rFonts w:cs="Tahoma"/>
          <w:szCs w:val="18"/>
        </w:rPr>
        <w:t>significa os preços estabelecidos para todo o uso dos Serviços do Windows Azure até o</w:t>
      </w:r>
      <w:r w:rsidR="000C5B49">
        <w:rPr>
          <w:rFonts w:cs="Tahoma"/>
          <w:szCs w:val="18"/>
        </w:rPr>
        <w:t> </w:t>
      </w:r>
      <w:r w:rsidRPr="004B208C">
        <w:rPr>
          <w:rFonts w:cs="Tahoma"/>
          <w:szCs w:val="18"/>
        </w:rPr>
        <w:t>Compromisso Anual Alocado.</w:t>
      </w:r>
    </w:p>
    <w:p w:rsidR="006A5DAE" w:rsidRPr="004B208C" w:rsidRDefault="006A5DAE" w:rsidP="006A5DAE">
      <w:pPr>
        <w:outlineLvl w:val="1"/>
        <w:rPr>
          <w:rFonts w:cs="Tahoma"/>
        </w:rPr>
      </w:pPr>
    </w:p>
    <w:p w:rsidR="006A5DAE" w:rsidRPr="004B208C" w:rsidRDefault="006A5DAE" w:rsidP="006A5DAE">
      <w:pPr>
        <w:outlineLvl w:val="1"/>
        <w:rPr>
          <w:rFonts w:cs="Tahoma"/>
        </w:rPr>
      </w:pPr>
      <w:r w:rsidRPr="004B208C">
        <w:rPr>
          <w:rFonts w:cs="Tahoma"/>
          <w:szCs w:val="18"/>
          <w:u w:val="single"/>
        </w:rPr>
        <w:t>Taxas de Consumo</w:t>
      </w:r>
      <w:r w:rsidRPr="004B208C">
        <w:rPr>
          <w:rFonts w:cs="Tahoma"/>
          <w:szCs w:val="18"/>
        </w:rPr>
        <w:t xml:space="preserve"> significa os preços estabelecidos para todo o uso dos Serviços do Windows Azure em excesso do</w:t>
      </w:r>
      <w:r w:rsidR="000C5B49">
        <w:rPr>
          <w:rFonts w:cs="Tahoma"/>
          <w:szCs w:val="18"/>
        </w:rPr>
        <w:t> </w:t>
      </w:r>
      <w:r w:rsidRPr="004B208C">
        <w:rPr>
          <w:rFonts w:cs="Tahoma"/>
          <w:szCs w:val="18"/>
        </w:rPr>
        <w:t>Compromisso Anual Alocado. As Taxas de Consumo também podem ser denominadas “Taxas Excedentes” ou “Excedente” em outros documentos da Microsoft ou do Windows Azure. Taxas de Compromisso são iguais às Taxas de Consumo.</w:t>
      </w:r>
    </w:p>
    <w:p w:rsidR="006A5DAE" w:rsidRPr="004B208C" w:rsidRDefault="006A5DAE" w:rsidP="006A5DAE">
      <w:pPr>
        <w:outlineLvl w:val="1"/>
        <w:rPr>
          <w:rFonts w:cs="Tahoma"/>
        </w:rPr>
      </w:pPr>
    </w:p>
    <w:p w:rsidR="006A5DAE" w:rsidRPr="004B208C" w:rsidRDefault="006A5DAE" w:rsidP="006A5DAE">
      <w:pPr>
        <w:outlineLvl w:val="1"/>
        <w:rPr>
          <w:rFonts w:cs="Tahoma"/>
        </w:rPr>
      </w:pPr>
      <w:r w:rsidRPr="004B208C">
        <w:rPr>
          <w:rFonts w:cs="Tahoma"/>
          <w:szCs w:val="18"/>
          <w:u w:val="single"/>
        </w:rPr>
        <w:t>Compromisso Monetário</w:t>
      </w:r>
      <w:r w:rsidRPr="004B208C">
        <w:rPr>
          <w:rFonts w:cs="Tahoma"/>
          <w:szCs w:val="18"/>
        </w:rPr>
        <w:t xml:space="preserve"> significa o valor monetário total que um cliente se compromete a pagar pelo período da assinatura para seu uso dos Serviços do Windows Azure.</w:t>
      </w:r>
    </w:p>
    <w:p w:rsidR="00BD1A6A" w:rsidRPr="004B208C" w:rsidRDefault="00BD1A6A" w:rsidP="006A5DAE">
      <w:pPr>
        <w:outlineLvl w:val="1"/>
        <w:rPr>
          <w:rFonts w:cs="Tahoma"/>
        </w:rPr>
      </w:pPr>
    </w:p>
    <w:p w:rsidR="006A5DAE" w:rsidRPr="004B208C" w:rsidRDefault="006A5DAE" w:rsidP="006A5DAE">
      <w:pPr>
        <w:outlineLvl w:val="1"/>
        <w:rPr>
          <w:rFonts w:cs="Tahoma"/>
        </w:rPr>
      </w:pPr>
      <w:r w:rsidRPr="004B208C">
        <w:rPr>
          <w:rFonts w:cs="Tahoma"/>
          <w:szCs w:val="18"/>
          <w:u w:val="single"/>
        </w:rPr>
        <w:t>Compromisso Anual Alocado</w:t>
      </w:r>
      <w:r w:rsidRPr="004B208C">
        <w:rPr>
          <w:rFonts w:cs="Tahoma"/>
          <w:szCs w:val="18"/>
        </w:rPr>
        <w:t xml:space="preserve"> significa a parte do Compromisso Monetário alocada anualmente pelo prazo do Registro.</w:t>
      </w:r>
    </w:p>
    <w:p w:rsidR="002653EB" w:rsidRPr="004B208C" w:rsidRDefault="002653EB" w:rsidP="006A5DAE">
      <w:pPr>
        <w:outlineLvl w:val="1"/>
        <w:rPr>
          <w:rFonts w:cs="Tahoma"/>
        </w:rPr>
      </w:pPr>
    </w:p>
    <w:p w:rsidR="002653EB" w:rsidRPr="004B208C" w:rsidRDefault="002653EB" w:rsidP="006A5DAE">
      <w:pPr>
        <w:outlineLvl w:val="1"/>
        <w:rPr>
          <w:rFonts w:cs="Tahoma"/>
        </w:rPr>
      </w:pPr>
      <w:r w:rsidRPr="004B208C">
        <w:rPr>
          <w:rFonts w:cs="Tahoma"/>
          <w:szCs w:val="18"/>
        </w:rPr>
        <w:t>O Benefício de Consumo significa o uso em excesso de Compromisso Anual Alocado até o qual um cliente será faturado anualmente quando licenciado sob um Contrato Direct Enterprise.</w:t>
      </w:r>
    </w:p>
    <w:p w:rsidR="001C1727" w:rsidRPr="004B208C" w:rsidRDefault="001C1727">
      <w:pPr>
        <w:rPr>
          <w:rFonts w:cs="Tahoma"/>
        </w:rPr>
      </w:pPr>
    </w:p>
    <w:p w:rsidR="006A5DAE" w:rsidRPr="004B208C" w:rsidRDefault="006A5DAE" w:rsidP="005242EC">
      <w:pPr>
        <w:spacing w:after="60"/>
        <w:outlineLvl w:val="1"/>
        <w:rPr>
          <w:rFonts w:cs="Tahoma"/>
        </w:rPr>
      </w:pPr>
      <w:r w:rsidRPr="004B208C">
        <w:rPr>
          <w:rFonts w:cs="Tahoma"/>
          <w:b/>
          <w:szCs w:val="18"/>
        </w:rPr>
        <w:t>Prazo da Assinatura</w:t>
      </w:r>
    </w:p>
    <w:p w:rsidR="006A5DAE" w:rsidRPr="004B208C" w:rsidRDefault="006A5DAE" w:rsidP="006A5DAE">
      <w:pPr>
        <w:outlineLvl w:val="1"/>
        <w:rPr>
          <w:rFonts w:cs="Tahoma"/>
        </w:rPr>
      </w:pPr>
      <w:r w:rsidRPr="004B208C">
        <w:rPr>
          <w:rFonts w:cs="Tahoma"/>
          <w:szCs w:val="18"/>
        </w:rPr>
        <w:t>Os clientes de Serviços do Windows Azure podem assinar somente um prazo de assinatura que termina na data de</w:t>
      </w:r>
      <w:r w:rsidR="000C5B49">
        <w:rPr>
          <w:rFonts w:cs="Tahoma"/>
          <w:szCs w:val="18"/>
        </w:rPr>
        <w:t> </w:t>
      </w:r>
      <w:r w:rsidRPr="004B208C">
        <w:rPr>
          <w:rFonts w:cs="Tahoma"/>
          <w:szCs w:val="18"/>
        </w:rPr>
        <w:t xml:space="preserve">término do registro do cliente (“coextensiva”). </w:t>
      </w:r>
      <w:r w:rsidRPr="004B208C">
        <w:rPr>
          <w:rFonts w:cs="Tahoma"/>
        </w:rPr>
        <w:t>Os clientes com pelo menos dois meses restantes em seu prazo do</w:t>
      </w:r>
      <w:r w:rsidR="000C5B49">
        <w:rPr>
          <w:rFonts w:cs="Tahoma"/>
        </w:rPr>
        <w:t> </w:t>
      </w:r>
      <w:r w:rsidRPr="004B208C">
        <w:rPr>
          <w:rFonts w:cs="Tahoma"/>
        </w:rPr>
        <w:t>registro</w:t>
      </w:r>
      <w:r w:rsidRPr="004B208C">
        <w:rPr>
          <w:rFonts w:cs="Tahoma"/>
          <w:szCs w:val="18"/>
        </w:rPr>
        <w:t>.</w:t>
      </w:r>
    </w:p>
    <w:p w:rsidR="006A5DAE" w:rsidRPr="004B208C" w:rsidRDefault="006A5DAE" w:rsidP="006A5DAE">
      <w:pPr>
        <w:rPr>
          <w:rFonts w:cs="Tahoma"/>
        </w:rPr>
      </w:pPr>
    </w:p>
    <w:p w:rsidR="006A5DAE" w:rsidRPr="004B208C" w:rsidRDefault="005242EC" w:rsidP="005242EC">
      <w:pPr>
        <w:spacing w:after="60"/>
        <w:outlineLvl w:val="1"/>
        <w:rPr>
          <w:rFonts w:cs="Tahoma"/>
        </w:rPr>
      </w:pPr>
      <w:r w:rsidRPr="004B208C">
        <w:rPr>
          <w:rFonts w:cs="Tahoma"/>
          <w:b/>
          <w:szCs w:val="18"/>
        </w:rPr>
        <w:t>Compromisso Monetário</w:t>
      </w:r>
    </w:p>
    <w:p w:rsidR="006A5DAE" w:rsidRPr="004B208C" w:rsidRDefault="006A5DAE" w:rsidP="006A5DAE">
      <w:pPr>
        <w:outlineLvl w:val="1"/>
        <w:rPr>
          <w:rFonts w:cs="Tahoma"/>
        </w:rPr>
      </w:pPr>
      <w:r w:rsidRPr="004B208C">
        <w:rPr>
          <w:rFonts w:cs="Tahoma"/>
          <w:szCs w:val="18"/>
        </w:rPr>
        <w:t>O pedido inicial dos clientes deve incluir um Compromisso Monetário e pode ser substituído a qualquer momento antes do último mês do seu prazo de registro. O Compromisso Monetário de acordo com a assinatura coextensiva será alocado proporcionalmente pelo prazo de registro.</w:t>
      </w:r>
    </w:p>
    <w:p w:rsidR="002653EB" w:rsidRPr="004B208C" w:rsidRDefault="002653EB" w:rsidP="006A5DAE">
      <w:pPr>
        <w:outlineLvl w:val="1"/>
        <w:rPr>
          <w:rFonts w:cs="Tahoma"/>
        </w:rPr>
      </w:pPr>
    </w:p>
    <w:p w:rsidR="002653EB" w:rsidRPr="004B208C" w:rsidRDefault="002653EB" w:rsidP="006A5DAE">
      <w:pPr>
        <w:outlineLvl w:val="1"/>
        <w:rPr>
          <w:rFonts w:cs="Tahoma"/>
        </w:rPr>
      </w:pPr>
      <w:r w:rsidRPr="004B208C">
        <w:rPr>
          <w:rFonts w:cs="Tahoma"/>
          <w:szCs w:val="18"/>
        </w:rPr>
        <w:t>Cada valor da fatura do Compromisso Monetário não será aplicado ao uso anterior à data de cobertura daquela fatura.</w:t>
      </w:r>
    </w:p>
    <w:p w:rsidR="006A5DAE" w:rsidRPr="004B208C" w:rsidRDefault="006A5DAE" w:rsidP="006A5DAE">
      <w:pPr>
        <w:outlineLvl w:val="1"/>
        <w:rPr>
          <w:rFonts w:cs="Tahoma"/>
        </w:rPr>
      </w:pPr>
    </w:p>
    <w:p w:rsidR="006A5DAE" w:rsidRPr="004B208C" w:rsidRDefault="006A5DAE" w:rsidP="006A5DAE">
      <w:pPr>
        <w:rPr>
          <w:rFonts w:cs="Tahoma"/>
        </w:rPr>
      </w:pPr>
      <w:r w:rsidRPr="004B208C">
        <w:rPr>
          <w:rFonts w:cs="Tahoma"/>
        </w:rPr>
        <w:t>Os clientes podem aumentar seu Compromisso Monetário a qualquer momento, fazendo pedidos adicionais.</w:t>
      </w:r>
      <w:r w:rsidR="00172F11">
        <w:rPr>
          <w:rFonts w:cs="Tahoma"/>
        </w:rPr>
        <w:t xml:space="preserve"> </w:t>
      </w:r>
      <w:r w:rsidRPr="004B208C">
        <w:rPr>
          <w:rFonts w:cs="Tahoma"/>
        </w:rPr>
        <w:t>Os Compromissos Anuais serão incrementados pelo valor do pedido adicional multiplicado por 12, divididos pelo número de meses inteiros restantes no ano em que o pedido adicional foi feito.</w:t>
      </w:r>
    </w:p>
    <w:p w:rsidR="002653EB" w:rsidRPr="004B208C" w:rsidRDefault="002653EB" w:rsidP="006A5DAE">
      <w:pPr>
        <w:rPr>
          <w:rFonts w:cs="Tahoma"/>
        </w:rPr>
      </w:pPr>
    </w:p>
    <w:p w:rsidR="002653EB" w:rsidRPr="004B208C" w:rsidRDefault="002653EB" w:rsidP="006A5DAE">
      <w:pPr>
        <w:rPr>
          <w:rFonts w:cs="Tahoma"/>
        </w:rPr>
      </w:pPr>
      <w:r w:rsidRPr="004B208C">
        <w:rPr>
          <w:rFonts w:cs="Tahoma"/>
        </w:rPr>
        <w:t>Os clientes estão qualificados para relatar reduções no Compromisso Monetário futuro na Seção 3: Reduções de Licenças de Assinatura.</w:t>
      </w:r>
    </w:p>
    <w:p w:rsidR="006A5DAE" w:rsidRPr="004B208C" w:rsidRDefault="006A5DAE" w:rsidP="006A5DAE">
      <w:pPr>
        <w:rPr>
          <w:rFonts w:cs="Tahoma"/>
        </w:rPr>
      </w:pPr>
    </w:p>
    <w:p w:rsidR="006A5DAE" w:rsidRPr="004B208C" w:rsidRDefault="006A5DAE" w:rsidP="006A5DAE">
      <w:pPr>
        <w:outlineLvl w:val="1"/>
        <w:rPr>
          <w:rFonts w:cs="Tahoma"/>
        </w:rPr>
      </w:pPr>
      <w:r w:rsidRPr="004B208C">
        <w:rPr>
          <w:rFonts w:cs="Tahoma"/>
          <w:szCs w:val="18"/>
        </w:rPr>
        <w:t xml:space="preserve">Os clientes devem consumir seu </w:t>
      </w:r>
      <w:r w:rsidRPr="004B208C">
        <w:rPr>
          <w:rFonts w:cs="Tahoma"/>
        </w:rPr>
        <w:t>Compromisso Anual Alocado</w:t>
      </w:r>
      <w:r w:rsidRPr="004B208C">
        <w:rPr>
          <w:rFonts w:cs="Tahoma"/>
          <w:szCs w:val="18"/>
        </w:rPr>
        <w:t xml:space="preserve"> até o último mês antes do aniversário de registro a</w:t>
      </w:r>
      <w:r w:rsidR="000C5B49">
        <w:rPr>
          <w:rFonts w:cs="Tahoma"/>
          <w:szCs w:val="18"/>
        </w:rPr>
        <w:t> </w:t>
      </w:r>
      <w:r w:rsidRPr="004B208C">
        <w:rPr>
          <w:rFonts w:cs="Tahoma"/>
          <w:szCs w:val="18"/>
        </w:rPr>
        <w:t xml:space="preserve">cada ano. Qualquer parte não usada do </w:t>
      </w:r>
      <w:r w:rsidRPr="004B208C">
        <w:rPr>
          <w:rFonts w:cs="Tahoma"/>
        </w:rPr>
        <w:t xml:space="preserve">Compromisso Anual Alocado </w:t>
      </w:r>
      <w:r w:rsidRPr="004B208C">
        <w:rPr>
          <w:rFonts w:cs="Tahoma"/>
          <w:szCs w:val="18"/>
        </w:rPr>
        <w:t xml:space="preserve">não </w:t>
      </w:r>
      <w:r w:rsidRPr="004B208C">
        <w:rPr>
          <w:rFonts w:cs="Tahoma"/>
        </w:rPr>
        <w:t>será transferida para o próximo período</w:t>
      </w:r>
      <w:r w:rsidRPr="004B208C">
        <w:rPr>
          <w:rFonts w:cs="Tahoma"/>
          <w:szCs w:val="18"/>
        </w:rPr>
        <w:t xml:space="preserve"> e</w:t>
      </w:r>
      <w:r w:rsidR="000C5B49">
        <w:rPr>
          <w:rFonts w:cs="Tahoma"/>
          <w:szCs w:val="18"/>
        </w:rPr>
        <w:t> </w:t>
      </w:r>
      <w:r w:rsidRPr="004B208C">
        <w:rPr>
          <w:rFonts w:cs="Tahoma"/>
          <w:szCs w:val="18"/>
        </w:rPr>
        <w:t xml:space="preserve">será perdida. </w:t>
      </w:r>
    </w:p>
    <w:p w:rsidR="002653EB" w:rsidRPr="004B208C" w:rsidRDefault="002653EB" w:rsidP="006A5DAE">
      <w:pPr>
        <w:outlineLvl w:val="1"/>
        <w:rPr>
          <w:rFonts w:cs="Tahoma"/>
        </w:rPr>
      </w:pPr>
    </w:p>
    <w:p w:rsidR="002653EB" w:rsidRPr="004B208C" w:rsidRDefault="002653EB" w:rsidP="006A5DAE">
      <w:pPr>
        <w:outlineLvl w:val="1"/>
        <w:rPr>
          <w:rFonts w:cs="Tahoma"/>
        </w:rPr>
      </w:pPr>
      <w:r w:rsidRPr="004B208C">
        <w:rPr>
          <w:rFonts w:cs="Tahoma"/>
          <w:szCs w:val="18"/>
        </w:rPr>
        <w:t>O cliente pode usar o Benefício do Consumo até o último mês antes do aniversário de registro a cada ano. Qualquer parte não usada do Benefício do Consumo não será transferida para o próximo período e será perdida.</w:t>
      </w:r>
    </w:p>
    <w:p w:rsidR="006A5DAE" w:rsidRDefault="006A5DAE" w:rsidP="006A5DAE">
      <w:pPr>
        <w:rPr>
          <w:rFonts w:cs="Tahoma"/>
        </w:rPr>
      </w:pPr>
    </w:p>
    <w:p w:rsidR="000C5B49" w:rsidRPr="004B208C" w:rsidRDefault="000C5B49" w:rsidP="006A5DAE">
      <w:pPr>
        <w:rPr>
          <w:rFonts w:cs="Tahoma"/>
        </w:rPr>
      </w:pPr>
    </w:p>
    <w:p w:rsidR="006A5DAE" w:rsidRPr="004B208C" w:rsidRDefault="005242EC" w:rsidP="005242EC">
      <w:pPr>
        <w:spacing w:after="60"/>
        <w:outlineLvl w:val="1"/>
        <w:rPr>
          <w:rFonts w:cs="Tahoma"/>
        </w:rPr>
      </w:pPr>
      <w:r w:rsidRPr="004B208C">
        <w:rPr>
          <w:rFonts w:cs="Tahoma"/>
          <w:b/>
          <w:szCs w:val="18"/>
        </w:rPr>
        <w:lastRenderedPageBreak/>
        <w:t xml:space="preserve">Pagamento e Taxas </w:t>
      </w:r>
    </w:p>
    <w:p w:rsidR="005D54B5" w:rsidRPr="004B208C" w:rsidRDefault="005D54B5" w:rsidP="006A5DAE">
      <w:pPr>
        <w:rPr>
          <w:rFonts w:cs="Tahoma"/>
        </w:rPr>
      </w:pPr>
      <w:r w:rsidRPr="004B208C">
        <w:rPr>
          <w:rFonts w:cs="Tahoma"/>
        </w:rPr>
        <w:t>Taxas de Pagamento são iguais às Taxas de Consumo.</w:t>
      </w:r>
    </w:p>
    <w:p w:rsidR="005D54B5" w:rsidRPr="000C5B49" w:rsidRDefault="005D54B5" w:rsidP="006A5DAE">
      <w:pPr>
        <w:rPr>
          <w:rFonts w:cs="Tahoma"/>
          <w:sz w:val="16"/>
          <w:szCs w:val="16"/>
        </w:rPr>
      </w:pPr>
    </w:p>
    <w:p w:rsidR="005D54B5" w:rsidRPr="004B208C" w:rsidRDefault="005D54B5" w:rsidP="006A5DAE">
      <w:pPr>
        <w:rPr>
          <w:rFonts w:cs="Tahoma"/>
        </w:rPr>
      </w:pPr>
      <w:r w:rsidRPr="004B208C">
        <w:rPr>
          <w:rFonts w:cs="Tahoma"/>
        </w:rPr>
        <w:t>O Benefício do Consumo é igual a 50% do Compromisso Anual Alocado. Por exemplo, para um Compromisso Anual Alocado de $ 100.000, o Benefício do Consumo será igual a $ 50.000.</w:t>
      </w:r>
    </w:p>
    <w:p w:rsidR="005D54B5" w:rsidRPr="000C5B49" w:rsidRDefault="005D54B5" w:rsidP="006A5DAE">
      <w:pPr>
        <w:rPr>
          <w:rFonts w:cs="Tahoma"/>
          <w:sz w:val="16"/>
          <w:szCs w:val="16"/>
        </w:rPr>
      </w:pPr>
    </w:p>
    <w:p w:rsidR="006A5DAE" w:rsidRPr="004B208C" w:rsidRDefault="005D54B5" w:rsidP="006A5DAE">
      <w:pPr>
        <w:rPr>
          <w:rFonts w:cs="Tahoma"/>
        </w:rPr>
      </w:pPr>
      <w:r w:rsidRPr="004B208C">
        <w:rPr>
          <w:rFonts w:cs="Tahoma"/>
        </w:rPr>
        <w:t>O</w:t>
      </w:r>
      <w:r w:rsidRPr="004B208C">
        <w:rPr>
          <w:rFonts w:cs="Tahoma"/>
          <w:szCs w:val="18"/>
        </w:rPr>
        <w:t xml:space="preserve"> </w:t>
      </w:r>
      <w:r w:rsidRPr="004B208C">
        <w:rPr>
          <w:rFonts w:cs="Tahoma"/>
        </w:rPr>
        <w:t>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rsidR="006A5DAE" w:rsidRPr="000C5B49" w:rsidRDefault="006A5DAE" w:rsidP="006A5DAE">
      <w:pPr>
        <w:rPr>
          <w:rFonts w:cs="Tahoma"/>
          <w:sz w:val="16"/>
          <w:szCs w:val="16"/>
        </w:rPr>
      </w:pPr>
    </w:p>
    <w:p w:rsidR="005D54B5" w:rsidRPr="004B208C" w:rsidRDefault="006A5DAE" w:rsidP="006A5DAE">
      <w:pPr>
        <w:rPr>
          <w:rFonts w:cs="Tahoma"/>
        </w:rPr>
      </w:pPr>
      <w:r w:rsidRPr="004B208C">
        <w:rPr>
          <w:rFonts w:cs="Tahoma"/>
        </w:rPr>
        <w:t xml:space="preserve">A cada mês, a Microsoft deduzirá do Compromisso Anual Alocado o valor monetário do uso feito por parte do cliente dos Serviços do Windows Azure. Uma vez terminado o saldo do Compromisso Anual Alocado do cliente, qualquer uso adicional será faturado às Taxas de Consumo. </w:t>
      </w:r>
    </w:p>
    <w:p w:rsidR="005D54B5" w:rsidRPr="000C5B49" w:rsidRDefault="005D54B5" w:rsidP="006A5DAE">
      <w:pPr>
        <w:rPr>
          <w:rFonts w:cs="Tahoma"/>
          <w:sz w:val="16"/>
          <w:szCs w:val="16"/>
        </w:rPr>
      </w:pPr>
    </w:p>
    <w:p w:rsidR="006A5DAE" w:rsidRPr="004B208C" w:rsidRDefault="005D54B5" w:rsidP="006A5DAE">
      <w:pPr>
        <w:rPr>
          <w:rFonts w:cs="Tahoma"/>
        </w:rPr>
      </w:pPr>
      <w:r w:rsidRPr="004B208C">
        <w:rPr>
          <w:rFonts w:cs="Tahoma"/>
        </w:rPr>
        <w:t>Se o uso do cliente for maior do que o Compromisso Anual Alocado mais o Benefício do consumo, todo o uso que exceder o Compromisso Anual Alocado será faturado às Taxas de Consumo ao cliente ou seu revendedor no final de</w:t>
      </w:r>
      <w:r w:rsidR="000C5B49">
        <w:rPr>
          <w:rFonts w:cs="Tahoma"/>
        </w:rPr>
        <w:t> </w:t>
      </w:r>
      <w:r w:rsidRPr="004B208C">
        <w:rPr>
          <w:rFonts w:cs="Tahoma"/>
        </w:rPr>
        <w:t>cada trimestre do registro.</w:t>
      </w:r>
    </w:p>
    <w:p w:rsidR="006A5DAE" w:rsidRPr="000C5B49" w:rsidRDefault="006A5DAE" w:rsidP="006A5DAE">
      <w:pPr>
        <w:rPr>
          <w:rFonts w:cs="Tahoma"/>
          <w:sz w:val="16"/>
          <w:szCs w:val="16"/>
        </w:rPr>
      </w:pPr>
    </w:p>
    <w:p w:rsidR="0006338A" w:rsidRPr="004B208C" w:rsidRDefault="0006338A" w:rsidP="006A5DAE">
      <w:pPr>
        <w:rPr>
          <w:rFonts w:cs="Tahoma"/>
        </w:rPr>
      </w:pPr>
      <w:r w:rsidRPr="004B208C">
        <w:rPr>
          <w:rFonts w:cs="Tahoma"/>
        </w:rPr>
        <w:t>Se o uso do cliente for menor do que o Compromisso Anual Alocado mais o Benefício do Consumo, todo o uso que</w:t>
      </w:r>
      <w:r w:rsidR="000C5B49">
        <w:rPr>
          <w:rFonts w:cs="Tahoma"/>
        </w:rPr>
        <w:t> </w:t>
      </w:r>
      <w:r w:rsidRPr="004B208C">
        <w:rPr>
          <w:rFonts w:cs="Tahoma"/>
        </w:rPr>
        <w:t>exceder o Compromisso Anual Alocado será faturado às Taxas de Consumo ao cliente ou seu revendedor no aniversário da data de início de vigência do registro para os Anos 1 e 2 e no final do prazo de assinatura no Ano 3.</w:t>
      </w:r>
    </w:p>
    <w:p w:rsidR="0006338A" w:rsidRPr="000C5B49" w:rsidRDefault="0006338A" w:rsidP="006A5DAE">
      <w:pPr>
        <w:rPr>
          <w:rFonts w:cs="Tahoma"/>
          <w:sz w:val="16"/>
          <w:szCs w:val="16"/>
        </w:rPr>
      </w:pPr>
    </w:p>
    <w:p w:rsidR="006A5DAE" w:rsidRPr="004B208C" w:rsidRDefault="006A5DAE" w:rsidP="006A5DAE">
      <w:pPr>
        <w:rPr>
          <w:rFonts w:cs="Tahoma"/>
        </w:rPr>
      </w:pPr>
      <w:r w:rsidRPr="004B208C">
        <w:rPr>
          <w:rFonts w:cs="Tahoma"/>
        </w:rPr>
        <w:t>Todo o uso dos Serviços do Windows Azure após o término ou a rescisão do prazo de assinatura de um cliente será faturado para o cliente ou seu revendedor às Taxas de Consumo atualizadas trimestralmente.</w:t>
      </w:r>
    </w:p>
    <w:p w:rsidR="006A5DAE" w:rsidRPr="000C5B49" w:rsidRDefault="006A5DAE" w:rsidP="006A5DAE">
      <w:pPr>
        <w:rPr>
          <w:rFonts w:cs="Tahoma"/>
          <w:sz w:val="16"/>
          <w:szCs w:val="16"/>
        </w:rPr>
      </w:pPr>
    </w:p>
    <w:p w:rsidR="006A5DAE" w:rsidRPr="004B208C" w:rsidRDefault="006A5DAE" w:rsidP="006A5DAE">
      <w:pPr>
        <w:rPr>
          <w:rFonts w:cs="Tahoma"/>
        </w:rPr>
      </w:pPr>
      <w:r w:rsidRPr="004B208C">
        <w:rPr>
          <w:rFonts w:cs="Tahoma"/>
        </w:rPr>
        <w:t>A Microsoft poderá diminuir preços de Serviços individuais do Windows Azure durante o prazo do registro do cliente.</w:t>
      </w:r>
      <w:r w:rsidR="00172F11">
        <w:rPr>
          <w:rFonts w:cs="Tahoma"/>
        </w:rPr>
        <w:t xml:space="preserve"> </w:t>
      </w:r>
      <w:r w:rsidRPr="004B208C">
        <w:rPr>
          <w:rFonts w:cs="Tahoma"/>
        </w:rPr>
        <w:t>Para os clientes que adquiriram os Serviços do Windows Azure diretamente da Microsoft, a Tabela de Preços ao Cliente poderá indicar um preço mais alto do que o preço vigente. A Microsoft pode conceder preços mais baixos a esses clientes durante o período em que eles estiverem em vigência. A Microsoft fornecerá aos clientes uma notificação sobre tais alterações.</w:t>
      </w:r>
    </w:p>
    <w:p w:rsidR="006A5DAE" w:rsidRPr="000C5B49" w:rsidRDefault="006A5DAE" w:rsidP="006A5DAE">
      <w:pPr>
        <w:rPr>
          <w:rFonts w:cs="Tahoma"/>
          <w:sz w:val="16"/>
          <w:szCs w:val="16"/>
        </w:rPr>
      </w:pPr>
    </w:p>
    <w:p w:rsidR="006A5DAE" w:rsidRPr="004B208C" w:rsidRDefault="006A5DAE" w:rsidP="006A5DAE">
      <w:pPr>
        <w:rPr>
          <w:rFonts w:cs="Tahoma"/>
        </w:rPr>
      </w:pPr>
      <w:r w:rsidRPr="004B208C">
        <w:rPr>
          <w:rFonts w:cs="Tahoma"/>
          <w:szCs w:val="18"/>
        </w:rPr>
        <w:t>Os termos de pagamento e preços das assinaturas adquiridas por meio de revendedores serão determinados pelo contrato entre o cliente e seu revendedor.</w:t>
      </w:r>
      <w:r w:rsidR="00172F11">
        <w:rPr>
          <w:rFonts w:cs="Tahoma"/>
          <w:szCs w:val="18"/>
        </w:rPr>
        <w:t xml:space="preserve"> </w:t>
      </w:r>
      <w:r w:rsidRPr="004B208C">
        <w:rPr>
          <w:rFonts w:cs="Tahoma"/>
          <w:szCs w:val="18"/>
        </w:rPr>
        <w:t xml:space="preserve">O </w:t>
      </w:r>
      <w:r w:rsidRPr="004B208C">
        <w:rPr>
          <w:rFonts w:cs="Tahoma"/>
          <w:iCs/>
        </w:rPr>
        <w:t>revendedor de um cliente fornecerá informações adicionais relativas ao</w:t>
      </w:r>
      <w:r w:rsidR="009869F4">
        <w:rPr>
          <w:rFonts w:cs="Tahoma"/>
          <w:iCs/>
        </w:rPr>
        <w:t> </w:t>
      </w:r>
      <w:r w:rsidRPr="004B208C">
        <w:rPr>
          <w:rFonts w:cs="Tahoma"/>
          <w:iCs/>
        </w:rPr>
        <w:t>processo de pedidos de Serviços do Windows Azure.</w:t>
      </w:r>
      <w:r w:rsidR="00172F11">
        <w:rPr>
          <w:rFonts w:cs="Tahoma"/>
          <w:iCs/>
        </w:rPr>
        <w:t xml:space="preserve"> </w:t>
      </w:r>
      <w:r w:rsidRPr="004B208C">
        <w:rPr>
          <w:rFonts w:cs="Tahoma"/>
          <w:iCs/>
        </w:rPr>
        <w:t xml:space="preserve">Os preços e os termos de cobrança para todos os Serviços do Windows Azure serão regidos por um contrato separado entre o cliente e seu respectivo revendedor. </w:t>
      </w:r>
      <w:r w:rsidRPr="004B208C">
        <w:rPr>
          <w:rFonts w:cs="Tahoma"/>
        </w:rPr>
        <w:t>A Microsoft poderá baixar os preços para os Serviços do Windows Azure apenas durante o prazo do registro do cliente e poderá fornecer preços mais baixos para o revendedor do cliente durante o período em que eles estiverem vigentes. A</w:t>
      </w:r>
      <w:r w:rsidR="000C5B49">
        <w:rPr>
          <w:rFonts w:cs="Tahoma"/>
        </w:rPr>
        <w:t> </w:t>
      </w:r>
      <w:r w:rsidRPr="004B208C">
        <w:rPr>
          <w:rFonts w:cs="Tahoma"/>
        </w:rPr>
        <w:t>Microsoft fornecerá ao revendedor do cliente uma notificação sobre tais alterações. O cliente e seu revendedor determinarão os preços reais e a aplicabilidade das alterações de preços.</w:t>
      </w:r>
    </w:p>
    <w:p w:rsidR="00BD1A6A" w:rsidRPr="000C5B49" w:rsidRDefault="00BD1A6A">
      <w:pPr>
        <w:rPr>
          <w:rFonts w:cs="Tahoma"/>
          <w:sz w:val="16"/>
          <w:szCs w:val="16"/>
        </w:rPr>
      </w:pPr>
    </w:p>
    <w:p w:rsidR="0067627F" w:rsidRPr="000C5B49" w:rsidRDefault="0067627F" w:rsidP="00776E3B">
      <w:pPr>
        <w:rPr>
          <w:rFonts w:cs="Tahoma"/>
          <w:sz w:val="16"/>
          <w:szCs w:val="16"/>
        </w:rPr>
      </w:pPr>
    </w:p>
    <w:p w:rsidR="00456002" w:rsidRPr="004B208C" w:rsidRDefault="00456002" w:rsidP="00456002">
      <w:pPr>
        <w:pStyle w:val="Heading2"/>
        <w:ind w:left="0"/>
        <w:rPr>
          <w:rFonts w:ascii="Tahoma" w:hAnsi="Tahoma" w:cs="Tahoma"/>
        </w:rPr>
      </w:pPr>
      <w:bookmarkStart w:id="671" w:name="_Toc328145984"/>
      <w:bookmarkStart w:id="672" w:name="_Toc336338215"/>
      <w:bookmarkStart w:id="673" w:name="_Toc370981330"/>
      <w:r w:rsidRPr="004B208C">
        <w:rPr>
          <w:rFonts w:ascii="Tahoma" w:hAnsi="Tahoma" w:cs="Tahoma"/>
        </w:rPr>
        <w:t>Disponibilidade Regional dos Serviços Online</w:t>
      </w:r>
      <w:bookmarkEnd w:id="671"/>
      <w:bookmarkEnd w:id="672"/>
      <w:bookmarkEnd w:id="673"/>
      <w:r w:rsidRPr="004B208C">
        <w:rPr>
          <w:rFonts w:ascii="Tahoma" w:hAnsi="Tahoma" w:cs="Tahoma"/>
        </w:rPr>
        <w:t xml:space="preserve"> </w:t>
      </w:r>
    </w:p>
    <w:p w:rsidR="00456002" w:rsidRPr="004B208C" w:rsidRDefault="00456002" w:rsidP="00DF28F2">
      <w:pPr>
        <w:outlineLvl w:val="2"/>
        <w:rPr>
          <w:rFonts w:cs="Tahoma"/>
        </w:rPr>
      </w:pPr>
    </w:p>
    <w:p w:rsidR="0067627F" w:rsidRPr="004B208C" w:rsidRDefault="00456002" w:rsidP="0067627F">
      <w:pPr>
        <w:outlineLvl w:val="2"/>
        <w:rPr>
          <w:rFonts w:cs="Tahoma"/>
        </w:rPr>
      </w:pPr>
      <w:r w:rsidRPr="004B208C">
        <w:rPr>
          <w:rFonts w:cs="Tahoma"/>
          <w:szCs w:val="18"/>
        </w:rPr>
        <w:t xml:space="preserve">Visite o site </w:t>
      </w:r>
      <w:hyperlink r:id="rId21" w:anchor="international" w:history="1">
        <w:r w:rsidR="000C5B49">
          <w:rPr>
            <w:rStyle w:val="Hyperlink"/>
          </w:rPr>
          <w:t>http://www.microsoft.com/online/faq.aspx#international</w:t>
        </w:r>
      </w:hyperlink>
      <w:r w:rsidR="00172F11">
        <w:rPr>
          <w:rFonts w:cs="Tahoma"/>
          <w:color w:val="1F497D"/>
        </w:rPr>
        <w:t xml:space="preserve"> </w:t>
      </w:r>
      <w:r w:rsidRPr="004B208C">
        <w:rPr>
          <w:rFonts w:cs="Tahoma"/>
          <w:color w:val="000000"/>
        </w:rPr>
        <w:t>para obter uma lista de países e regiões nos quais os Serviços Online estão disponíveis.</w:t>
      </w:r>
      <w:r w:rsidR="00172F11">
        <w:rPr>
          <w:rFonts w:cs="Tahoma"/>
          <w:color w:val="000000"/>
        </w:rPr>
        <w:t xml:space="preserve"> </w:t>
      </w:r>
    </w:p>
    <w:p w:rsidR="0067627F" w:rsidRPr="000C5B49" w:rsidRDefault="0067627F" w:rsidP="0067627F">
      <w:pPr>
        <w:outlineLvl w:val="2"/>
        <w:rPr>
          <w:rFonts w:cs="Tahoma"/>
          <w:sz w:val="16"/>
          <w:szCs w:val="16"/>
        </w:rPr>
      </w:pPr>
    </w:p>
    <w:p w:rsidR="00456002" w:rsidRPr="004B208C" w:rsidRDefault="00456002" w:rsidP="00456002">
      <w:pPr>
        <w:pStyle w:val="Heading2"/>
        <w:ind w:left="0"/>
        <w:rPr>
          <w:rFonts w:ascii="Tahoma" w:hAnsi="Tahoma" w:cs="Tahoma"/>
        </w:rPr>
      </w:pPr>
      <w:bookmarkStart w:id="674" w:name="_Toc328145985"/>
      <w:bookmarkStart w:id="675" w:name="_Toc336338216"/>
      <w:bookmarkStart w:id="676" w:name="_Toc370981331"/>
      <w:r w:rsidRPr="004B208C">
        <w:rPr>
          <w:rFonts w:ascii="Tahoma" w:hAnsi="Tahoma" w:cs="Tahoma"/>
        </w:rPr>
        <w:t>Termos adicionais de Serviços Online</w:t>
      </w:r>
      <w:bookmarkEnd w:id="674"/>
      <w:bookmarkEnd w:id="675"/>
      <w:bookmarkEnd w:id="676"/>
    </w:p>
    <w:p w:rsidR="00456002" w:rsidRPr="000C5B49" w:rsidRDefault="00456002" w:rsidP="00DF28F2">
      <w:pPr>
        <w:outlineLvl w:val="2"/>
        <w:rPr>
          <w:rFonts w:cs="Tahoma"/>
          <w:sz w:val="16"/>
          <w:szCs w:val="16"/>
        </w:rPr>
      </w:pPr>
    </w:p>
    <w:p w:rsidR="00456002" w:rsidRPr="004B208C" w:rsidRDefault="00456002" w:rsidP="00CF3FEE">
      <w:pPr>
        <w:rPr>
          <w:rFonts w:cs="Tahoma"/>
        </w:rPr>
      </w:pPr>
      <w:r w:rsidRPr="004B208C">
        <w:rPr>
          <w:rFonts w:cs="Tahoma"/>
        </w:rPr>
        <w:t>Esta Lista de Produtos pode conter informações adicionais sobre produtos específicos.</w:t>
      </w:r>
      <w:r w:rsidR="00172F11">
        <w:rPr>
          <w:rFonts w:cs="Tahoma"/>
        </w:rPr>
        <w:t xml:space="preserve"> </w:t>
      </w:r>
      <w:r w:rsidRPr="004B208C">
        <w:rPr>
          <w:rFonts w:cs="Tahoma"/>
        </w:rPr>
        <w:t>Para saber mais, consulte as</w:t>
      </w:r>
      <w:r w:rsidR="009869F4">
        <w:rPr>
          <w:rFonts w:cs="Tahoma"/>
        </w:rPr>
        <w:t> </w:t>
      </w:r>
      <w:r w:rsidRPr="004B208C">
        <w:rPr>
          <w:rFonts w:cs="Tahoma"/>
        </w:rPr>
        <w:t>seções sobre produtos neste documento.</w:t>
      </w:r>
    </w:p>
    <w:p w:rsidR="00456002" w:rsidRPr="000C5B49" w:rsidRDefault="00456002" w:rsidP="00CF3FEE">
      <w:pPr>
        <w:rPr>
          <w:rFonts w:cs="Tahoma"/>
          <w:sz w:val="16"/>
          <w:szCs w:val="16"/>
        </w:rPr>
      </w:pPr>
    </w:p>
    <w:p w:rsidR="00456002" w:rsidRPr="004B208C" w:rsidRDefault="00456002" w:rsidP="00CF3FEE">
      <w:pPr>
        <w:rPr>
          <w:rFonts w:cs="Tahoma"/>
        </w:rPr>
      </w:pPr>
      <w:r w:rsidRPr="004B208C">
        <w:rPr>
          <w:rFonts w:cs="Tahoma"/>
        </w:rPr>
        <w:t xml:space="preserve">Os Direitos de Uso de Produto encontrados no site </w:t>
      </w:r>
      <w:r w:rsidR="000C5B49" w:rsidRPr="001409EF">
        <w:t>http://www.microsoftvolumelicensing.com/userights/PUR.aspx</w:t>
      </w:r>
      <w:r w:rsidRPr="004B208C">
        <w:rPr>
          <w:rFonts w:cs="Tahoma"/>
        </w:rPr>
        <w:t xml:space="preserve"> estabelecem outros termos e condições gerais e específicos a produtos que regem o uso dos serviços online.</w:t>
      </w:r>
      <w:r w:rsidR="00172F11">
        <w:rPr>
          <w:rFonts w:cs="Tahoma"/>
        </w:rPr>
        <w:t xml:space="preserve"> </w:t>
      </w:r>
      <w:r w:rsidRPr="004B208C">
        <w:rPr>
          <w:rFonts w:cs="Tahoma"/>
        </w:rPr>
        <w:t>Os direitos de uso de produto dos serviços online estão sujeitos a alterações conforme descrito na seção sobre Serviços Online desse documento.</w:t>
      </w:r>
    </w:p>
    <w:p w:rsidR="00456002" w:rsidRPr="000C5B49" w:rsidRDefault="00456002" w:rsidP="00CF3FEE">
      <w:pPr>
        <w:rPr>
          <w:rFonts w:cs="Tahoma"/>
          <w:sz w:val="16"/>
          <w:szCs w:val="16"/>
        </w:rPr>
      </w:pPr>
    </w:p>
    <w:p w:rsidR="00676723" w:rsidRPr="004B208C" w:rsidRDefault="00456002">
      <w:pPr>
        <w:rPr>
          <w:rFonts w:cs="Tahoma"/>
        </w:rPr>
      </w:pPr>
      <w:bookmarkStart w:id="677" w:name="_Toc325313160"/>
      <w:r w:rsidRPr="004B208C">
        <w:rPr>
          <w:rFonts w:cs="Tahoma"/>
        </w:rPr>
        <w:t>Os Termos de Pagamento e Preços de Serviços Online não se aplicam aos Serviços Online obtidos de acordo com o</w:t>
      </w:r>
      <w:r w:rsidR="000C5B49">
        <w:rPr>
          <w:rFonts w:cs="Tahoma"/>
        </w:rPr>
        <w:t> </w:t>
      </w:r>
      <w:r w:rsidRPr="004B208C">
        <w:rPr>
          <w:rFonts w:cs="Tahoma"/>
        </w:rPr>
        <w:t>Contrato Microsoft Online Subscription.</w:t>
      </w:r>
      <w:r w:rsidR="00172F11">
        <w:rPr>
          <w:rFonts w:cs="Tahoma"/>
        </w:rPr>
        <w:t xml:space="preserve"> </w:t>
      </w:r>
      <w:r w:rsidRPr="004B208C">
        <w:rPr>
          <w:rFonts w:cs="Tahoma"/>
        </w:rPr>
        <w:t>Todos os termos aplicáveis dos Serviços Online obtidos de acordo com o</w:t>
      </w:r>
      <w:r w:rsidR="000C5B49">
        <w:rPr>
          <w:rFonts w:cs="Tahoma"/>
        </w:rPr>
        <w:t> </w:t>
      </w:r>
      <w:r w:rsidRPr="004B208C">
        <w:rPr>
          <w:rFonts w:cs="Tahoma"/>
        </w:rPr>
        <w:t>Contrato Microsoft Online Subscription estão contidos nesse contrato e no Portal do Cliente do Microsoft Online</w:t>
      </w:r>
      <w:r w:rsidR="000C5B49">
        <w:rPr>
          <w:rFonts w:cs="Tahoma"/>
        </w:rPr>
        <w:t> </w:t>
      </w:r>
      <w:r w:rsidRPr="004B208C">
        <w:rPr>
          <w:rFonts w:cs="Tahoma"/>
        </w:rPr>
        <w:t>Services.</w:t>
      </w:r>
      <w:bookmarkStart w:id="678" w:name="_Supplemental_Terms_For"/>
      <w:bookmarkStart w:id="679" w:name="_Toc336338217"/>
      <w:bookmarkEnd w:id="677"/>
      <w:bookmarkEnd w:id="678"/>
      <w:r w:rsidR="00676723" w:rsidRPr="004B208C">
        <w:rPr>
          <w:rFonts w:cs="Tahoma"/>
        </w:rPr>
        <w:br w:type="page"/>
      </w:r>
    </w:p>
    <w:p w:rsidR="00023FE7" w:rsidRPr="004B208C" w:rsidRDefault="00A33112" w:rsidP="000C5B49">
      <w:pPr>
        <w:pStyle w:val="Heading1"/>
        <w:spacing w:before="0"/>
        <w:rPr>
          <w:rFonts w:cs="Tahoma"/>
        </w:rPr>
      </w:pPr>
      <w:bookmarkStart w:id="680" w:name="_Toc370981332"/>
      <w:r w:rsidRPr="004B208C">
        <w:rPr>
          <w:rFonts w:cs="Tahoma"/>
        </w:rPr>
        <w:lastRenderedPageBreak/>
        <w:t>SEÇÃO 6 – regras de renovação DO Software Assurance</w:t>
      </w:r>
      <w:bookmarkEnd w:id="679"/>
      <w:bookmarkEnd w:id="680"/>
    </w:p>
    <w:p w:rsidR="00865A60" w:rsidRPr="000C5B49" w:rsidRDefault="00865A60" w:rsidP="00865A60">
      <w:pPr>
        <w:rPr>
          <w:rFonts w:cs="Tahoma"/>
          <w:sz w:val="24"/>
          <w:szCs w:val="24"/>
        </w:rPr>
      </w:pPr>
    </w:p>
    <w:p w:rsidR="00171817" w:rsidRPr="004B208C" w:rsidRDefault="00171817" w:rsidP="00171817">
      <w:pPr>
        <w:pStyle w:val="Heading4"/>
        <w:tabs>
          <w:tab w:val="clear" w:pos="720"/>
          <w:tab w:val="num" w:pos="0"/>
        </w:tabs>
        <w:ind w:left="0" w:firstLine="0"/>
        <w:rPr>
          <w:rFonts w:ascii="Tahoma" w:hAnsi="Tahoma" w:cs="Tahoma"/>
        </w:rPr>
      </w:pPr>
      <w:bookmarkStart w:id="681" w:name="_Toc323159745"/>
      <w:bookmarkStart w:id="682" w:name="_Toc336338218"/>
      <w:bookmarkStart w:id="683" w:name="_Toc370981333"/>
      <w:r w:rsidRPr="004B208C">
        <w:rPr>
          <w:rFonts w:ascii="Tahoma" w:hAnsi="Tahoma" w:cs="Tahoma"/>
          <w:sz w:val="24"/>
        </w:rPr>
        <w:t>Licença Open</w:t>
      </w:r>
      <w:bookmarkEnd w:id="681"/>
      <w:bookmarkEnd w:id="682"/>
      <w:bookmarkEnd w:id="683"/>
    </w:p>
    <w:p w:rsidR="00171817" w:rsidRPr="009869F4" w:rsidRDefault="00171817" w:rsidP="00865A60">
      <w:pPr>
        <w:pStyle w:val="Heading4"/>
        <w:tabs>
          <w:tab w:val="clear" w:pos="720"/>
          <w:tab w:val="num" w:pos="0"/>
        </w:tabs>
        <w:spacing w:before="0"/>
        <w:ind w:left="0" w:firstLine="0"/>
        <w:rPr>
          <w:rFonts w:ascii="Tahoma" w:hAnsi="Tahoma" w:cs="Tahoma"/>
          <w:b w:val="0"/>
          <w:sz w:val="18"/>
          <w:szCs w:val="18"/>
        </w:rPr>
      </w:pPr>
    </w:p>
    <w:p w:rsidR="00171817" w:rsidRPr="009869F4" w:rsidRDefault="00171817" w:rsidP="005242EC">
      <w:pPr>
        <w:pStyle w:val="StyleHeading22Left138Firstline0"/>
        <w:tabs>
          <w:tab w:val="num" w:pos="0"/>
        </w:tabs>
        <w:ind w:left="0"/>
        <w:jc w:val="left"/>
        <w:rPr>
          <w:rFonts w:ascii="Tahoma" w:hAnsi="Tahoma" w:cs="Tahoma"/>
          <w:sz w:val="18"/>
          <w:szCs w:val="18"/>
        </w:rPr>
      </w:pPr>
      <w:r w:rsidRPr="009869F4">
        <w:rPr>
          <w:rFonts w:ascii="Tahoma" w:hAnsi="Tahoma" w:cs="Tahoma"/>
          <w:sz w:val="18"/>
          <w:szCs w:val="18"/>
        </w:rPr>
        <w:t>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w:t>
      </w:r>
    </w:p>
    <w:p w:rsidR="00865A60" w:rsidRPr="000C5B49" w:rsidRDefault="00865A60" w:rsidP="005242EC">
      <w:pPr>
        <w:pStyle w:val="AppendIndentSub"/>
        <w:ind w:left="0"/>
        <w:rPr>
          <w:rFonts w:ascii="Tahoma" w:hAnsi="Tahoma" w:cs="Tahoma"/>
          <w:sz w:val="18"/>
          <w:szCs w:val="18"/>
        </w:rPr>
      </w:pPr>
    </w:p>
    <w:p w:rsidR="00171817" w:rsidRPr="004B208C" w:rsidRDefault="00171817" w:rsidP="002171C3">
      <w:pPr>
        <w:pStyle w:val="Heading4"/>
        <w:ind w:left="360"/>
        <w:rPr>
          <w:rFonts w:ascii="Tahoma" w:hAnsi="Tahoma" w:cs="Tahoma"/>
        </w:rPr>
      </w:pPr>
      <w:bookmarkStart w:id="684" w:name="_Toc336338219"/>
      <w:bookmarkStart w:id="685" w:name="_Toc370981334"/>
      <w:r w:rsidRPr="004B208C">
        <w:rPr>
          <w:rFonts w:ascii="Tahoma" w:hAnsi="Tahoma" w:cs="Tahoma"/>
          <w:sz w:val="24"/>
        </w:rPr>
        <w:t>Open Value 20xx</w:t>
      </w:r>
      <w:bookmarkEnd w:id="684"/>
      <w:bookmarkEnd w:id="685"/>
    </w:p>
    <w:p w:rsidR="00171817" w:rsidRPr="004B208C" w:rsidRDefault="00171817" w:rsidP="00171817">
      <w:pPr>
        <w:tabs>
          <w:tab w:val="num" w:pos="0"/>
        </w:tabs>
        <w:rPr>
          <w:rFonts w:cs="Tahoma"/>
        </w:rPr>
      </w:pPr>
    </w:p>
    <w:p w:rsidR="00171817" w:rsidRPr="004B208C" w:rsidRDefault="00171817" w:rsidP="005242EC">
      <w:pPr>
        <w:keepNext/>
        <w:tabs>
          <w:tab w:val="num" w:pos="720"/>
        </w:tabs>
        <w:spacing w:after="60"/>
        <w:ind w:left="360" w:hanging="360"/>
        <w:outlineLvl w:val="3"/>
        <w:rPr>
          <w:rFonts w:cs="Tahoma"/>
        </w:rPr>
      </w:pPr>
      <w:r w:rsidRPr="004B208C">
        <w:rPr>
          <w:rFonts w:cs="Tahoma"/>
          <w:b/>
          <w:szCs w:val="20"/>
        </w:rPr>
        <w:t xml:space="preserve">Renovação da Cobertura sob o Mesmo Contrato </w:t>
      </w:r>
    </w:p>
    <w:p w:rsidR="00171817" w:rsidRPr="004B208C" w:rsidRDefault="00171817" w:rsidP="00171817">
      <w:pPr>
        <w:tabs>
          <w:tab w:val="num" w:pos="0"/>
        </w:tabs>
        <w:rPr>
          <w:rFonts w:cs="Tahoma"/>
        </w:rPr>
      </w:pPr>
      <w:r w:rsidRPr="004B208C">
        <w:rPr>
          <w:rFonts w:cs="Tahoma"/>
          <w:szCs w:val="20"/>
        </w:rPr>
        <w:t>A cobertura do Software Assurance solicitada sob um contrato Open Value se encerrará ao término (ou na rescisão) do referido contrato. Os clientes receberão uma notificação por escrito 60 dias antes do término do contrato, informando-os sobre suas opções de renovação. Os clientes poderão ter a opção de renovar seus contratos por um período de 36 meses subsequentes. Para renovar a cobertura do Software Assurance, os clientes deverão enviar um</w:t>
      </w:r>
      <w:r w:rsidR="000C5B49">
        <w:rPr>
          <w:rFonts w:cs="Tahoma"/>
          <w:szCs w:val="20"/>
        </w:rPr>
        <w:t> </w:t>
      </w:r>
      <w:r w:rsidRPr="004B208C">
        <w:rPr>
          <w:rFonts w:cs="Tahoma"/>
          <w:szCs w:val="20"/>
        </w:rPr>
        <w:t>pedido de renovação do Software Assurance antes do término do prazo anterior.</w:t>
      </w:r>
      <w:r w:rsidR="00172F11">
        <w:rPr>
          <w:rFonts w:cs="Tahoma"/>
          <w:szCs w:val="20"/>
        </w:rPr>
        <w:t xml:space="preserve"> </w:t>
      </w:r>
      <w:r w:rsidRPr="004B208C">
        <w:rPr>
          <w:rFonts w:cs="Tahoma"/>
          <w:szCs w:val="20"/>
        </w:rPr>
        <w:t>Se um cliente tiver escolhido a</w:t>
      </w:r>
      <w:r w:rsidR="000C5B49">
        <w:rPr>
          <w:rFonts w:cs="Tahoma"/>
          <w:szCs w:val="20"/>
        </w:rPr>
        <w:t> </w:t>
      </w:r>
      <w:r w:rsidRPr="004B208C">
        <w:rPr>
          <w:rFonts w:cs="Tahoma"/>
          <w:szCs w:val="20"/>
        </w:rPr>
        <w:t xml:space="preserve">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 </w:t>
      </w:r>
    </w:p>
    <w:p w:rsidR="00171817" w:rsidRPr="004B208C" w:rsidRDefault="00171817" w:rsidP="00171817">
      <w:pPr>
        <w:tabs>
          <w:tab w:val="num" w:pos="0"/>
        </w:tabs>
        <w:rPr>
          <w:rFonts w:cs="Tahoma"/>
        </w:rPr>
      </w:pPr>
    </w:p>
    <w:p w:rsidR="00171817" w:rsidRPr="004B208C" w:rsidRDefault="00171817" w:rsidP="005242EC">
      <w:pPr>
        <w:keepNext/>
        <w:tabs>
          <w:tab w:val="num" w:pos="720"/>
        </w:tabs>
        <w:spacing w:after="60"/>
        <w:ind w:left="360" w:hanging="360"/>
        <w:outlineLvl w:val="3"/>
        <w:rPr>
          <w:rFonts w:cs="Tahoma"/>
        </w:rPr>
      </w:pPr>
      <w:r w:rsidRPr="004B208C">
        <w:rPr>
          <w:rFonts w:cs="Tahoma"/>
          <w:b/>
          <w:szCs w:val="20"/>
        </w:rPr>
        <w:t>Renovação da Cobertura a partir de um Contrato Separado</w:t>
      </w:r>
    </w:p>
    <w:p w:rsidR="00171817" w:rsidRPr="004B208C" w:rsidRDefault="00171817" w:rsidP="00865A60">
      <w:pPr>
        <w:tabs>
          <w:tab w:val="num" w:pos="0"/>
        </w:tabs>
        <w:rPr>
          <w:rFonts w:cs="Tahoma"/>
        </w:rPr>
      </w:pPr>
      <w:r w:rsidRPr="004B208C">
        <w:rPr>
          <w:rFonts w:cs="Tahoma"/>
          <w:szCs w:val="20"/>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w:t>
      </w:r>
      <w:r w:rsidR="00172F11">
        <w:rPr>
          <w:rFonts w:cs="Tahoma"/>
          <w:szCs w:val="20"/>
        </w:rPr>
        <w:t xml:space="preserve"> </w:t>
      </w:r>
      <w:r w:rsidRPr="004B208C">
        <w:rPr>
          <w:rFonts w:cs="Tahoma"/>
          <w:szCs w:val="20"/>
        </w:rPr>
        <w:t>O</w:t>
      </w:r>
      <w:r w:rsidR="000C5B49">
        <w:rPr>
          <w:rFonts w:cs="Tahoma"/>
          <w:szCs w:val="20"/>
        </w:rPr>
        <w:t> </w:t>
      </w:r>
      <w:r w:rsidRPr="004B208C">
        <w:rPr>
          <w:rFonts w:cs="Tahoma"/>
          <w:szCs w:val="20"/>
        </w:rPr>
        <w:t>pedido de renovação do Software Assurance deverá ser feito antes do término da cobertura do Software Assurance sob o contrato anterior, a menos que essa cobertura esteja sendo renovada de um Contrato de Licença</w:t>
      </w:r>
      <w:r w:rsidR="000C5B49">
        <w:rPr>
          <w:rFonts w:cs="Tahoma"/>
          <w:szCs w:val="20"/>
        </w:rPr>
        <w:t> </w:t>
      </w:r>
      <w:r w:rsidRPr="004B208C">
        <w:rPr>
          <w:rFonts w:cs="Tahoma"/>
          <w:szCs w:val="20"/>
        </w:rPr>
        <w:t xml:space="preserve">Open. Nesse caso, os clientes terão 90 dias a partir da data de término para fazer o pedido. </w:t>
      </w:r>
    </w:p>
    <w:p w:rsidR="00865A60" w:rsidRPr="004B208C" w:rsidRDefault="00865A60" w:rsidP="005242EC">
      <w:pPr>
        <w:tabs>
          <w:tab w:val="num" w:pos="0"/>
        </w:tabs>
        <w:rPr>
          <w:rFonts w:cs="Tahoma"/>
        </w:rPr>
      </w:pPr>
    </w:p>
    <w:p w:rsidR="00171817" w:rsidRPr="004B208C" w:rsidRDefault="00171817" w:rsidP="002171C3">
      <w:pPr>
        <w:pStyle w:val="Heading4"/>
        <w:ind w:left="360"/>
        <w:rPr>
          <w:rFonts w:ascii="Tahoma" w:hAnsi="Tahoma" w:cs="Tahoma"/>
        </w:rPr>
      </w:pPr>
      <w:bookmarkStart w:id="686" w:name="_Toc323159746"/>
      <w:bookmarkStart w:id="687" w:name="_Toc336338220"/>
      <w:bookmarkStart w:id="688" w:name="_Toc370981335"/>
      <w:r w:rsidRPr="004B208C">
        <w:rPr>
          <w:rFonts w:ascii="Tahoma" w:hAnsi="Tahoma" w:cs="Tahoma"/>
          <w:sz w:val="24"/>
        </w:rPr>
        <w:t>Select 20xx</w:t>
      </w:r>
      <w:bookmarkEnd w:id="686"/>
      <w:bookmarkEnd w:id="687"/>
      <w:bookmarkEnd w:id="688"/>
    </w:p>
    <w:p w:rsidR="00171817" w:rsidRPr="004B208C" w:rsidRDefault="00171817" w:rsidP="00171817">
      <w:pPr>
        <w:tabs>
          <w:tab w:val="num" w:pos="0"/>
        </w:tabs>
        <w:rPr>
          <w:rFonts w:cs="Tahoma"/>
        </w:rPr>
      </w:pPr>
    </w:p>
    <w:p w:rsidR="00171817" w:rsidRPr="004B208C" w:rsidRDefault="00171817" w:rsidP="005242EC">
      <w:pPr>
        <w:pStyle w:val="Heading4"/>
        <w:spacing w:before="0" w:after="60"/>
        <w:ind w:left="360"/>
        <w:rPr>
          <w:rFonts w:ascii="Tahoma" w:hAnsi="Tahoma" w:cs="Tahoma"/>
        </w:rPr>
      </w:pPr>
      <w:bookmarkStart w:id="689" w:name="_Toc323159747"/>
      <w:bookmarkStart w:id="690" w:name="_Toc328145990"/>
      <w:bookmarkStart w:id="691" w:name="_Toc336338221"/>
      <w:bookmarkStart w:id="692" w:name="_Toc370981336"/>
      <w:r w:rsidRPr="004B208C">
        <w:rPr>
          <w:rFonts w:ascii="Tahoma" w:hAnsi="Tahoma" w:cs="Tahoma"/>
          <w:sz w:val="18"/>
        </w:rPr>
        <w:t>Renovação da Cobertura sob o Mesmo Contrato</w:t>
      </w:r>
      <w:bookmarkEnd w:id="689"/>
      <w:bookmarkEnd w:id="690"/>
      <w:bookmarkEnd w:id="691"/>
      <w:bookmarkEnd w:id="692"/>
      <w:r w:rsidRPr="004B208C">
        <w:rPr>
          <w:rFonts w:ascii="Tahoma" w:hAnsi="Tahoma" w:cs="Tahoma"/>
          <w:sz w:val="18"/>
        </w:rPr>
        <w:t xml:space="preserve"> </w:t>
      </w:r>
    </w:p>
    <w:p w:rsidR="00171817" w:rsidRPr="009869F4" w:rsidRDefault="00171817" w:rsidP="00171817">
      <w:pPr>
        <w:pStyle w:val="styleheading22left138firstline00"/>
        <w:tabs>
          <w:tab w:val="num" w:pos="0"/>
        </w:tabs>
        <w:snapToGrid w:val="0"/>
        <w:ind w:left="0"/>
        <w:jc w:val="left"/>
        <w:rPr>
          <w:rFonts w:ascii="Tahoma" w:hAnsi="Tahoma" w:cs="Tahoma"/>
          <w:sz w:val="18"/>
          <w:szCs w:val="18"/>
        </w:rPr>
      </w:pPr>
      <w:r w:rsidRPr="009869F4">
        <w:rPr>
          <w:rFonts w:ascii="Tahoma" w:hAnsi="Tahoma" w:cs="Tahoma"/>
          <w:sz w:val="18"/>
          <w:szCs w:val="18"/>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w:t>
      </w:r>
      <w:r w:rsidR="000C5B49" w:rsidRPr="009869F4">
        <w:rPr>
          <w:rFonts w:ascii="Tahoma" w:hAnsi="Tahoma" w:cs="Tahoma"/>
          <w:sz w:val="18"/>
          <w:szCs w:val="18"/>
        </w:rPr>
        <w:t> </w:t>
      </w:r>
      <w:r w:rsidRPr="009869F4">
        <w:rPr>
          <w:rFonts w:ascii="Tahoma" w:hAnsi="Tahoma" w:cs="Tahoma"/>
          <w:sz w:val="18"/>
          <w:szCs w:val="18"/>
        </w:rPr>
        <w:t>cliente deverá enviar um pedido de renovação à Microsoft por meio de seu revendedor antes do término do prazo anterior. Os pedidos de renovação deverão ser para todo o prazo da renovação.</w:t>
      </w:r>
      <w:r w:rsidR="00172F11" w:rsidRPr="009869F4">
        <w:rPr>
          <w:rFonts w:ascii="Tahoma" w:hAnsi="Tahoma" w:cs="Tahoma"/>
          <w:sz w:val="18"/>
          <w:szCs w:val="18"/>
        </w:rPr>
        <w:t xml:space="preserve"> </w:t>
      </w:r>
      <w:r w:rsidRPr="009869F4">
        <w:rPr>
          <w:rFonts w:ascii="Tahoma" w:hAnsi="Tahoma" w:cs="Tahoma"/>
          <w:sz w:val="18"/>
          <w:szCs w:val="18"/>
        </w:rPr>
        <w:t xml:space="preserve">Cada prazo de renovação terá início no dia seguinte ao término do prazo anterior. </w:t>
      </w:r>
    </w:p>
    <w:p w:rsidR="00973A93" w:rsidRDefault="00973A93">
      <w:pPr>
        <w:rPr>
          <w:rFonts w:cs="Tahoma"/>
        </w:rPr>
      </w:pPr>
      <w:bookmarkStart w:id="693" w:name="_Toc323159748"/>
      <w:bookmarkStart w:id="694" w:name="_Toc336338222"/>
    </w:p>
    <w:p w:rsidR="000C5B49" w:rsidRDefault="000C5B49">
      <w:pPr>
        <w:rPr>
          <w:rFonts w:cs="Tahoma"/>
        </w:rPr>
      </w:pPr>
    </w:p>
    <w:p w:rsidR="000C5B49" w:rsidRDefault="000C5B49">
      <w:pPr>
        <w:rPr>
          <w:rFonts w:cs="Tahoma"/>
        </w:rPr>
      </w:pPr>
    </w:p>
    <w:p w:rsidR="000C5B49" w:rsidRDefault="000C5B49">
      <w:pPr>
        <w:rPr>
          <w:rFonts w:cs="Tahoma"/>
        </w:rPr>
      </w:pPr>
    </w:p>
    <w:p w:rsidR="000C5B49" w:rsidRPr="004B208C" w:rsidRDefault="000C5B49">
      <w:pPr>
        <w:rPr>
          <w:rFonts w:cs="Tahoma"/>
        </w:rPr>
      </w:pPr>
    </w:p>
    <w:p w:rsidR="00171817" w:rsidRPr="004B208C" w:rsidRDefault="00171817" w:rsidP="005242EC">
      <w:pPr>
        <w:pStyle w:val="Heading4"/>
        <w:spacing w:before="0" w:after="60"/>
        <w:ind w:left="360"/>
        <w:rPr>
          <w:rFonts w:ascii="Tahoma" w:hAnsi="Tahoma" w:cs="Tahoma"/>
        </w:rPr>
      </w:pPr>
      <w:bookmarkStart w:id="695" w:name="_Toc370981337"/>
      <w:r w:rsidRPr="004B208C">
        <w:rPr>
          <w:rFonts w:ascii="Tahoma" w:hAnsi="Tahoma" w:cs="Tahoma"/>
          <w:sz w:val="18"/>
        </w:rPr>
        <w:lastRenderedPageBreak/>
        <w:t>Renovação da Cobertura a partir de um Contrato Separado</w:t>
      </w:r>
      <w:bookmarkEnd w:id="693"/>
      <w:bookmarkEnd w:id="694"/>
      <w:bookmarkEnd w:id="695"/>
    </w:p>
    <w:p w:rsidR="00171817" w:rsidRPr="004B208C" w:rsidRDefault="00171817" w:rsidP="0063466C">
      <w:pPr>
        <w:pStyle w:val="styleheading22left138firstline00"/>
        <w:tabs>
          <w:tab w:val="num" w:pos="0"/>
        </w:tabs>
        <w:snapToGrid w:val="0"/>
        <w:ind w:left="0"/>
        <w:jc w:val="left"/>
        <w:rPr>
          <w:rFonts w:ascii="Tahoma" w:hAnsi="Tahoma" w:cs="Tahoma"/>
        </w:rPr>
      </w:pPr>
      <w:r w:rsidRPr="004B208C">
        <w:rPr>
          <w:rFonts w:ascii="Tahoma" w:hAnsi="Tahoma" w:cs="Tahoma"/>
          <w:sz w:val="18"/>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w:t>
      </w:r>
      <w:r w:rsidR="000C5B49">
        <w:rPr>
          <w:rFonts w:ascii="Tahoma" w:hAnsi="Tahoma" w:cs="Tahoma"/>
          <w:sz w:val="18"/>
        </w:rPr>
        <w:t> </w:t>
      </w:r>
      <w:r w:rsidRPr="004B208C">
        <w:rPr>
          <w:rFonts w:ascii="Tahoma" w:hAnsi="Tahoma" w:cs="Tahoma"/>
          <w:sz w:val="18"/>
        </w:rPr>
        <w:t>dia 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w:t>
      </w:r>
      <w:r w:rsidR="000C5B49">
        <w:rPr>
          <w:rFonts w:ascii="Tahoma" w:hAnsi="Tahoma" w:cs="Tahoma"/>
          <w:sz w:val="18"/>
        </w:rPr>
        <w:t> </w:t>
      </w:r>
      <w:r w:rsidRPr="004B208C">
        <w:rPr>
          <w:rFonts w:ascii="Tahoma" w:hAnsi="Tahoma" w:cs="Tahoma"/>
          <w:sz w:val="18"/>
        </w:rPr>
        <w:t>partir da data de término para fazer o pedido.</w:t>
      </w:r>
    </w:p>
    <w:p w:rsidR="00865A60" w:rsidRPr="004B208C" w:rsidRDefault="00865A60" w:rsidP="0063466C">
      <w:pPr>
        <w:outlineLvl w:val="2"/>
        <w:rPr>
          <w:rFonts w:cs="Tahoma"/>
        </w:rPr>
      </w:pPr>
    </w:p>
    <w:p w:rsidR="00171817" w:rsidRPr="004B208C" w:rsidRDefault="00171817" w:rsidP="002171C3">
      <w:pPr>
        <w:pStyle w:val="Heading4"/>
        <w:ind w:left="360"/>
        <w:rPr>
          <w:rFonts w:ascii="Tahoma" w:hAnsi="Tahoma" w:cs="Tahoma"/>
        </w:rPr>
      </w:pPr>
      <w:bookmarkStart w:id="696" w:name="_Toc336338223"/>
      <w:bookmarkStart w:id="697" w:name="_Toc370981338"/>
      <w:r w:rsidRPr="004B208C">
        <w:rPr>
          <w:rFonts w:ascii="Tahoma" w:hAnsi="Tahoma" w:cs="Tahoma"/>
          <w:sz w:val="24"/>
        </w:rPr>
        <w:t>Select Plus 20xx</w:t>
      </w:r>
      <w:bookmarkEnd w:id="696"/>
      <w:bookmarkEnd w:id="697"/>
    </w:p>
    <w:p w:rsidR="00171817" w:rsidRPr="004B208C" w:rsidRDefault="00171817" w:rsidP="00171817">
      <w:pPr>
        <w:rPr>
          <w:rFonts w:cs="Tahoma"/>
        </w:rPr>
      </w:pPr>
    </w:p>
    <w:p w:rsidR="00171817" w:rsidRPr="004B208C" w:rsidRDefault="00171817" w:rsidP="0063466C">
      <w:pPr>
        <w:spacing w:after="60"/>
        <w:rPr>
          <w:rFonts w:cs="Tahoma"/>
        </w:rPr>
      </w:pPr>
      <w:r w:rsidRPr="004B208C">
        <w:rPr>
          <w:rFonts w:cs="Tahoma"/>
          <w:b/>
          <w:bCs/>
        </w:rPr>
        <w:t xml:space="preserve">Renovação da Cobertura sob o Mesmo Contrato </w:t>
      </w:r>
    </w:p>
    <w:p w:rsidR="00171817" w:rsidRPr="004B208C" w:rsidRDefault="00171817" w:rsidP="00171817">
      <w:pPr>
        <w:rPr>
          <w:rFonts w:cs="Tahoma"/>
        </w:rPr>
      </w:pPr>
      <w:r w:rsidRPr="004B208C">
        <w:rPr>
          <w:rFonts w:cs="Tahoma"/>
          <w:iCs/>
        </w:rPr>
        <w:t>Vigente a partir de 1</w:t>
      </w:r>
      <w:r w:rsidRPr="004B208C">
        <w:rPr>
          <w:rFonts w:cs="Tahoma"/>
          <w:iCs/>
          <w:vertAlign w:val="superscript"/>
        </w:rPr>
        <w:t>o</w:t>
      </w:r>
      <w:r w:rsidRPr="004B208C">
        <w:rPr>
          <w:rFonts w:cs="Tahoma"/>
          <w:iCs/>
        </w:rPr>
        <w:t xml:space="preserve"> de março de 2011, a cobertura inicial</w:t>
      </w:r>
      <w:r w:rsidRPr="004B208C">
        <w:rPr>
          <w:rFonts w:cs="Tahoma"/>
          <w:i/>
          <w:iCs/>
        </w:rPr>
        <w:t xml:space="preserve"> </w:t>
      </w:r>
      <w:r w:rsidRPr="004B208C">
        <w:rPr>
          <w:rFonts w:cs="Tahoma"/>
        </w:rPr>
        <w:t>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w:t>
      </w:r>
      <w:r w:rsidR="00172F11">
        <w:rPr>
          <w:rFonts w:cs="Tahoma"/>
        </w:rPr>
        <w:t xml:space="preserve"> </w:t>
      </w:r>
      <w:r w:rsidRPr="004B208C">
        <w:rPr>
          <w:rFonts w:cs="Tahoma"/>
        </w:rPr>
        <w:t xml:space="preserve">Cada prazo de renovação terá início no dia seguinte ao término do prazo anterior. </w:t>
      </w:r>
    </w:p>
    <w:p w:rsidR="00171817" w:rsidRPr="004B208C" w:rsidRDefault="00171817" w:rsidP="00171817">
      <w:pPr>
        <w:rPr>
          <w:rFonts w:cs="Tahoma"/>
        </w:rPr>
      </w:pPr>
    </w:p>
    <w:p w:rsidR="00171817" w:rsidRPr="004B208C" w:rsidRDefault="00171817" w:rsidP="0063466C">
      <w:pPr>
        <w:spacing w:after="60"/>
        <w:rPr>
          <w:rFonts w:cs="Tahoma"/>
        </w:rPr>
      </w:pPr>
      <w:r w:rsidRPr="004B208C">
        <w:rPr>
          <w:rFonts w:cs="Tahoma"/>
          <w:b/>
          <w:bCs/>
        </w:rPr>
        <w:t>Renovação da Cobertura a partir de um Contrato Separado</w:t>
      </w:r>
    </w:p>
    <w:p w:rsidR="00171817" w:rsidRPr="004B208C" w:rsidRDefault="00171817" w:rsidP="0063466C">
      <w:pPr>
        <w:rPr>
          <w:rFonts w:cs="Tahoma"/>
        </w:rPr>
      </w:pPr>
      <w:r w:rsidRPr="004B208C">
        <w:rPr>
          <w:rFonts w:cs="Tahoma"/>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rsidR="00865A60" w:rsidRPr="004B208C" w:rsidRDefault="00865A60" w:rsidP="00865A60">
      <w:pPr>
        <w:tabs>
          <w:tab w:val="num" w:pos="0"/>
        </w:tabs>
        <w:rPr>
          <w:rFonts w:cs="Tahoma"/>
        </w:rPr>
      </w:pPr>
    </w:p>
    <w:p w:rsidR="00171817" w:rsidRPr="004B208C" w:rsidRDefault="00171817" w:rsidP="002171C3">
      <w:pPr>
        <w:pStyle w:val="Heading4"/>
        <w:ind w:hanging="720"/>
        <w:rPr>
          <w:rFonts w:ascii="Tahoma" w:hAnsi="Tahoma" w:cs="Tahoma"/>
        </w:rPr>
      </w:pPr>
      <w:bookmarkStart w:id="698" w:name="_Toc336338224"/>
      <w:bookmarkStart w:id="699" w:name="_Toc370981339"/>
      <w:r w:rsidRPr="004B208C">
        <w:rPr>
          <w:rFonts w:ascii="Tahoma" w:hAnsi="Tahoma" w:cs="Tahoma"/>
          <w:sz w:val="24"/>
          <w:szCs w:val="22"/>
        </w:rPr>
        <w:t>Contrato Enterprise 2011 ou versões posteriores</w:t>
      </w:r>
      <w:bookmarkEnd w:id="698"/>
      <w:bookmarkEnd w:id="699"/>
    </w:p>
    <w:p w:rsidR="00171817" w:rsidRPr="004B208C" w:rsidRDefault="00171817" w:rsidP="00865A60">
      <w:pPr>
        <w:outlineLvl w:val="2"/>
        <w:rPr>
          <w:rFonts w:cs="Tahoma"/>
        </w:rPr>
      </w:pPr>
    </w:p>
    <w:p w:rsidR="00171817" w:rsidRPr="004B208C" w:rsidRDefault="00171817" w:rsidP="0063466C">
      <w:pPr>
        <w:keepNext/>
        <w:tabs>
          <w:tab w:val="num" w:pos="720"/>
        </w:tabs>
        <w:spacing w:after="60"/>
        <w:ind w:left="360" w:hanging="360"/>
        <w:outlineLvl w:val="3"/>
        <w:rPr>
          <w:rFonts w:cs="Tahoma"/>
        </w:rPr>
      </w:pPr>
      <w:r w:rsidRPr="004B208C">
        <w:rPr>
          <w:rFonts w:cs="Tahoma"/>
          <w:b/>
          <w:szCs w:val="20"/>
        </w:rPr>
        <w:t>Renovação da Cobertura sob o Mesmo Contrato</w:t>
      </w:r>
    </w:p>
    <w:p w:rsidR="00171817" w:rsidRPr="004B208C" w:rsidRDefault="00171817" w:rsidP="00171817">
      <w:pPr>
        <w:tabs>
          <w:tab w:val="num" w:pos="0"/>
        </w:tabs>
        <w:rPr>
          <w:rFonts w:cs="Tahoma"/>
        </w:rPr>
      </w:pPr>
      <w:r w:rsidRPr="004B208C">
        <w:rPr>
          <w:rFonts w:cs="Tahoma"/>
          <w:szCs w:val="20"/>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w:t>
      </w:r>
      <w:r w:rsidR="00172F11">
        <w:rPr>
          <w:rFonts w:cs="Tahoma"/>
          <w:szCs w:val="20"/>
        </w:rPr>
        <w:t xml:space="preserve"> </w:t>
      </w:r>
      <w:r w:rsidRPr="004B208C">
        <w:rPr>
          <w:rFonts w:cs="Tahoma"/>
          <w:szCs w:val="20"/>
        </w:rPr>
        <w:t>Esse pedido deverá ser enviado antes do término do prazo anterior. O prazo de renovação terá início no dia seguinte ao término do prazo anterior. Para obter informações sobre como renovar a cobertura do Software Assurance sob um registro subsequente, veja</w:t>
      </w:r>
      <w:r w:rsidR="009869F4">
        <w:rPr>
          <w:rFonts w:cs="Tahoma"/>
          <w:szCs w:val="20"/>
        </w:rPr>
        <w:t> </w:t>
      </w:r>
      <w:r w:rsidRPr="004B208C">
        <w:rPr>
          <w:rFonts w:cs="Tahoma"/>
          <w:szCs w:val="20"/>
        </w:rPr>
        <w:t>abaixo.</w:t>
      </w:r>
    </w:p>
    <w:p w:rsidR="00171817" w:rsidRPr="004B208C" w:rsidRDefault="00171817" w:rsidP="00171817">
      <w:pPr>
        <w:tabs>
          <w:tab w:val="num" w:pos="0"/>
        </w:tabs>
        <w:rPr>
          <w:rFonts w:cs="Tahoma"/>
        </w:rPr>
      </w:pPr>
    </w:p>
    <w:p w:rsidR="00171817" w:rsidRPr="004B208C" w:rsidRDefault="00171817" w:rsidP="0063466C">
      <w:pPr>
        <w:keepNext/>
        <w:tabs>
          <w:tab w:val="num" w:pos="720"/>
        </w:tabs>
        <w:spacing w:after="60"/>
        <w:ind w:left="360" w:hanging="360"/>
        <w:outlineLvl w:val="3"/>
        <w:rPr>
          <w:rFonts w:cs="Tahoma"/>
        </w:rPr>
      </w:pPr>
      <w:r w:rsidRPr="004B208C">
        <w:rPr>
          <w:rFonts w:cs="Tahoma"/>
          <w:b/>
          <w:szCs w:val="20"/>
        </w:rPr>
        <w:t>Renovação da Cobertura a partir de um Contrato Separado</w:t>
      </w:r>
    </w:p>
    <w:p w:rsidR="00171817" w:rsidRPr="004B208C" w:rsidRDefault="00171817" w:rsidP="00171817">
      <w:pPr>
        <w:tabs>
          <w:tab w:val="num" w:pos="0"/>
        </w:tabs>
        <w:rPr>
          <w:rFonts w:cs="Tahoma"/>
        </w:rPr>
      </w:pPr>
      <w:r w:rsidRPr="004B208C">
        <w:rPr>
          <w:rFonts w:cs="Tahoma"/>
          <w:color w:val="000000"/>
          <w:szCs w:val="20"/>
        </w:rPr>
        <w:t>O cliente poderá solicitar o Software Assurance para qualquer produto sem precisar solicitar uma Licença simultaneamente caso os clientes tenham obtido licenças perpétuas para esse produto e a cobertura do Software Assurance esteja ativa no momento da renovação.</w:t>
      </w:r>
      <w:r w:rsidR="00172F11">
        <w:rPr>
          <w:rFonts w:cs="Tahoma"/>
          <w:color w:val="000000"/>
          <w:szCs w:val="20"/>
        </w:rPr>
        <w:t xml:space="preserve"> </w:t>
      </w:r>
      <w:r w:rsidRPr="004B208C">
        <w:rPr>
          <w:rFonts w:cs="Tahoma"/>
          <w:color w:val="000000"/>
          <w:szCs w:val="20"/>
        </w:rPr>
        <w:t>Para Produtos Adicionais, para</w:t>
      </w:r>
      <w:r w:rsidRPr="004B208C">
        <w:rPr>
          <w:rFonts w:cs="Tahoma"/>
          <w:color w:val="000000"/>
          <w:szCs w:val="24"/>
        </w:rPr>
        <w:t xml:space="preserve"> a cobertura que estiver sendo transferida de um Contrato Open License, o cliente tem 90 dias a partir do término para fazer o pedido.</w:t>
      </w:r>
      <w:r w:rsidR="00172F11">
        <w:rPr>
          <w:rFonts w:cs="Tahoma"/>
          <w:color w:val="000000"/>
          <w:szCs w:val="24"/>
        </w:rPr>
        <w:t xml:space="preserve"> </w:t>
      </w:r>
    </w:p>
    <w:p w:rsidR="00171817" w:rsidRPr="004B208C" w:rsidRDefault="00171817" w:rsidP="00171817">
      <w:pPr>
        <w:tabs>
          <w:tab w:val="num" w:pos="0"/>
        </w:tabs>
        <w:rPr>
          <w:rFonts w:cs="Tahoma"/>
        </w:rPr>
      </w:pPr>
    </w:p>
    <w:p w:rsidR="00171817" w:rsidRPr="004B208C" w:rsidRDefault="00171817" w:rsidP="0063466C">
      <w:pPr>
        <w:keepNext/>
        <w:tabs>
          <w:tab w:val="num" w:pos="720"/>
        </w:tabs>
        <w:spacing w:after="60"/>
        <w:ind w:left="360" w:hanging="360"/>
        <w:outlineLvl w:val="3"/>
        <w:rPr>
          <w:rFonts w:cs="Tahoma"/>
        </w:rPr>
      </w:pPr>
      <w:r w:rsidRPr="004B208C">
        <w:rPr>
          <w:rFonts w:cs="Tahoma"/>
          <w:b/>
          <w:szCs w:val="20"/>
        </w:rPr>
        <w:t xml:space="preserve">Enrollment for Application Platform </w:t>
      </w:r>
    </w:p>
    <w:p w:rsidR="00171817" w:rsidRPr="004B208C" w:rsidRDefault="00171817" w:rsidP="00171817">
      <w:pPr>
        <w:tabs>
          <w:tab w:val="num" w:pos="0"/>
        </w:tabs>
        <w:rPr>
          <w:rFonts w:cs="Tahoma"/>
        </w:rPr>
      </w:pPr>
      <w:r w:rsidRPr="004B208C">
        <w:rPr>
          <w:rFonts w:cs="Tahoma"/>
          <w:szCs w:val="20"/>
        </w:rPr>
        <w:t>Os clientes poderão solicitar o Software Assurance para os produtos disponíveis sem precisar solicitar uma Licença simultaneamente conforme disposto nos termos e condições do registro.</w:t>
      </w:r>
    </w:p>
    <w:p w:rsidR="00B215EA" w:rsidRPr="004B208C" w:rsidRDefault="00B215EA" w:rsidP="00171817">
      <w:pPr>
        <w:tabs>
          <w:tab w:val="num" w:pos="0"/>
        </w:tabs>
        <w:rPr>
          <w:rFonts w:cs="Tahoma"/>
        </w:rPr>
      </w:pPr>
    </w:p>
    <w:p w:rsidR="00B215EA" w:rsidRPr="004B208C" w:rsidRDefault="00B215EA" w:rsidP="00B215EA">
      <w:pPr>
        <w:keepNext/>
        <w:tabs>
          <w:tab w:val="num" w:pos="720"/>
        </w:tabs>
        <w:spacing w:after="60"/>
        <w:ind w:left="360" w:hanging="360"/>
        <w:outlineLvl w:val="3"/>
        <w:rPr>
          <w:rFonts w:cs="Tahoma"/>
        </w:rPr>
      </w:pPr>
      <w:r w:rsidRPr="004B208C">
        <w:rPr>
          <w:rFonts w:cs="Tahoma"/>
          <w:b/>
          <w:szCs w:val="20"/>
        </w:rPr>
        <w:lastRenderedPageBreak/>
        <w:t xml:space="preserve">Registro de Servidor e Nuvem </w:t>
      </w:r>
    </w:p>
    <w:p w:rsidR="00B215EA" w:rsidRPr="004B208C" w:rsidRDefault="00B215EA" w:rsidP="00B215EA">
      <w:pPr>
        <w:tabs>
          <w:tab w:val="num" w:pos="0"/>
        </w:tabs>
        <w:rPr>
          <w:rFonts w:cs="Tahoma"/>
        </w:rPr>
      </w:pPr>
      <w:r w:rsidRPr="004B208C">
        <w:rPr>
          <w:rFonts w:cs="Tahoma"/>
          <w:szCs w:val="20"/>
        </w:rPr>
        <w:t xml:space="preserve">Os clientes poderão solicitar o Software Assurance para os produtos disponíveis sem precisar solicitar uma Licença simultaneamente conforme disposto nos termos e condições do registro. </w:t>
      </w:r>
      <w:r w:rsidRPr="004B208C">
        <w:rPr>
          <w:rFonts w:cs="Tahoma"/>
        </w:rPr>
        <w:t>Os clientes EAP que possuem SKUs de Licenças anteriormente adiados via (SApriorL) devem fazer a opção de compra (</w:t>
      </w:r>
      <w:r w:rsidR="00172F11">
        <w:rPr>
          <w:rFonts w:cs="Tahoma"/>
        </w:rPr>
        <w:t>“</w:t>
      </w:r>
      <w:r w:rsidRPr="004B208C">
        <w:rPr>
          <w:rFonts w:cs="Tahoma"/>
        </w:rPr>
        <w:t>buy-out</w:t>
      </w:r>
      <w:r w:rsidR="00172F11">
        <w:rPr>
          <w:rFonts w:cs="Tahoma"/>
        </w:rPr>
        <w:t>”</w:t>
      </w:r>
      <w:r w:rsidRPr="004B208C">
        <w:rPr>
          <w:rFonts w:cs="Tahoma"/>
        </w:rPr>
        <w:t>) de suas Licenças antes de</w:t>
      </w:r>
      <w:r w:rsidR="000C5B49">
        <w:rPr>
          <w:rFonts w:cs="Tahoma"/>
        </w:rPr>
        <w:t> </w:t>
      </w:r>
      <w:r w:rsidRPr="004B208C">
        <w:rPr>
          <w:rFonts w:cs="Tahoma"/>
        </w:rPr>
        <w:t>poderem renovar o SA.</w:t>
      </w:r>
    </w:p>
    <w:p w:rsidR="00B215EA" w:rsidRPr="004B208C" w:rsidRDefault="00B215EA" w:rsidP="00171817">
      <w:pPr>
        <w:tabs>
          <w:tab w:val="num" w:pos="0"/>
        </w:tabs>
        <w:rPr>
          <w:rFonts w:cs="Tahoma"/>
        </w:rPr>
      </w:pPr>
    </w:p>
    <w:p w:rsidR="00BD1A6A" w:rsidRPr="004B208C" w:rsidRDefault="00BD1A6A" w:rsidP="00865A60">
      <w:pPr>
        <w:rPr>
          <w:rFonts w:cs="Tahoma"/>
        </w:rPr>
      </w:pPr>
      <w:bookmarkStart w:id="700" w:name="_Toc336338225"/>
    </w:p>
    <w:p w:rsidR="00171817" w:rsidRPr="004B208C" w:rsidRDefault="00171817" w:rsidP="00951852">
      <w:pPr>
        <w:pStyle w:val="Heading4"/>
        <w:ind w:left="360"/>
        <w:rPr>
          <w:rFonts w:ascii="Tahoma" w:hAnsi="Tahoma" w:cs="Tahoma"/>
        </w:rPr>
      </w:pPr>
      <w:bookmarkStart w:id="701" w:name="_Toc370981340"/>
      <w:r w:rsidRPr="004B208C">
        <w:rPr>
          <w:rFonts w:ascii="Tahoma" w:hAnsi="Tahoma" w:cs="Tahoma"/>
          <w:sz w:val="24"/>
        </w:rPr>
        <w:t>Contrato Enterprise Pré-2011</w:t>
      </w:r>
      <w:bookmarkEnd w:id="700"/>
      <w:bookmarkEnd w:id="701"/>
    </w:p>
    <w:p w:rsidR="00171817" w:rsidRPr="004B208C" w:rsidRDefault="00171817" w:rsidP="00171817">
      <w:pPr>
        <w:tabs>
          <w:tab w:val="num" w:pos="0"/>
        </w:tabs>
        <w:rPr>
          <w:rFonts w:cs="Tahoma"/>
        </w:rPr>
      </w:pPr>
    </w:p>
    <w:p w:rsidR="00171817" w:rsidRPr="004B208C" w:rsidRDefault="00171817" w:rsidP="00171817">
      <w:pPr>
        <w:tabs>
          <w:tab w:val="num" w:pos="0"/>
        </w:tabs>
        <w:rPr>
          <w:rFonts w:cs="Tahoma"/>
        </w:rPr>
      </w:pPr>
      <w:r w:rsidRPr="004B208C">
        <w:rPr>
          <w:rFonts w:cs="Tahoma"/>
          <w:szCs w:val="20"/>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w:t>
      </w:r>
      <w:r w:rsidR="00172F11">
        <w:rPr>
          <w:rFonts w:cs="Tahoma"/>
          <w:szCs w:val="20"/>
        </w:rPr>
        <w:t xml:space="preserve"> </w:t>
      </w:r>
      <w:r w:rsidRPr="004B208C">
        <w:rPr>
          <w:rFonts w:cs="Tahoma"/>
          <w:szCs w:val="20"/>
        </w:rPr>
        <w:t xml:space="preserve">Para renovar, os clientes deverão assinar um novo Registro Enterprise 2011 ou posterior e Contrato. O prazo de renovação terá início no dia seguinte ao término do prazo anterior. </w:t>
      </w:r>
    </w:p>
    <w:p w:rsidR="00171817" w:rsidRPr="004B208C" w:rsidRDefault="00171817" w:rsidP="00171817">
      <w:pPr>
        <w:tabs>
          <w:tab w:val="num" w:pos="0"/>
        </w:tabs>
        <w:rPr>
          <w:rFonts w:cs="Tahoma"/>
        </w:rPr>
      </w:pPr>
    </w:p>
    <w:p w:rsidR="003E606C" w:rsidRPr="004B208C" w:rsidRDefault="00171817" w:rsidP="0063466C">
      <w:pPr>
        <w:tabs>
          <w:tab w:val="num" w:pos="0"/>
        </w:tabs>
        <w:spacing w:after="60"/>
        <w:rPr>
          <w:rFonts w:cs="Tahoma"/>
        </w:rPr>
      </w:pPr>
      <w:r w:rsidRPr="004B208C">
        <w:rPr>
          <w:rFonts w:cs="Tahoma"/>
          <w:b/>
          <w:szCs w:val="20"/>
        </w:rPr>
        <w:t>Enrollment for Application Platform</w:t>
      </w:r>
    </w:p>
    <w:p w:rsidR="00171817" w:rsidRPr="004B208C" w:rsidRDefault="00171817" w:rsidP="0063466C">
      <w:pPr>
        <w:tabs>
          <w:tab w:val="num" w:pos="0"/>
        </w:tabs>
        <w:rPr>
          <w:rFonts w:cs="Tahoma"/>
        </w:rPr>
      </w:pPr>
      <w:r w:rsidRPr="004B208C">
        <w:rPr>
          <w:rFonts w:cs="Tahoma"/>
          <w:szCs w:val="20"/>
        </w:rPr>
        <w:t>Os clientes poderão solicitar o Software Assurance para os produtos disponíveis sem precisar solicitar uma Licença simultaneamente conforme disposto nos termos e condições do registro.</w:t>
      </w:r>
    </w:p>
    <w:p w:rsidR="00865A60" w:rsidRPr="004B208C" w:rsidRDefault="00865A60" w:rsidP="00865A60">
      <w:pPr>
        <w:rPr>
          <w:rFonts w:cs="Tahoma"/>
        </w:rPr>
      </w:pPr>
    </w:p>
    <w:p w:rsidR="00B215EA" w:rsidRPr="004B208C" w:rsidRDefault="00B215EA" w:rsidP="00B215EA">
      <w:pPr>
        <w:keepNext/>
        <w:tabs>
          <w:tab w:val="num" w:pos="720"/>
        </w:tabs>
        <w:spacing w:after="60"/>
        <w:ind w:left="360" w:hanging="360"/>
        <w:outlineLvl w:val="3"/>
        <w:rPr>
          <w:rFonts w:cs="Tahoma"/>
        </w:rPr>
      </w:pPr>
      <w:r w:rsidRPr="004B208C">
        <w:rPr>
          <w:rFonts w:cs="Tahoma"/>
          <w:b/>
          <w:szCs w:val="20"/>
        </w:rPr>
        <w:t xml:space="preserve">Registro de Servidor e Nuvem </w:t>
      </w:r>
    </w:p>
    <w:p w:rsidR="00B215EA" w:rsidRPr="004B208C" w:rsidRDefault="00B215EA" w:rsidP="00B215EA">
      <w:pPr>
        <w:rPr>
          <w:rFonts w:cs="Tahoma"/>
        </w:rPr>
      </w:pPr>
      <w:r w:rsidRPr="004B208C">
        <w:rPr>
          <w:rFonts w:cs="Tahoma"/>
          <w:szCs w:val="20"/>
        </w:rPr>
        <w:t xml:space="preserve">Os clientes poderão solicitar o Software Assurance para os produtos disponíveis sem precisar solicitar uma Licença simultaneamente conforme disposto nos termos e condições do registro. </w:t>
      </w:r>
      <w:r w:rsidRPr="004B208C">
        <w:rPr>
          <w:rFonts w:cs="Tahoma"/>
        </w:rPr>
        <w:t>Os clientes EAP que possuem SKUs de Licenças anteriormente adiados via (SApriorL) devem fazer a opção de compra (</w:t>
      </w:r>
      <w:r w:rsidR="00172F11">
        <w:rPr>
          <w:rFonts w:cs="Tahoma"/>
        </w:rPr>
        <w:t>“</w:t>
      </w:r>
      <w:r w:rsidRPr="004B208C">
        <w:rPr>
          <w:rFonts w:cs="Tahoma"/>
        </w:rPr>
        <w:t>buy-out</w:t>
      </w:r>
      <w:r w:rsidR="00172F11">
        <w:rPr>
          <w:rFonts w:cs="Tahoma"/>
        </w:rPr>
        <w:t>”</w:t>
      </w:r>
      <w:r w:rsidRPr="004B208C">
        <w:rPr>
          <w:rFonts w:cs="Tahoma"/>
        </w:rPr>
        <w:t>) de suas Licenças antes de</w:t>
      </w:r>
      <w:r w:rsidR="000C5B49">
        <w:rPr>
          <w:rFonts w:cs="Tahoma"/>
        </w:rPr>
        <w:t> </w:t>
      </w:r>
      <w:r w:rsidRPr="004B208C">
        <w:rPr>
          <w:rFonts w:cs="Tahoma"/>
        </w:rPr>
        <w:t>poderem renovar o SA.</w:t>
      </w:r>
    </w:p>
    <w:p w:rsidR="00B215EA" w:rsidRPr="004B208C" w:rsidRDefault="00B215EA" w:rsidP="00865A60">
      <w:pPr>
        <w:rPr>
          <w:rFonts w:cs="Tahoma"/>
        </w:rPr>
      </w:pPr>
    </w:p>
    <w:p w:rsidR="00171817" w:rsidRPr="004B208C" w:rsidRDefault="00171817" w:rsidP="00951852">
      <w:pPr>
        <w:pStyle w:val="Heading4"/>
        <w:ind w:left="360"/>
        <w:rPr>
          <w:rFonts w:ascii="Tahoma" w:hAnsi="Tahoma" w:cs="Tahoma"/>
        </w:rPr>
      </w:pPr>
      <w:bookmarkStart w:id="702" w:name="_Toc323159750"/>
      <w:bookmarkStart w:id="703" w:name="_Toc336338226"/>
      <w:bookmarkStart w:id="704" w:name="_Toc370981341"/>
      <w:r w:rsidRPr="004B208C">
        <w:rPr>
          <w:rFonts w:ascii="Tahoma" w:hAnsi="Tahoma" w:cs="Tahoma"/>
          <w:sz w:val="24"/>
        </w:rPr>
        <w:t>Renovação entre programas</w:t>
      </w:r>
      <w:bookmarkEnd w:id="702"/>
      <w:bookmarkEnd w:id="703"/>
      <w:bookmarkEnd w:id="704"/>
    </w:p>
    <w:p w:rsidR="00171817" w:rsidRPr="004B208C" w:rsidRDefault="00171817" w:rsidP="00171817">
      <w:pPr>
        <w:tabs>
          <w:tab w:val="num" w:pos="0"/>
        </w:tabs>
        <w:rPr>
          <w:rFonts w:cs="Tahoma"/>
        </w:rPr>
      </w:pPr>
    </w:p>
    <w:p w:rsidR="00171817" w:rsidRPr="000C5B49" w:rsidRDefault="00171817" w:rsidP="00171817">
      <w:pPr>
        <w:pStyle w:val="AppendIndentSub"/>
        <w:tabs>
          <w:tab w:val="num" w:pos="0"/>
        </w:tabs>
        <w:ind w:left="0"/>
        <w:rPr>
          <w:rFonts w:ascii="Tahoma" w:hAnsi="Tahoma" w:cs="Tahoma"/>
          <w:sz w:val="18"/>
          <w:szCs w:val="18"/>
        </w:rPr>
      </w:pPr>
      <w:r w:rsidRPr="000C5B49">
        <w:rPr>
          <w:rFonts w:ascii="Tahoma" w:hAnsi="Tahoma" w:cs="Tahoma"/>
          <w:sz w:val="18"/>
          <w:szCs w:val="18"/>
        </w:rPr>
        <w:t xml:space="preserve">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 </w:t>
      </w:r>
    </w:p>
    <w:p w:rsidR="00171817" w:rsidRPr="000C5B49" w:rsidRDefault="00171817" w:rsidP="00171817">
      <w:pPr>
        <w:pStyle w:val="AppendIndentSub"/>
        <w:tabs>
          <w:tab w:val="num" w:pos="0"/>
        </w:tabs>
        <w:ind w:left="0"/>
        <w:rPr>
          <w:rFonts w:ascii="Tahoma" w:hAnsi="Tahoma" w:cs="Tahoma"/>
          <w:sz w:val="18"/>
          <w:szCs w:val="18"/>
        </w:rPr>
      </w:pPr>
    </w:p>
    <w:p w:rsidR="00171817" w:rsidRPr="000C5B49" w:rsidRDefault="00171817" w:rsidP="00171817">
      <w:pPr>
        <w:pStyle w:val="AppendIndentSub"/>
        <w:tabs>
          <w:tab w:val="num" w:pos="0"/>
        </w:tabs>
        <w:ind w:left="0"/>
        <w:rPr>
          <w:rFonts w:ascii="Tahoma" w:hAnsi="Tahoma" w:cs="Tahoma"/>
          <w:sz w:val="18"/>
          <w:szCs w:val="18"/>
        </w:rPr>
      </w:pPr>
      <w:r w:rsidRPr="000C5B49">
        <w:rPr>
          <w:rFonts w:ascii="Tahoma" w:hAnsi="Tahoma" w:cs="Tahoma"/>
          <w:sz w:val="18"/>
          <w:szCs w:val="18"/>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w:t>
      </w:r>
      <w:r w:rsidR="00172F11" w:rsidRPr="000C5B49">
        <w:rPr>
          <w:rFonts w:ascii="Tahoma" w:hAnsi="Tahoma" w:cs="Tahoma"/>
          <w:sz w:val="18"/>
          <w:szCs w:val="18"/>
        </w:rPr>
        <w:t xml:space="preserve"> </w:t>
      </w:r>
      <w:r w:rsidRPr="000C5B49">
        <w:rPr>
          <w:rFonts w:ascii="Tahoma" w:hAnsi="Tahoma" w:cs="Tahoma"/>
          <w:sz w:val="18"/>
          <w:szCs w:val="18"/>
        </w:rPr>
        <w:t>Como os preços do Software Assurance não serão proporcionais a nenhum período anual parcial de cobertura, os clientes deverão determinar o momento dos pedidos a fim de aproveitar qualquer aniversário da data de início de vigência de seus contratos existentes.</w:t>
      </w:r>
      <w:r w:rsidR="00172F11" w:rsidRPr="000C5B49">
        <w:rPr>
          <w:rFonts w:ascii="Tahoma" w:hAnsi="Tahoma" w:cs="Tahoma"/>
          <w:sz w:val="18"/>
          <w:szCs w:val="18"/>
        </w:rPr>
        <w:t xml:space="preserve"> </w:t>
      </w:r>
      <w:r w:rsidRPr="000C5B49">
        <w:rPr>
          <w:rFonts w:ascii="Tahoma" w:hAnsi="Tahoma" w:cs="Tahoma"/>
          <w:sz w:val="18"/>
          <w:szCs w:val="18"/>
        </w:rPr>
        <w:t>Para os Contratos de versões de 2008 e anteriores, contanto que a cobertura seja renovada dentro de 30 dias (90 dias se a</w:t>
      </w:r>
      <w:r w:rsidR="009869F4">
        <w:rPr>
          <w:rFonts w:ascii="Tahoma" w:hAnsi="Tahoma" w:cs="Tahoma"/>
          <w:sz w:val="18"/>
          <w:szCs w:val="18"/>
        </w:rPr>
        <w:t> </w:t>
      </w:r>
      <w:r w:rsidRPr="000C5B49">
        <w:rPr>
          <w:rFonts w:ascii="Tahoma" w:hAnsi="Tahoma" w:cs="Tahoma"/>
          <w:sz w:val="18"/>
          <w:szCs w:val="18"/>
        </w:rPr>
        <w:t>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w:t>
      </w:r>
      <w:r w:rsidR="009869F4">
        <w:rPr>
          <w:rFonts w:ascii="Tahoma" w:hAnsi="Tahoma" w:cs="Tahoma"/>
          <w:sz w:val="18"/>
          <w:szCs w:val="18"/>
        </w:rPr>
        <w:t> </w:t>
      </w:r>
      <w:r w:rsidRPr="000C5B49">
        <w:rPr>
          <w:rFonts w:ascii="Tahoma" w:hAnsi="Tahoma" w:cs="Tahoma"/>
          <w:sz w:val="18"/>
          <w:szCs w:val="18"/>
        </w:rPr>
        <w:t xml:space="preserve">cobertura seja renovada. </w:t>
      </w:r>
    </w:p>
    <w:p w:rsidR="00023FE7" w:rsidRPr="000C5B49" w:rsidRDefault="00023FE7">
      <w:pPr>
        <w:pStyle w:val="AppendixIndent"/>
        <w:tabs>
          <w:tab w:val="num" w:pos="0"/>
        </w:tabs>
        <w:ind w:left="0"/>
        <w:rPr>
          <w:rFonts w:ascii="Tahoma" w:hAnsi="Tahoma" w:cs="Tahoma"/>
          <w:sz w:val="18"/>
          <w:szCs w:val="18"/>
        </w:rPr>
      </w:pPr>
    </w:p>
    <w:p w:rsidR="00023FE7" w:rsidRPr="000C5B49" w:rsidRDefault="00023FE7">
      <w:pPr>
        <w:rPr>
          <w:rFonts w:cs="Tahoma"/>
          <w:szCs w:val="18"/>
        </w:rPr>
      </w:pPr>
      <w:r w:rsidRPr="000C5B49">
        <w:rPr>
          <w:rFonts w:cs="Tahoma"/>
          <w:szCs w:val="18"/>
        </w:rPr>
        <w:br w:type="page"/>
      </w:r>
    </w:p>
    <w:p w:rsidR="00EA1A1E" w:rsidRPr="004B208C" w:rsidRDefault="00EA1A1E" w:rsidP="000C5B49">
      <w:pPr>
        <w:pStyle w:val="Heading1"/>
        <w:spacing w:before="0"/>
        <w:rPr>
          <w:rFonts w:cs="Tahoma"/>
        </w:rPr>
      </w:pPr>
      <w:bookmarkStart w:id="705" w:name="_Toc336338227"/>
      <w:bookmarkStart w:id="706" w:name="_Toc370981342"/>
      <w:r w:rsidRPr="004B208C">
        <w:rPr>
          <w:rFonts w:cs="Tahoma"/>
        </w:rPr>
        <w:lastRenderedPageBreak/>
        <w:t>SEÇÃO 7 – Benefícios do Programa, BENEFÍCIOS DO software assurance (SA) e</w:t>
      </w:r>
      <w:r w:rsidR="000C5B49">
        <w:rPr>
          <w:rFonts w:cs="Tahoma"/>
        </w:rPr>
        <w:t> </w:t>
      </w:r>
      <w:r w:rsidRPr="004B208C">
        <w:rPr>
          <w:rFonts w:cs="Tahoma"/>
        </w:rPr>
        <w:t>Benefícios dos Serviços Online (OLS)</w:t>
      </w:r>
      <w:bookmarkEnd w:id="705"/>
      <w:bookmarkEnd w:id="706"/>
    </w:p>
    <w:p w:rsidR="00EA1A1E" w:rsidRPr="000C5B49" w:rsidRDefault="00EA1A1E" w:rsidP="00EA1A1E">
      <w:pPr>
        <w:rPr>
          <w:rFonts w:cs="Tahoma"/>
          <w:sz w:val="24"/>
          <w:szCs w:val="24"/>
        </w:rPr>
      </w:pPr>
    </w:p>
    <w:p w:rsidR="00E7419A" w:rsidRPr="004B208C" w:rsidRDefault="00EB3A5F" w:rsidP="00E7419A">
      <w:pPr>
        <w:spacing w:after="60"/>
        <w:rPr>
          <w:rFonts w:cs="Tahoma"/>
        </w:rPr>
      </w:pPr>
      <w:r w:rsidRPr="004B208C">
        <w:rPr>
          <w:rFonts w:cs="Tahoma"/>
          <w:szCs w:val="20"/>
        </w:rPr>
        <w:t>Os benefícios do programa, benefícios do Software Assurance e os benefícios dos Serviços Online são descritos nesta</w:t>
      </w:r>
      <w:r w:rsidR="000C5B49">
        <w:rPr>
          <w:rFonts w:cs="Tahoma"/>
          <w:szCs w:val="20"/>
        </w:rPr>
        <w:t> </w:t>
      </w:r>
      <w:r w:rsidRPr="004B208C">
        <w:rPr>
          <w:rFonts w:cs="Tahoma"/>
          <w:szCs w:val="20"/>
        </w:rPr>
        <w:t>seção.</w:t>
      </w:r>
      <w:r w:rsidR="00172F11">
        <w:rPr>
          <w:rFonts w:cs="Tahoma"/>
          <w:szCs w:val="20"/>
        </w:rPr>
        <w:t xml:space="preserve"> </w:t>
      </w:r>
    </w:p>
    <w:p w:rsidR="00EB3A5F" w:rsidRPr="00D6362A" w:rsidRDefault="00EB3A5F" w:rsidP="00E7419A">
      <w:pPr>
        <w:spacing w:after="60"/>
        <w:rPr>
          <w:rFonts w:cs="Tahoma"/>
          <w:sz w:val="16"/>
          <w:szCs w:val="16"/>
        </w:rPr>
      </w:pPr>
    </w:p>
    <w:p w:rsidR="00EB3A5F" w:rsidRPr="004B208C" w:rsidRDefault="00EB3A5F" w:rsidP="00EB3A5F">
      <w:pPr>
        <w:jc w:val="both"/>
        <w:rPr>
          <w:rFonts w:cs="Tahoma"/>
        </w:rPr>
      </w:pPr>
      <w:r w:rsidRPr="004B208C">
        <w:rPr>
          <w:rFonts w:cs="Tahoma"/>
          <w:b/>
        </w:rPr>
        <w:t>Esses benefícios só estão disponíveis no Registro de Servidor e Nuvem (SCE) para um Contrato Enterprise.</w:t>
      </w:r>
    </w:p>
    <w:p w:rsidR="00EB3A5F" w:rsidRPr="00D6362A" w:rsidRDefault="00EB3A5F" w:rsidP="00EB3A5F">
      <w:pPr>
        <w:jc w:val="both"/>
        <w:rPr>
          <w:rFonts w:cs="Tahoma"/>
          <w:sz w:val="16"/>
          <w:szCs w:val="16"/>
        </w:rPr>
      </w:pPr>
    </w:p>
    <w:p w:rsidR="00EB3A5F" w:rsidRPr="004B208C" w:rsidRDefault="00EB3A5F" w:rsidP="00EB3A5F">
      <w:pPr>
        <w:rPr>
          <w:rFonts w:cs="Tahoma"/>
        </w:rPr>
      </w:pPr>
      <w:r w:rsidRPr="004B208C">
        <w:rPr>
          <w:rFonts w:cs="Tahoma"/>
        </w:rPr>
        <w:t>Os Clientes que possuem um SCE devem atender aos requisitos de cobertura e inscritos no componente de Infraestrutura Principal estão qualificados para instalar e gerenciar o produto System Center nos componentes do Ambiente do Sistema Operacional Virtual (OSE Virtual) no Windows Azure.</w:t>
      </w:r>
      <w:r w:rsidR="00172F11">
        <w:rPr>
          <w:rFonts w:cs="Tahoma"/>
        </w:rPr>
        <w:t xml:space="preserve"> </w:t>
      </w:r>
      <w:r w:rsidRPr="004B208C">
        <w:rPr>
          <w:rFonts w:cs="Tahoma"/>
        </w:rPr>
        <w:t>Esse benefício permitirá que os clientes gerenciem até 10 instâncias qualificadas do OSE Virtual no Windows Azure para cada licença CIS inscrita no SCE.</w:t>
      </w:r>
      <w:r w:rsidR="00172F11">
        <w:rPr>
          <w:rFonts w:cs="Tahoma"/>
        </w:rPr>
        <w:t xml:space="preserve"> </w:t>
      </w:r>
    </w:p>
    <w:p w:rsidR="00EB3A5F" w:rsidRPr="00D6362A" w:rsidRDefault="00EB3A5F" w:rsidP="00EB3A5F">
      <w:pPr>
        <w:rPr>
          <w:rFonts w:cs="Tahoma"/>
          <w:sz w:val="16"/>
          <w:szCs w:val="16"/>
        </w:rPr>
      </w:pPr>
    </w:p>
    <w:p w:rsidR="00EB3A5F" w:rsidRPr="004B208C" w:rsidRDefault="00EB3A5F" w:rsidP="00EB3A5F">
      <w:pPr>
        <w:spacing w:line="276" w:lineRule="auto"/>
        <w:jc w:val="both"/>
        <w:rPr>
          <w:rFonts w:cs="Tahoma"/>
        </w:rPr>
      </w:pPr>
      <w:r w:rsidRPr="004B208C">
        <w:rPr>
          <w:rFonts w:cs="Tahoma"/>
        </w:rPr>
        <w:t>Instâncias qualificadas do OSE Virtual do Windows Azure:</w:t>
      </w:r>
    </w:p>
    <w:p w:rsidR="00EB3A5F" w:rsidRPr="004B208C" w:rsidRDefault="00EB3A5F" w:rsidP="00D6362A">
      <w:pPr>
        <w:spacing w:after="40"/>
        <w:ind w:left="1440" w:hanging="360"/>
        <w:rPr>
          <w:rFonts w:cs="Tahoma"/>
        </w:rPr>
      </w:pPr>
      <w:r w:rsidRPr="000C5B49">
        <w:rPr>
          <w:rFonts w:ascii="Webdings" w:hAnsi="Webdings" w:cs="Tahoma"/>
          <w:color w:val="FF6600"/>
          <w:sz w:val="24"/>
          <w:szCs w:val="24"/>
        </w:rPr>
        <w:t></w:t>
      </w:r>
      <w:r w:rsidR="00172F11">
        <w:rPr>
          <w:rFonts w:cs="Tahoma"/>
          <w:color w:val="FF6600"/>
          <w:sz w:val="14"/>
          <w:szCs w:val="14"/>
        </w:rPr>
        <w:t xml:space="preserve"> </w:t>
      </w:r>
      <w:r w:rsidRPr="004B208C">
        <w:rPr>
          <w:rFonts w:cs="Tahoma"/>
        </w:rPr>
        <w:t>Instâncias da Máquina Virtual do Windows</w:t>
      </w:r>
    </w:p>
    <w:p w:rsidR="00EB3A5F" w:rsidRPr="004B208C" w:rsidRDefault="00EB3A5F" w:rsidP="00D6362A">
      <w:pPr>
        <w:spacing w:after="40"/>
        <w:ind w:left="1440" w:hanging="360"/>
        <w:rPr>
          <w:rFonts w:cs="Tahoma"/>
        </w:rPr>
      </w:pPr>
      <w:r w:rsidRPr="000C5B49">
        <w:rPr>
          <w:rFonts w:ascii="Webdings" w:hAnsi="Webdings" w:cs="Tahoma"/>
          <w:color w:val="FF6600"/>
          <w:sz w:val="24"/>
          <w:szCs w:val="24"/>
        </w:rPr>
        <w:t></w:t>
      </w:r>
      <w:r w:rsidR="00172F11">
        <w:rPr>
          <w:rFonts w:cs="Tahoma"/>
          <w:color w:val="FF6600"/>
          <w:sz w:val="14"/>
          <w:szCs w:val="14"/>
        </w:rPr>
        <w:t xml:space="preserve"> </w:t>
      </w:r>
      <w:r w:rsidRPr="004B208C">
        <w:rPr>
          <w:rFonts w:cs="Tahoma"/>
          <w:color w:val="000000"/>
        </w:rPr>
        <w:t>Instâncias dos Serviços de Nuvem (função Web e função Trabalhador)</w:t>
      </w:r>
    </w:p>
    <w:p w:rsidR="00EB3A5F" w:rsidRPr="004B208C" w:rsidRDefault="00EB3A5F" w:rsidP="00D6362A">
      <w:pPr>
        <w:spacing w:after="40"/>
        <w:ind w:left="1440" w:hanging="360"/>
        <w:rPr>
          <w:rFonts w:cs="Tahoma"/>
        </w:rPr>
      </w:pPr>
      <w:r w:rsidRPr="000C5B49">
        <w:rPr>
          <w:rFonts w:ascii="Webdings" w:hAnsi="Webdings" w:cs="Tahoma"/>
          <w:color w:val="FF6600"/>
          <w:sz w:val="24"/>
          <w:szCs w:val="24"/>
        </w:rPr>
        <w:t></w:t>
      </w:r>
      <w:r w:rsidR="00172F11">
        <w:rPr>
          <w:rFonts w:cs="Tahoma"/>
          <w:color w:val="FF6600"/>
          <w:sz w:val="14"/>
          <w:szCs w:val="14"/>
        </w:rPr>
        <w:t xml:space="preserve"> </w:t>
      </w:r>
      <w:r w:rsidRPr="004B208C">
        <w:rPr>
          <w:rFonts w:cs="Tahoma"/>
        </w:rPr>
        <w:t>Contas de Armazenamento</w:t>
      </w:r>
    </w:p>
    <w:p w:rsidR="00EB3A5F" w:rsidRPr="004B208C" w:rsidRDefault="00EB3A5F" w:rsidP="00D6362A">
      <w:pPr>
        <w:spacing w:after="40"/>
        <w:ind w:left="1440" w:hanging="360"/>
        <w:rPr>
          <w:rFonts w:cs="Tahoma"/>
        </w:rPr>
      </w:pPr>
      <w:r w:rsidRPr="000C5B49">
        <w:rPr>
          <w:rFonts w:ascii="Webdings" w:hAnsi="Webdings" w:cs="Tahoma"/>
          <w:color w:val="FF6600"/>
          <w:sz w:val="24"/>
          <w:szCs w:val="24"/>
        </w:rPr>
        <w:t></w:t>
      </w:r>
      <w:r w:rsidR="00172F11">
        <w:rPr>
          <w:rFonts w:cs="Tahoma"/>
          <w:color w:val="FF6600"/>
          <w:sz w:val="14"/>
          <w:szCs w:val="14"/>
        </w:rPr>
        <w:t xml:space="preserve"> </w:t>
      </w:r>
      <w:r w:rsidRPr="004B208C">
        <w:rPr>
          <w:rFonts w:cs="Tahoma"/>
        </w:rPr>
        <w:t>SQL Databases</w:t>
      </w:r>
    </w:p>
    <w:p w:rsidR="00EB3A5F" w:rsidRPr="004B208C" w:rsidRDefault="00EB3A5F" w:rsidP="00D6362A">
      <w:pPr>
        <w:spacing w:after="40"/>
        <w:ind w:left="1440" w:hanging="360"/>
        <w:rPr>
          <w:rFonts w:cs="Tahoma"/>
        </w:rPr>
      </w:pPr>
      <w:r w:rsidRPr="000C5B49">
        <w:rPr>
          <w:rFonts w:ascii="Webdings" w:hAnsi="Webdings" w:cs="Tahoma"/>
          <w:color w:val="FF6600"/>
          <w:sz w:val="24"/>
          <w:szCs w:val="24"/>
        </w:rPr>
        <w:t></w:t>
      </w:r>
      <w:r w:rsidR="00172F11">
        <w:rPr>
          <w:rFonts w:cs="Tahoma"/>
          <w:color w:val="FF6600"/>
          <w:sz w:val="14"/>
          <w:szCs w:val="14"/>
        </w:rPr>
        <w:t xml:space="preserve"> </w:t>
      </w:r>
      <w:r w:rsidRPr="004B208C">
        <w:rPr>
          <w:rFonts w:cs="Tahoma"/>
        </w:rPr>
        <w:t>Instâncias de sites</w:t>
      </w:r>
    </w:p>
    <w:p w:rsidR="00EA1A1E" w:rsidRPr="00D6362A" w:rsidRDefault="00EA1A1E" w:rsidP="00BA0707">
      <w:pPr>
        <w:rPr>
          <w:rFonts w:cs="Tahoma"/>
          <w:sz w:val="16"/>
          <w:szCs w:val="16"/>
        </w:rPr>
      </w:pPr>
    </w:p>
    <w:p w:rsidR="003E606C" w:rsidRPr="004B208C" w:rsidRDefault="003E606C" w:rsidP="0063466C">
      <w:pPr>
        <w:spacing w:after="60"/>
        <w:rPr>
          <w:rFonts w:cs="Tahoma"/>
        </w:rPr>
      </w:pPr>
      <w:r w:rsidRPr="004B208C">
        <w:rPr>
          <w:rFonts w:cs="Tahoma"/>
          <w:b/>
          <w:szCs w:val="20"/>
        </w:rPr>
        <w:t>Benefícios do Software Assurance</w:t>
      </w:r>
    </w:p>
    <w:p w:rsidR="00E7419A" w:rsidRPr="004B208C" w:rsidRDefault="00E7419A" w:rsidP="0063466C">
      <w:pPr>
        <w:rPr>
          <w:rFonts w:cs="Tahoma"/>
        </w:rPr>
      </w:pPr>
      <w:r w:rsidRPr="004B208C">
        <w:rPr>
          <w:rFonts w:cs="Tahoma"/>
          <w:szCs w:val="20"/>
        </w:rPr>
        <w:t>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w:t>
      </w:r>
      <w:r w:rsidR="00172F11">
        <w:rPr>
          <w:rFonts w:cs="Tahoma"/>
          <w:szCs w:val="20"/>
        </w:rPr>
        <w:t xml:space="preserve"> </w:t>
      </w:r>
      <w:r w:rsidRPr="004B208C">
        <w:rPr>
          <w:rFonts w:cs="Tahoma"/>
          <w:szCs w:val="20"/>
        </w:rPr>
        <w:t>Quaisquer alterações que ocorrerem durante o período de cobertura (por exemplo, compras adicionais, devoluções ou transições de serviços online) poderão resultar em uma alteração na qualificação ao benefício.</w:t>
      </w:r>
    </w:p>
    <w:p w:rsidR="00BA0707" w:rsidRPr="00D6362A" w:rsidRDefault="00BA0707" w:rsidP="00BA0707">
      <w:pPr>
        <w:rPr>
          <w:rFonts w:cs="Tahoma"/>
          <w:sz w:val="16"/>
          <w:szCs w:val="16"/>
        </w:rPr>
      </w:pPr>
    </w:p>
    <w:p w:rsidR="0063466C" w:rsidRPr="004B208C" w:rsidRDefault="0063466C" w:rsidP="0063466C">
      <w:pPr>
        <w:spacing w:after="60"/>
        <w:rPr>
          <w:rFonts w:cs="Tahoma"/>
        </w:rPr>
      </w:pPr>
      <w:r w:rsidRPr="004B208C">
        <w:rPr>
          <w:rFonts w:cs="Tahoma"/>
          <w:b/>
          <w:szCs w:val="20"/>
        </w:rPr>
        <w:t>Benefícios dos Serviços Online</w:t>
      </w:r>
    </w:p>
    <w:p w:rsidR="00E7419A" w:rsidRPr="004B208C" w:rsidRDefault="009F1A2B" w:rsidP="0063466C">
      <w:pPr>
        <w:rPr>
          <w:rFonts w:cs="Tahoma"/>
        </w:rPr>
      </w:pPr>
      <w:r w:rsidRPr="004B208C">
        <w:rPr>
          <w:rFonts w:cs="Tahoma"/>
          <w:szCs w:val="20"/>
        </w:rPr>
        <w:t>Esses benefícios variam de acordo com o produto.</w:t>
      </w:r>
      <w:r w:rsidR="00172F11">
        <w:rPr>
          <w:rFonts w:cs="Tahoma"/>
          <w:szCs w:val="20"/>
        </w:rPr>
        <w:t xml:space="preserve"> </w:t>
      </w:r>
      <w:r w:rsidRPr="004B208C">
        <w:rPr>
          <w:rFonts w:cs="Tahoma"/>
          <w:szCs w:val="20"/>
        </w:rPr>
        <w:t xml:space="preserve">O acesso e os direitos de uso dos benefícios dos Serviços Online do Cliente cessarão no término das licenças de assinatura dos serviços online correspondentes. </w:t>
      </w:r>
    </w:p>
    <w:p w:rsidR="009F1A2B" w:rsidRPr="00D6362A" w:rsidRDefault="009F1A2B" w:rsidP="0063466C">
      <w:pPr>
        <w:rPr>
          <w:rFonts w:cs="Tahoma"/>
          <w:sz w:val="16"/>
          <w:szCs w:val="16"/>
        </w:rPr>
      </w:pPr>
    </w:p>
    <w:p w:rsidR="00E7419A" w:rsidRPr="004B208C" w:rsidRDefault="00E7419A" w:rsidP="0063466C">
      <w:pPr>
        <w:rPr>
          <w:rFonts w:cs="Tahoma"/>
        </w:rPr>
      </w:pPr>
      <w:r w:rsidRPr="004B208C">
        <w:rPr>
          <w:rFonts w:cs="Tahoma"/>
          <w:szCs w:val="20"/>
        </w:rPr>
        <w:t>Quaisquer exceções às regras acima serão indicadas nas seções sobre benefícios individuais a seguir.</w:t>
      </w:r>
      <w:r w:rsidR="00172F11">
        <w:rPr>
          <w:rFonts w:cs="Tahoma"/>
          <w:szCs w:val="20"/>
        </w:rPr>
        <w:t xml:space="preserve"> </w:t>
      </w:r>
      <w:r w:rsidRPr="004B208C">
        <w:rPr>
          <w:rFonts w:cs="Tahoma"/>
          <w:szCs w:val="20"/>
        </w:rPr>
        <w:t xml:space="preserve">Os benefícios estão sujeitos a alterações e podem ser descontinuados a qualquer momento sem notificação prévia. A disponibilidade dos benefícios variam por programa, região, opções de fornecimento e idioma. </w:t>
      </w:r>
    </w:p>
    <w:p w:rsidR="00023FE7" w:rsidRPr="00D6362A" w:rsidRDefault="00023FE7" w:rsidP="0063466C">
      <w:pPr>
        <w:pStyle w:val="AppendixBodyText"/>
        <w:spacing w:after="0"/>
        <w:rPr>
          <w:rFonts w:ascii="Tahoma" w:hAnsi="Tahoma" w:cs="Tahoma"/>
          <w:sz w:val="16"/>
          <w:szCs w:val="16"/>
        </w:rPr>
      </w:pPr>
    </w:p>
    <w:p w:rsidR="00023FE7" w:rsidRPr="004B208C" w:rsidRDefault="00023FE7" w:rsidP="0063466C">
      <w:pPr>
        <w:pStyle w:val="AppendixBodyText"/>
        <w:spacing w:after="0"/>
        <w:rPr>
          <w:rFonts w:ascii="Tahoma" w:hAnsi="Tahoma" w:cs="Tahoma"/>
        </w:rPr>
      </w:pPr>
      <w:r w:rsidRPr="004B208C">
        <w:rPr>
          <w:rFonts w:ascii="Tahoma" w:hAnsi="Tahoma" w:cs="Tahoma"/>
          <w:sz w:val="18"/>
        </w:rPr>
        <w:t>Os benefícios do Software Assurance e os benefícios dos Serviços Online estão alocados em diferentes programas, conforme mostrado na tabela a seguir:</w:t>
      </w:r>
    </w:p>
    <w:p w:rsidR="00023FE7" w:rsidRPr="00D6362A" w:rsidRDefault="00023FE7" w:rsidP="00BA0707">
      <w:pPr>
        <w:pStyle w:val="AppendixBodyText"/>
        <w:spacing w:after="0"/>
        <w:rPr>
          <w:rFonts w:ascii="Tahoma" w:hAnsi="Tahoma" w:cs="Tahoma"/>
          <w:sz w:val="16"/>
          <w:szCs w:val="16"/>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89"/>
        <w:gridCol w:w="1278"/>
        <w:gridCol w:w="1260"/>
        <w:gridCol w:w="1530"/>
        <w:gridCol w:w="2475"/>
        <w:gridCol w:w="1305"/>
      </w:tblGrid>
      <w:tr w:rsidR="009233CA" w:rsidRPr="004B208C" w:rsidTr="00826B1B">
        <w:trPr>
          <w:trHeight w:val="178"/>
        </w:trPr>
        <w:tc>
          <w:tcPr>
            <w:tcW w:w="1789" w:type="dxa"/>
            <w:shd w:val="clear" w:color="auto" w:fill="FFCC99"/>
            <w:vAlign w:val="center"/>
          </w:tcPr>
          <w:p w:rsidR="00394D2B" w:rsidRPr="004B208C" w:rsidRDefault="00394D2B" w:rsidP="00FF3343">
            <w:pPr>
              <w:pStyle w:val="AppendixTableHeadings"/>
              <w:jc w:val="left"/>
              <w:rPr>
                <w:rFonts w:ascii="Tahoma" w:hAnsi="Tahoma" w:cs="Tahoma"/>
                <w:sz w:val="20"/>
                <w:szCs w:val="20"/>
              </w:rPr>
            </w:pPr>
            <w:r w:rsidRPr="004B208C">
              <w:rPr>
                <w:rFonts w:ascii="Tahoma" w:hAnsi="Tahoma" w:cs="Tahoma"/>
                <w:sz w:val="20"/>
                <w:szCs w:val="20"/>
              </w:rPr>
              <w:t>Programas</w:t>
            </w:r>
          </w:p>
        </w:tc>
        <w:tc>
          <w:tcPr>
            <w:tcW w:w="1278" w:type="dxa"/>
            <w:shd w:val="clear" w:color="auto" w:fill="FFCC99"/>
            <w:vAlign w:val="center"/>
          </w:tcPr>
          <w:p w:rsidR="00394D2B" w:rsidRPr="004B208C" w:rsidRDefault="00394D2B" w:rsidP="00FF3343">
            <w:pPr>
              <w:pStyle w:val="AppendixTableHeadings"/>
              <w:jc w:val="left"/>
              <w:rPr>
                <w:rFonts w:ascii="Tahoma" w:hAnsi="Tahoma" w:cs="Tahoma"/>
                <w:sz w:val="20"/>
                <w:szCs w:val="20"/>
              </w:rPr>
            </w:pPr>
            <w:r w:rsidRPr="004B208C">
              <w:rPr>
                <w:rFonts w:ascii="Tahoma" w:hAnsi="Tahoma" w:cs="Tahoma"/>
                <w:sz w:val="20"/>
                <w:szCs w:val="20"/>
              </w:rPr>
              <w:t>Licença Open</w:t>
            </w:r>
          </w:p>
        </w:tc>
        <w:tc>
          <w:tcPr>
            <w:tcW w:w="1260" w:type="dxa"/>
            <w:shd w:val="clear" w:color="auto" w:fill="FFCC99"/>
            <w:vAlign w:val="center"/>
          </w:tcPr>
          <w:p w:rsidR="00394D2B" w:rsidRPr="004B208C" w:rsidRDefault="00394D2B" w:rsidP="00FF3343">
            <w:pPr>
              <w:pStyle w:val="AppendixTableHeadings"/>
              <w:jc w:val="left"/>
              <w:rPr>
                <w:rFonts w:ascii="Tahoma" w:hAnsi="Tahoma" w:cs="Tahoma"/>
                <w:sz w:val="20"/>
                <w:szCs w:val="20"/>
              </w:rPr>
            </w:pPr>
            <w:r w:rsidRPr="004B208C">
              <w:rPr>
                <w:rFonts w:ascii="Tahoma" w:hAnsi="Tahoma" w:cs="Tahoma"/>
                <w:sz w:val="20"/>
                <w:szCs w:val="20"/>
              </w:rPr>
              <w:t>Open Value</w:t>
            </w:r>
          </w:p>
        </w:tc>
        <w:tc>
          <w:tcPr>
            <w:tcW w:w="1530" w:type="dxa"/>
            <w:shd w:val="clear" w:color="auto" w:fill="FFCC99"/>
            <w:vAlign w:val="center"/>
          </w:tcPr>
          <w:p w:rsidR="00394D2B" w:rsidRPr="004B208C" w:rsidRDefault="00394D2B" w:rsidP="00FF3343">
            <w:pPr>
              <w:pStyle w:val="AppendixTableHeadings"/>
              <w:jc w:val="left"/>
              <w:rPr>
                <w:rFonts w:ascii="Tahoma" w:hAnsi="Tahoma" w:cs="Tahoma"/>
                <w:sz w:val="20"/>
                <w:szCs w:val="20"/>
              </w:rPr>
            </w:pPr>
            <w:r w:rsidRPr="004B208C">
              <w:rPr>
                <w:rFonts w:ascii="Tahoma" w:hAnsi="Tahoma" w:cs="Tahoma"/>
                <w:sz w:val="20"/>
                <w:szCs w:val="20"/>
              </w:rPr>
              <w:t>Open Value Subscription – Soluções Educacionais</w:t>
            </w:r>
          </w:p>
        </w:tc>
        <w:tc>
          <w:tcPr>
            <w:tcW w:w="2475" w:type="dxa"/>
            <w:shd w:val="clear" w:color="auto" w:fill="FFCC99"/>
            <w:vAlign w:val="center"/>
          </w:tcPr>
          <w:p w:rsidR="00394D2B" w:rsidRPr="004B208C" w:rsidRDefault="00394D2B" w:rsidP="00FF3343">
            <w:pPr>
              <w:pStyle w:val="AppendixTableHeadings"/>
              <w:jc w:val="left"/>
              <w:rPr>
                <w:rFonts w:ascii="Tahoma" w:hAnsi="Tahoma" w:cs="Tahoma"/>
              </w:rPr>
            </w:pPr>
            <w:r w:rsidRPr="004B208C">
              <w:rPr>
                <w:rFonts w:ascii="Tahoma" w:hAnsi="Tahoma" w:cs="Tahoma"/>
                <w:sz w:val="20"/>
                <w:szCs w:val="20"/>
              </w:rPr>
              <w:t>Select*</w:t>
            </w:r>
          </w:p>
          <w:p w:rsidR="00394D2B" w:rsidRPr="004B208C" w:rsidRDefault="00394D2B" w:rsidP="00FF3343">
            <w:pPr>
              <w:pStyle w:val="AppendixTableHeadings"/>
              <w:jc w:val="left"/>
              <w:rPr>
                <w:rFonts w:ascii="Tahoma" w:hAnsi="Tahoma" w:cs="Tahoma"/>
              </w:rPr>
            </w:pPr>
            <w:r w:rsidRPr="004B208C">
              <w:rPr>
                <w:rFonts w:ascii="Tahoma" w:hAnsi="Tahoma" w:cs="Tahoma"/>
                <w:sz w:val="20"/>
                <w:szCs w:val="20"/>
              </w:rPr>
              <w:t>Contrato Enterprise</w:t>
            </w:r>
          </w:p>
          <w:p w:rsidR="00394D2B" w:rsidRPr="004B208C" w:rsidRDefault="00394D2B" w:rsidP="00FF3343">
            <w:pPr>
              <w:pStyle w:val="AppendixTableHeadings"/>
              <w:jc w:val="left"/>
              <w:rPr>
                <w:rFonts w:ascii="Tahoma" w:hAnsi="Tahoma" w:cs="Tahoma"/>
              </w:rPr>
            </w:pPr>
            <w:r w:rsidRPr="004B208C">
              <w:rPr>
                <w:rFonts w:ascii="Tahoma" w:hAnsi="Tahoma" w:cs="Tahoma"/>
                <w:sz w:val="20"/>
                <w:szCs w:val="20"/>
              </w:rPr>
              <w:t>Soluções Educacionais do Registro sob o</w:t>
            </w:r>
            <w:r w:rsidR="00826B1B">
              <w:rPr>
                <w:rFonts w:ascii="Tahoma" w:hAnsi="Tahoma" w:cs="Tahoma"/>
                <w:sz w:val="20"/>
                <w:szCs w:val="20"/>
              </w:rPr>
              <w:t> </w:t>
            </w:r>
            <w:r w:rsidRPr="004B208C">
              <w:rPr>
                <w:rFonts w:ascii="Tahoma" w:hAnsi="Tahoma" w:cs="Tahoma"/>
                <w:sz w:val="20"/>
                <w:szCs w:val="20"/>
              </w:rPr>
              <w:t>Contrato para Campus e o</w:t>
            </w:r>
          </w:p>
          <w:p w:rsidR="00394D2B" w:rsidRPr="004B208C" w:rsidRDefault="00394D2B" w:rsidP="00FF3343">
            <w:pPr>
              <w:pStyle w:val="AppendixTableHeadings"/>
              <w:jc w:val="left"/>
              <w:rPr>
                <w:rFonts w:ascii="Tahoma" w:hAnsi="Tahoma" w:cs="Tahoma"/>
                <w:sz w:val="20"/>
                <w:szCs w:val="20"/>
              </w:rPr>
            </w:pPr>
            <w:r w:rsidRPr="004B208C">
              <w:rPr>
                <w:rFonts w:ascii="Tahoma" w:hAnsi="Tahoma" w:cs="Tahoma"/>
                <w:sz w:val="20"/>
                <w:szCs w:val="20"/>
              </w:rPr>
              <w:t>Contrato School</w:t>
            </w:r>
          </w:p>
        </w:tc>
        <w:tc>
          <w:tcPr>
            <w:tcW w:w="1305" w:type="dxa"/>
            <w:shd w:val="clear" w:color="auto" w:fill="FFCC99"/>
            <w:vAlign w:val="center"/>
          </w:tcPr>
          <w:p w:rsidR="00394D2B" w:rsidRPr="004B208C" w:rsidRDefault="00394D2B" w:rsidP="007E466C">
            <w:pPr>
              <w:pStyle w:val="AppendixTableHeadings"/>
              <w:rPr>
                <w:rFonts w:ascii="Tahoma" w:hAnsi="Tahoma" w:cs="Tahoma"/>
                <w:sz w:val="20"/>
                <w:szCs w:val="20"/>
              </w:rPr>
            </w:pPr>
            <w:r w:rsidRPr="004B208C">
              <w:rPr>
                <w:rFonts w:ascii="Tahoma" w:hAnsi="Tahoma" w:cs="Tahoma"/>
                <w:sz w:val="20"/>
                <w:szCs w:val="20"/>
              </w:rPr>
              <w:t>Select Plus</w:t>
            </w:r>
          </w:p>
        </w:tc>
      </w:tr>
      <w:tr w:rsidR="009233CA" w:rsidRPr="004B208C" w:rsidTr="00826B1B">
        <w:trPr>
          <w:trHeight w:val="369"/>
        </w:trPr>
        <w:tc>
          <w:tcPr>
            <w:tcW w:w="1789" w:type="dxa"/>
            <w:vAlign w:val="center"/>
          </w:tcPr>
          <w:p w:rsidR="00394D2B" w:rsidRPr="004B208C" w:rsidRDefault="00394D2B">
            <w:pPr>
              <w:pStyle w:val="AppendixTableText"/>
              <w:rPr>
                <w:rFonts w:ascii="Tahoma" w:hAnsi="Tahoma" w:cs="Tahoma"/>
                <w:szCs w:val="20"/>
              </w:rPr>
            </w:pPr>
            <w:r w:rsidRPr="004B208C">
              <w:rPr>
                <w:rFonts w:ascii="Tahoma" w:hAnsi="Tahoma" w:cs="Tahoma"/>
                <w:szCs w:val="20"/>
              </w:rPr>
              <w:t>Os benefícios estão disponíveis por:</w:t>
            </w:r>
          </w:p>
        </w:tc>
        <w:tc>
          <w:tcPr>
            <w:tcW w:w="1278" w:type="dxa"/>
            <w:vAlign w:val="center"/>
          </w:tcPr>
          <w:p w:rsidR="00394D2B" w:rsidRPr="004B208C" w:rsidRDefault="00394D2B">
            <w:pPr>
              <w:pStyle w:val="AppendixTableText"/>
              <w:rPr>
                <w:rFonts w:ascii="Tahoma" w:hAnsi="Tahoma" w:cs="Tahoma"/>
                <w:szCs w:val="20"/>
              </w:rPr>
            </w:pPr>
            <w:r w:rsidRPr="004B208C">
              <w:rPr>
                <w:rFonts w:ascii="Tahoma" w:hAnsi="Tahoma" w:cs="Tahoma"/>
                <w:szCs w:val="20"/>
              </w:rPr>
              <w:t>Número de Licença</w:t>
            </w:r>
          </w:p>
        </w:tc>
        <w:tc>
          <w:tcPr>
            <w:tcW w:w="1260" w:type="dxa"/>
            <w:vAlign w:val="center"/>
          </w:tcPr>
          <w:p w:rsidR="00394D2B" w:rsidRPr="004B208C" w:rsidRDefault="00394D2B">
            <w:pPr>
              <w:pStyle w:val="AppendixTableText"/>
              <w:rPr>
                <w:rFonts w:ascii="Tahoma" w:hAnsi="Tahoma" w:cs="Tahoma"/>
                <w:szCs w:val="20"/>
              </w:rPr>
            </w:pPr>
            <w:r w:rsidRPr="004B208C">
              <w:rPr>
                <w:rFonts w:ascii="Tahoma" w:hAnsi="Tahoma" w:cs="Tahoma"/>
                <w:szCs w:val="20"/>
              </w:rPr>
              <w:t>Contrato</w:t>
            </w:r>
          </w:p>
        </w:tc>
        <w:tc>
          <w:tcPr>
            <w:tcW w:w="1530" w:type="dxa"/>
            <w:vAlign w:val="center"/>
          </w:tcPr>
          <w:p w:rsidR="00394D2B" w:rsidRPr="004B208C" w:rsidRDefault="00394D2B" w:rsidP="00394D2B">
            <w:pPr>
              <w:pStyle w:val="AppendixTableText"/>
              <w:rPr>
                <w:rFonts w:ascii="Tahoma" w:hAnsi="Tahoma" w:cs="Tahoma"/>
                <w:szCs w:val="20"/>
              </w:rPr>
            </w:pPr>
            <w:r w:rsidRPr="004B208C">
              <w:rPr>
                <w:rFonts w:ascii="Tahoma" w:hAnsi="Tahoma" w:cs="Tahoma"/>
                <w:szCs w:val="20"/>
              </w:rPr>
              <w:t>Contrato</w:t>
            </w:r>
          </w:p>
        </w:tc>
        <w:tc>
          <w:tcPr>
            <w:tcW w:w="2475" w:type="dxa"/>
            <w:vAlign w:val="center"/>
          </w:tcPr>
          <w:p w:rsidR="00394D2B" w:rsidRPr="004B208C" w:rsidRDefault="00394D2B">
            <w:pPr>
              <w:pStyle w:val="AppendixTableText"/>
              <w:rPr>
                <w:rFonts w:ascii="Tahoma" w:hAnsi="Tahoma" w:cs="Tahoma"/>
                <w:szCs w:val="20"/>
              </w:rPr>
            </w:pPr>
            <w:r w:rsidRPr="004B208C">
              <w:rPr>
                <w:rFonts w:ascii="Tahoma" w:hAnsi="Tahoma" w:cs="Tahoma"/>
                <w:szCs w:val="20"/>
              </w:rPr>
              <w:t>Qualificado</w:t>
            </w:r>
          </w:p>
        </w:tc>
        <w:tc>
          <w:tcPr>
            <w:tcW w:w="1305" w:type="dxa"/>
          </w:tcPr>
          <w:p w:rsidR="00394D2B" w:rsidRPr="004B208C" w:rsidRDefault="00394D2B">
            <w:pPr>
              <w:pStyle w:val="AppendixTableText"/>
              <w:rPr>
                <w:rFonts w:ascii="Tahoma" w:hAnsi="Tahoma" w:cs="Tahoma"/>
                <w:szCs w:val="20"/>
              </w:rPr>
            </w:pPr>
            <w:r w:rsidRPr="004B208C">
              <w:rPr>
                <w:rFonts w:ascii="Tahoma" w:hAnsi="Tahoma" w:cs="Tahoma"/>
                <w:szCs w:val="20"/>
              </w:rPr>
              <w:t>Afiliada Registrada</w:t>
            </w:r>
          </w:p>
        </w:tc>
      </w:tr>
    </w:tbl>
    <w:p w:rsidR="00023FE7" w:rsidRPr="009869F4" w:rsidRDefault="00023FE7" w:rsidP="0063466C">
      <w:pPr>
        <w:pStyle w:val="AppendixBodyText"/>
        <w:spacing w:after="0"/>
        <w:ind w:right="403"/>
        <w:rPr>
          <w:rFonts w:ascii="Tahoma" w:hAnsi="Tahoma" w:cs="Tahoma"/>
          <w:sz w:val="16"/>
          <w:szCs w:val="16"/>
        </w:rPr>
      </w:pPr>
      <w:r w:rsidRPr="009869F4">
        <w:rPr>
          <w:rFonts w:ascii="Tahoma" w:hAnsi="Tahoma" w:cs="Tahoma"/>
          <w:b/>
          <w:i/>
          <w:sz w:val="16"/>
          <w:szCs w:val="16"/>
        </w:rPr>
        <w:t>Observação:</w:t>
      </w:r>
      <w:r w:rsidRPr="009869F4">
        <w:rPr>
          <w:rFonts w:ascii="Tahoma" w:hAnsi="Tahoma" w:cs="Tahoma"/>
          <w:i/>
          <w:sz w:val="16"/>
          <w:szCs w:val="16"/>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rsidR="00023FE7" w:rsidRPr="004B208C" w:rsidRDefault="00023FE7" w:rsidP="0063466C">
      <w:pPr>
        <w:pStyle w:val="AppendixBodyText"/>
        <w:spacing w:after="0"/>
        <w:rPr>
          <w:rFonts w:ascii="Tahoma" w:hAnsi="Tahoma" w:cs="Tahoma"/>
        </w:rPr>
      </w:pPr>
      <w:r w:rsidRPr="004B208C">
        <w:rPr>
          <w:rFonts w:ascii="Tahoma" w:hAnsi="Tahoma" w:cs="Tahoma"/>
          <w:sz w:val="18"/>
        </w:rPr>
        <w:lastRenderedPageBreak/>
        <w:t>Os Benefícios do Software Assurance e os benefícios dos Serviços Online são exibidos na tabela a seguir.</w:t>
      </w:r>
      <w:r w:rsidR="00172F11">
        <w:rPr>
          <w:rFonts w:ascii="Tahoma" w:hAnsi="Tahoma" w:cs="Tahoma"/>
          <w:sz w:val="18"/>
        </w:rPr>
        <w:t xml:space="preserve"> </w:t>
      </w:r>
      <w:r w:rsidRPr="004B208C">
        <w:rPr>
          <w:rFonts w:ascii="Tahoma" w:hAnsi="Tahoma" w:cs="Tahoma"/>
          <w:sz w:val="18"/>
        </w:rPr>
        <w:t>Determinados benefícios correspondem a licenças individuais para as quais o Software Assurance foi adquirido.</w:t>
      </w:r>
      <w:r w:rsidR="00172F11">
        <w:rPr>
          <w:rFonts w:ascii="Tahoma" w:hAnsi="Tahoma" w:cs="Tahoma"/>
          <w:sz w:val="18"/>
        </w:rPr>
        <w:t xml:space="preserve"> </w:t>
      </w:r>
      <w:r w:rsidRPr="004B208C">
        <w:rPr>
          <w:rFonts w:ascii="Tahoma" w:hAnsi="Tahoma" w:cs="Tahoma"/>
          <w:sz w:val="18"/>
        </w:rPr>
        <w:t>O</w:t>
      </w:r>
      <w:r w:rsidR="00826B1B">
        <w:rPr>
          <w:rFonts w:ascii="Tahoma" w:hAnsi="Tahoma" w:cs="Tahoma"/>
          <w:sz w:val="18"/>
        </w:rPr>
        <w:t> </w:t>
      </w:r>
      <w:r w:rsidRPr="004B208C">
        <w:rPr>
          <w:rFonts w:ascii="Tahoma" w:hAnsi="Tahoma" w:cs="Tahoma"/>
          <w:sz w:val="18"/>
        </w:rPr>
        <w:t>Software Assurance (ou outra proteção de atualização) ativo de qualquer produto qualificado, independentemente da versão do produto que um cliente esteja usando, qualifica o cliente para esses benefícios.</w:t>
      </w:r>
      <w:r w:rsidR="00172F11">
        <w:rPr>
          <w:rFonts w:ascii="Tahoma" w:hAnsi="Tahoma" w:cs="Tahoma"/>
          <w:sz w:val="18"/>
        </w:rPr>
        <w:t xml:space="preserve"> </w:t>
      </w:r>
      <w:r w:rsidRPr="004B208C">
        <w:rPr>
          <w:rFonts w:ascii="Tahoma" w:hAnsi="Tahoma" w:cs="Tahoma"/>
          <w:sz w:val="18"/>
        </w:rPr>
        <w:t>Os produtos qualificados estão identificados na seção de cada produto.</w:t>
      </w:r>
      <w:r w:rsidR="00172F11">
        <w:rPr>
          <w:rFonts w:ascii="Tahoma" w:hAnsi="Tahoma" w:cs="Tahoma"/>
          <w:sz w:val="18"/>
        </w:rPr>
        <w:t xml:space="preserve"> </w:t>
      </w:r>
      <w:r w:rsidRPr="004B208C">
        <w:rPr>
          <w:rFonts w:ascii="Tahoma" w:hAnsi="Tahoma" w:cs="Tahoma"/>
          <w:sz w:val="18"/>
        </w:rPr>
        <w:t>Alguns benefícios são concedidos com base nos gastos de</w:t>
      </w:r>
      <w:r w:rsidR="00826B1B">
        <w:rPr>
          <w:rFonts w:ascii="Tahoma" w:hAnsi="Tahoma" w:cs="Tahoma"/>
          <w:sz w:val="18"/>
        </w:rPr>
        <w:t> </w:t>
      </w:r>
      <w:r w:rsidRPr="004B208C">
        <w:rPr>
          <w:rFonts w:ascii="Tahoma" w:hAnsi="Tahoma" w:cs="Tahoma"/>
          <w:sz w:val="18"/>
        </w:rPr>
        <w:t>SA do Cliente com um determinado conjunto de produtos qualificados de um pool.</w:t>
      </w:r>
      <w:r w:rsidR="00172F11">
        <w:rPr>
          <w:rFonts w:ascii="Tahoma" w:hAnsi="Tahoma" w:cs="Tahoma"/>
          <w:sz w:val="18"/>
        </w:rPr>
        <w:t xml:space="preserve"> </w:t>
      </w:r>
      <w:r w:rsidRPr="004B208C">
        <w:rPr>
          <w:rFonts w:ascii="Tahoma" w:hAnsi="Tahoma" w:cs="Tahoma"/>
          <w:sz w:val="18"/>
        </w:rPr>
        <w:t>Para esses fins, “gastos de SA” não são literalmente os gastos reais em dólares do cliente.</w:t>
      </w:r>
      <w:r w:rsidR="00172F11">
        <w:rPr>
          <w:rFonts w:ascii="Tahoma" w:hAnsi="Tahoma" w:cs="Tahoma"/>
          <w:sz w:val="18"/>
        </w:rPr>
        <w:t xml:space="preserve"> </w:t>
      </w:r>
      <w:r w:rsidRPr="004B208C">
        <w:rPr>
          <w:rFonts w:ascii="Tahoma" w:hAnsi="Tahoma" w:cs="Tahoma"/>
          <w:sz w:val="18"/>
        </w:rPr>
        <w:t xml:space="preserve">Em vez disso, eles são uma aproximação da quantia gasta por um cliente em cobertura de Software Assurance para esses produtos sob o Registro Select ou </w:t>
      </w:r>
      <w:r w:rsidRPr="004B208C">
        <w:rPr>
          <w:rFonts w:ascii="Tahoma" w:hAnsi="Tahoma" w:cs="Tahoma"/>
          <w:sz w:val="18"/>
          <w:szCs w:val="18"/>
        </w:rPr>
        <w:t>Enterprise, o</w:t>
      </w:r>
      <w:r w:rsidR="00826B1B">
        <w:rPr>
          <w:rFonts w:ascii="Tahoma" w:hAnsi="Tahoma" w:cs="Tahoma"/>
          <w:sz w:val="18"/>
          <w:szCs w:val="18"/>
        </w:rPr>
        <w:t> </w:t>
      </w:r>
      <w:r w:rsidRPr="004B208C">
        <w:rPr>
          <w:rFonts w:ascii="Tahoma" w:hAnsi="Tahoma" w:cs="Tahoma"/>
          <w:sz w:val="18"/>
          <w:szCs w:val="18"/>
        </w:rPr>
        <w:t>registro Select Plus ou o contrato Open (por exemplo, aquisições apenas de SA e aquisições do componente SA</w:t>
      </w:r>
      <w:r w:rsidR="00FD7A75">
        <w:rPr>
          <w:rFonts w:ascii="Tahoma" w:hAnsi="Tahoma" w:cs="Tahoma"/>
          <w:sz w:val="18"/>
          <w:szCs w:val="18"/>
        </w:rPr>
        <w:t> </w:t>
      </w:r>
      <w:r w:rsidRPr="004B208C">
        <w:rPr>
          <w:rFonts w:ascii="Tahoma" w:hAnsi="Tahoma" w:cs="Tahoma"/>
          <w:sz w:val="18"/>
          <w:szCs w:val="18"/>
        </w:rPr>
        <w:t>de</w:t>
      </w:r>
      <w:r w:rsidR="00826B1B">
        <w:rPr>
          <w:rFonts w:ascii="Tahoma" w:hAnsi="Tahoma" w:cs="Tahoma"/>
          <w:sz w:val="18"/>
          <w:szCs w:val="18"/>
        </w:rPr>
        <w:t> </w:t>
      </w:r>
      <w:r w:rsidRPr="004B208C">
        <w:rPr>
          <w:rFonts w:ascii="Tahoma" w:hAnsi="Tahoma" w:cs="Tahoma"/>
          <w:sz w:val="18"/>
          <w:szCs w:val="18"/>
        </w:rPr>
        <w:t>L&amp;SA (Licença e Software Assurance).</w:t>
      </w:r>
      <w:r w:rsidR="00172F11">
        <w:rPr>
          <w:rFonts w:ascii="Tahoma" w:hAnsi="Tahoma" w:cs="Tahoma"/>
          <w:sz w:val="18"/>
          <w:szCs w:val="18"/>
        </w:rPr>
        <w:t xml:space="preserve"> </w:t>
      </w:r>
      <w:r w:rsidRPr="004B208C">
        <w:rPr>
          <w:rFonts w:ascii="Tahoma" w:hAnsi="Tahoma" w:cs="Tahoma"/>
          <w:sz w:val="18"/>
          <w:szCs w:val="18"/>
        </w:rPr>
        <w:t>Para os clientes sob programas de assinatura, esses gastos são uma aproximação do valor total em dólares que o cliente gastou com o licenciamento desses produtos sob seu registro ou</w:t>
      </w:r>
      <w:r w:rsidR="00826B1B">
        <w:rPr>
          <w:rFonts w:ascii="Tahoma" w:hAnsi="Tahoma" w:cs="Tahoma"/>
          <w:sz w:val="18"/>
          <w:szCs w:val="18"/>
        </w:rPr>
        <w:t> </w:t>
      </w:r>
      <w:r w:rsidRPr="004B208C">
        <w:rPr>
          <w:rFonts w:ascii="Tahoma" w:hAnsi="Tahoma" w:cs="Tahoma"/>
          <w:sz w:val="18"/>
          <w:szCs w:val="18"/>
        </w:rPr>
        <w:t>contrato.</w:t>
      </w:r>
      <w:r w:rsidR="00172F11">
        <w:rPr>
          <w:rFonts w:ascii="Tahoma" w:hAnsi="Tahoma" w:cs="Tahoma"/>
          <w:sz w:val="18"/>
          <w:szCs w:val="18"/>
        </w:rPr>
        <w:t xml:space="preserve"> </w:t>
      </w:r>
      <w:r w:rsidRPr="004B208C">
        <w:rPr>
          <w:rFonts w:ascii="Tahoma" w:hAnsi="Tahoma" w:cs="Tahoma"/>
          <w:sz w:val="18"/>
          <w:szCs w:val="18"/>
        </w:rPr>
        <w:t>Outros benefícios correspondem ao Programa de Membros do Software Assurance. O Programa de Membros do Software Assurance para o pool de produtos aplicável qualifica o cliente a esses benefícios.</w:t>
      </w:r>
    </w:p>
    <w:p w:rsidR="00023FE7" w:rsidRPr="004B208C" w:rsidRDefault="00023FE7" w:rsidP="0063466C">
      <w:pPr>
        <w:pStyle w:val="AppendixBodyText"/>
        <w:spacing w:after="0"/>
        <w:rPr>
          <w:rFonts w:ascii="Tahoma" w:hAnsi="Tahoma" w:cs="Tahoma"/>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4B208C"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B208C" w:rsidRDefault="004B4C79" w:rsidP="00E06FE8">
            <w:pPr>
              <w:pStyle w:val="AppendixTableHeadings"/>
              <w:rPr>
                <w:rFonts w:ascii="Tahoma" w:hAnsi="Tahoma" w:cs="Tahoma"/>
                <w:sz w:val="20"/>
                <w:szCs w:val="20"/>
              </w:rPr>
            </w:pPr>
            <w:r w:rsidRPr="004B208C">
              <w:rPr>
                <w:rFonts w:ascii="Tahoma" w:hAnsi="Tahoma" w:cs="Tahoma"/>
                <w:sz w:val="20"/>
                <w:szCs w:val="20"/>
              </w:rPr>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B208C" w:rsidRDefault="004B4C79" w:rsidP="00E06FE8">
            <w:pPr>
              <w:pStyle w:val="AppendixTableHeadings"/>
              <w:rPr>
                <w:rFonts w:ascii="Tahoma" w:hAnsi="Tahoma" w:cs="Tahoma"/>
                <w:sz w:val="20"/>
                <w:szCs w:val="20"/>
              </w:rPr>
            </w:pPr>
            <w:r w:rsidRPr="004B208C">
              <w:rPr>
                <w:rFonts w:ascii="Tahoma" w:hAnsi="Tahoma" w:cs="Tahoma"/>
                <w:sz w:val="20"/>
                <w:szCs w:val="20"/>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B208C" w:rsidRDefault="004B4C79" w:rsidP="00E06FE8">
            <w:pPr>
              <w:pStyle w:val="AppendixTableHeadings"/>
              <w:rPr>
                <w:rFonts w:ascii="Tahoma" w:hAnsi="Tahoma" w:cs="Tahoma"/>
                <w:sz w:val="20"/>
                <w:szCs w:val="20"/>
              </w:rPr>
            </w:pPr>
            <w:r w:rsidRPr="004B208C">
              <w:rPr>
                <w:rFonts w:ascii="Tahoma" w:hAnsi="Tahoma" w:cs="Tahoma"/>
                <w:sz w:val="20"/>
                <w:szCs w:val="20"/>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B208C" w:rsidRDefault="004B4C79" w:rsidP="00E06FE8">
            <w:pPr>
              <w:pStyle w:val="AppendixTableHeadings"/>
              <w:rPr>
                <w:rFonts w:ascii="Tahoma" w:hAnsi="Tahoma" w:cs="Tahoma"/>
                <w:sz w:val="20"/>
                <w:szCs w:val="20"/>
              </w:rPr>
            </w:pPr>
            <w:r w:rsidRPr="004B208C">
              <w:rPr>
                <w:rFonts w:ascii="Tahoma" w:hAnsi="Tahoma" w:cs="Tahoma"/>
                <w:sz w:val="20"/>
                <w:szCs w:val="20"/>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B208C" w:rsidRDefault="006705D4" w:rsidP="00E06FE8">
            <w:pPr>
              <w:pStyle w:val="AppendixTableHeadings"/>
              <w:rPr>
                <w:rFonts w:ascii="Tahoma" w:hAnsi="Tahoma" w:cs="Tahoma"/>
                <w:sz w:val="20"/>
                <w:szCs w:val="20"/>
              </w:rPr>
            </w:pPr>
            <w:r w:rsidRPr="004B208C">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4B208C" w:rsidRDefault="004B4C79" w:rsidP="00E06FE8">
            <w:pPr>
              <w:pStyle w:val="AppendixTableHeadings"/>
              <w:rPr>
                <w:rFonts w:ascii="Tahoma" w:hAnsi="Tahoma" w:cs="Tahoma"/>
                <w:sz w:val="20"/>
                <w:szCs w:val="20"/>
              </w:rPr>
            </w:pPr>
            <w:r w:rsidRPr="004B208C">
              <w:rPr>
                <w:rFonts w:ascii="Tahoma" w:hAnsi="Tahoma" w:cs="Tahoma"/>
                <w:sz w:val="20"/>
                <w:szCs w:val="20"/>
              </w:rPr>
              <w:t>Office 365</w:t>
            </w:r>
          </w:p>
        </w:tc>
      </w:tr>
      <w:tr w:rsidR="004B4C79" w:rsidRPr="004B208C"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Direitos à Nova Versão</w:t>
            </w:r>
          </w:p>
        </w:tc>
        <w:tc>
          <w:tcPr>
            <w:tcW w:w="1530" w:type="dxa"/>
            <w:tcBorders>
              <w:top w:val="single" w:sz="8" w:space="0" w:color="auto"/>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8" w:space="0" w:color="auto"/>
              <w:left w:val="nil"/>
              <w:bottom w:val="single" w:sz="4" w:space="0" w:color="auto"/>
              <w:right w:val="single" w:sz="4" w:space="0" w:color="auto"/>
            </w:tcBorders>
            <w:vAlign w:val="center"/>
          </w:tcPr>
          <w:p w:rsidR="004B4C79" w:rsidRPr="004B208C" w:rsidRDefault="00302B84" w:rsidP="00E06FE8">
            <w:pPr>
              <w:pStyle w:val="AppendixTableText"/>
              <w:rPr>
                <w:rFonts w:ascii="Tahoma" w:hAnsi="Tahoma" w:cs="Tahoma"/>
              </w:rPr>
            </w:pPr>
            <w:r w:rsidRPr="004B208C">
              <w:rPr>
                <w:rFonts w:ascii="Tahoma" w:hAnsi="Tahoma" w:cs="Tahoma"/>
              </w:rPr>
              <w:t>Sim</w:t>
            </w:r>
          </w:p>
        </w:tc>
        <w:tc>
          <w:tcPr>
            <w:tcW w:w="1440" w:type="dxa"/>
            <w:tcBorders>
              <w:top w:val="single" w:sz="8" w:space="0" w:color="auto"/>
              <w:left w:val="nil"/>
              <w:bottom w:val="single" w:sz="4" w:space="0" w:color="auto"/>
              <w:right w:val="single" w:sz="4" w:space="0" w:color="auto"/>
            </w:tcBorders>
            <w:vAlign w:val="center"/>
          </w:tcPr>
          <w:p w:rsidR="004B4C79" w:rsidRPr="004B208C" w:rsidRDefault="00302B84" w:rsidP="00E06FE8">
            <w:pPr>
              <w:pStyle w:val="AppendixTableText"/>
              <w:rPr>
                <w:rFonts w:ascii="Tahoma" w:hAnsi="Tahoma" w:cs="Tahoma"/>
              </w:rPr>
            </w:pPr>
            <w:r w:rsidRPr="004B208C">
              <w:rPr>
                <w:rFonts w:ascii="Tahoma" w:hAnsi="Tahoma" w:cs="Tahoma"/>
              </w:rPr>
              <w:t>Sim</w:t>
            </w:r>
          </w:p>
        </w:tc>
      </w:tr>
      <w:tr w:rsidR="004B4C79"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4B4C79" w:rsidP="00826B1B">
            <w:pPr>
              <w:pStyle w:val="AppendixTableText"/>
              <w:jc w:val="left"/>
              <w:rPr>
                <w:rFonts w:ascii="Tahoma" w:hAnsi="Tahoma" w:cs="Tahoma"/>
              </w:rPr>
            </w:pPr>
            <w:r w:rsidRPr="004B208C">
              <w:rPr>
                <w:rFonts w:ascii="Tahoma" w:hAnsi="Tahoma" w:cs="Tahoma"/>
              </w:rPr>
              <w:t>Pacote Multilíngue do</w:t>
            </w:r>
            <w:r w:rsidR="00826B1B">
              <w:rPr>
                <w:rFonts w:ascii="Tahoma" w:hAnsi="Tahoma" w:cs="Tahoma"/>
              </w:rPr>
              <w:t> </w:t>
            </w:r>
            <w:r w:rsidRPr="004B208C">
              <w:rPr>
                <w:rFonts w:ascii="Tahoma" w:hAnsi="Tahoma" w:cs="Tahoma"/>
              </w:rPr>
              <w:t>Office</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Style w:val="CommentReference"/>
                <w:rFonts w:ascii="Tahoma" w:hAnsi="Tahoma" w:cs="Tahoma"/>
                <w:sz w:val="18"/>
                <w:szCs w:val="18"/>
              </w:rPr>
            </w:pPr>
            <w:r w:rsidRPr="004B208C">
              <w:rPr>
                <w:rFonts w:ascii="Tahoma" w:hAnsi="Tahoma" w:cs="Tahoma"/>
              </w:rPr>
              <w:t>Sim</w:t>
            </w:r>
          </w:p>
        </w:tc>
      </w:tr>
      <w:tr w:rsidR="004B4C79"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E7419A">
            <w:pPr>
              <w:pStyle w:val="AppendixTableText"/>
              <w:jc w:val="left"/>
              <w:rPr>
                <w:rFonts w:ascii="Tahoma" w:hAnsi="Tahoma" w:cs="Tahoma"/>
              </w:rPr>
            </w:pPr>
            <w:r w:rsidRPr="004B208C">
              <w:rPr>
                <w:rFonts w:ascii="Tahoma" w:hAnsi="Tahoma" w:cs="Tahoma"/>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Style w:val="CommentReference"/>
                <w:rFonts w:ascii="Tahoma" w:hAnsi="Tahoma" w:cs="Tahoma"/>
                <w:sz w:val="18"/>
                <w:szCs w:val="18"/>
              </w:rPr>
            </w:pPr>
            <w:r w:rsidRPr="004B208C">
              <w:rPr>
                <w:rStyle w:val="CommentReference"/>
                <w:rFonts w:ascii="Tahoma" w:hAnsi="Tahoma" w:cs="Tahoma"/>
                <w:sz w:val="18"/>
                <w:szCs w:val="18"/>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Style w:val="CommentReference"/>
                <w:rFonts w:ascii="Tahoma" w:hAnsi="Tahoma" w:cs="Tahoma"/>
                <w:sz w:val="18"/>
                <w:szCs w:val="18"/>
              </w:rPr>
            </w:pPr>
          </w:p>
        </w:tc>
      </w:tr>
      <w:tr w:rsidR="004B4C79"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B208C" w:rsidRDefault="004B4C79" w:rsidP="008D0051">
            <w:pPr>
              <w:pStyle w:val="AppendixTableText"/>
              <w:jc w:val="left"/>
              <w:rPr>
                <w:rFonts w:ascii="Tahoma" w:hAnsi="Tahoma" w:cs="Tahoma"/>
              </w:rPr>
            </w:pPr>
            <w:r w:rsidRPr="004B208C">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44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Cupons de Treinamento</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44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r>
      <w:tr w:rsidR="004B4C79"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Style w:val="CommentReference"/>
                <w:rFonts w:ascii="Tahoma" w:hAnsi="Tahoma" w:cs="Tahoma"/>
                <w:sz w:val="18"/>
                <w:szCs w:val="18"/>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620185"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4B208C" w:rsidRDefault="00620185">
            <w:pPr>
              <w:pStyle w:val="AppendixTableText"/>
              <w:jc w:val="left"/>
              <w:rPr>
                <w:rFonts w:ascii="Tahoma" w:hAnsi="Tahoma" w:cs="Tahoma"/>
              </w:rPr>
            </w:pPr>
            <w:r w:rsidRPr="004B208C">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4B208C"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4B208C"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4B208C" w:rsidRDefault="00620185"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620185" w:rsidRPr="004B208C"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4B208C" w:rsidRDefault="00620185" w:rsidP="00E06FE8">
            <w:pPr>
              <w:pStyle w:val="AppendixTableText"/>
              <w:rPr>
                <w:rFonts w:ascii="Tahoma" w:hAnsi="Tahoma" w:cs="Tahoma"/>
              </w:rPr>
            </w:pPr>
          </w:p>
        </w:tc>
      </w:tr>
      <w:tr w:rsidR="00E06FE8"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4B208C" w:rsidRDefault="00E06FE8">
            <w:pPr>
              <w:pStyle w:val="AppendixTableText"/>
              <w:jc w:val="left"/>
              <w:rPr>
                <w:rFonts w:ascii="Tahoma" w:hAnsi="Tahoma" w:cs="Tahoma"/>
              </w:rPr>
            </w:pPr>
            <w:r w:rsidRPr="004B208C">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4B208C"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4B208C"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4B208C" w:rsidRDefault="00E06FE8"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E06FE8" w:rsidRPr="004B208C"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4B208C" w:rsidRDefault="00E06FE8" w:rsidP="00E06FE8">
            <w:pPr>
              <w:pStyle w:val="AppendixTableText"/>
              <w:rPr>
                <w:rFonts w:ascii="Tahoma" w:hAnsi="Tahoma" w:cs="Tahoma"/>
              </w:rPr>
            </w:pPr>
          </w:p>
        </w:tc>
      </w:tr>
      <w:tr w:rsidR="004B4C79"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Backup Passivo para Recuperação de Desastres</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Serviços de Assinatura do TechNet SA</w:t>
            </w:r>
          </w:p>
        </w:tc>
        <w:tc>
          <w:tcPr>
            <w:tcW w:w="1530" w:type="dxa"/>
            <w:tcBorders>
              <w:top w:val="single" w:sz="4" w:space="0" w:color="auto"/>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4" w:space="0" w:color="auto"/>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4B4C79" w:rsidP="005F52C6">
            <w:pPr>
              <w:pStyle w:val="AppendixTableText"/>
              <w:jc w:val="left"/>
              <w:rPr>
                <w:rFonts w:ascii="Tahoma" w:hAnsi="Tahoma" w:cs="Tahoma"/>
              </w:rPr>
            </w:pPr>
            <w:r w:rsidRPr="004B208C">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r w:rsidRPr="004B208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4B4C79">
            <w:pPr>
              <w:pStyle w:val="AppendixTableText"/>
              <w:jc w:val="left"/>
              <w:rPr>
                <w:rFonts w:ascii="Tahoma" w:hAnsi="Tahoma" w:cs="Tahoma"/>
              </w:rPr>
            </w:pPr>
            <w:r w:rsidRPr="004B208C">
              <w:rPr>
                <w:rFonts w:ascii="Tahoma" w:hAnsi="Tahoma" w:cs="Tahoma"/>
              </w:rPr>
              <w:t>Suporte Estendido a Hotfix</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Style w:val="CommentReference"/>
                <w:rFonts w:ascii="Tahoma" w:hAnsi="Tahoma" w:cs="Tahoma"/>
                <w:sz w:val="18"/>
                <w:szCs w:val="18"/>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rPr>
            </w:pPr>
            <w:r w:rsidRPr="004B208C">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rPr>
            </w:pPr>
          </w:p>
        </w:tc>
      </w:tr>
      <w:tr w:rsidR="004B4C79"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4B4C79">
            <w:pPr>
              <w:pStyle w:val="AppendixTableText"/>
              <w:jc w:val="left"/>
              <w:rPr>
                <w:rFonts w:ascii="Tahoma" w:hAnsi="Tahoma" w:cs="Tahoma"/>
                <w:color w:val="000000"/>
              </w:rPr>
            </w:pPr>
            <w:r w:rsidRPr="004B208C">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spacing w:after="120"/>
              <w:rPr>
                <w:rFonts w:ascii="Tahoma" w:hAnsi="Tahoma" w:cs="Tahoma"/>
                <w:color w:val="000000"/>
              </w:rPr>
            </w:pPr>
            <w:r w:rsidRPr="004B208C">
              <w:rPr>
                <w:rFonts w:ascii="Tahoma" w:hAnsi="Tahoma" w:cs="Tahoma"/>
                <w:color w:val="000000"/>
              </w:rPr>
              <w:t>Sim</w:t>
            </w:r>
            <w:r w:rsidRPr="004B208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spacing w:before="120"/>
              <w:rPr>
                <w:rFonts w:ascii="Tahoma" w:hAnsi="Tahoma" w:cs="Tahoma"/>
                <w:color w:val="000000"/>
              </w:rPr>
            </w:pPr>
            <w:r w:rsidRPr="004B208C">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spacing w:before="120"/>
              <w:rPr>
                <w:rFonts w:ascii="Tahoma" w:hAnsi="Tahoma" w:cs="Tahoma"/>
                <w:color w:val="000000"/>
              </w:rPr>
            </w:pPr>
          </w:p>
        </w:tc>
      </w:tr>
      <w:tr w:rsidR="004B4C79"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E7419A" w:rsidP="00E7419A">
            <w:pPr>
              <w:pStyle w:val="AppendixTableText"/>
              <w:jc w:val="left"/>
              <w:rPr>
                <w:rFonts w:ascii="Tahoma" w:hAnsi="Tahoma" w:cs="Tahoma"/>
                <w:color w:val="000000"/>
              </w:rPr>
            </w:pPr>
            <w:r w:rsidRPr="004B208C">
              <w:rPr>
                <w:rFonts w:ascii="Tahoma" w:hAnsi="Tahoma" w:cs="Tahoma"/>
                <w:color w:val="000000"/>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spacing w:after="120"/>
              <w:rPr>
                <w:rFonts w:ascii="Tahoma" w:hAnsi="Tahoma" w:cs="Tahoma"/>
                <w:color w:val="000000"/>
              </w:rPr>
            </w:pPr>
            <w:r w:rsidRPr="004B208C">
              <w:rPr>
                <w:rFonts w:ascii="Tahoma" w:hAnsi="Tahoma" w:cs="Tahoma"/>
                <w:color w:val="000000"/>
              </w:rPr>
              <w:t>Sim</w:t>
            </w:r>
            <w:r w:rsidRPr="004B208C">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spacing w:before="120"/>
              <w:rPr>
                <w:rFonts w:ascii="Tahoma" w:hAnsi="Tahoma" w:cs="Tahoma"/>
                <w:color w:val="000000"/>
              </w:rPr>
            </w:pPr>
            <w:r w:rsidRPr="004B208C">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spacing w:before="120"/>
              <w:rPr>
                <w:rFonts w:ascii="Tahoma" w:hAnsi="Tahoma" w:cs="Tahoma"/>
                <w:color w:val="000000"/>
              </w:rPr>
            </w:pPr>
          </w:p>
        </w:tc>
      </w:tr>
      <w:tr w:rsidR="004B4C79"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4B4C79">
            <w:pPr>
              <w:pStyle w:val="AppendixTableText"/>
              <w:jc w:val="left"/>
              <w:rPr>
                <w:rFonts w:ascii="Tahoma" w:hAnsi="Tahoma" w:cs="Tahoma"/>
                <w:color w:val="000000"/>
              </w:rPr>
            </w:pPr>
            <w:r w:rsidRPr="004B208C">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E06FE8">
            <w:pPr>
              <w:pStyle w:val="AppendixTableText"/>
              <w:spacing w:after="120"/>
              <w:rPr>
                <w:rFonts w:ascii="Tahoma" w:hAnsi="Tahoma" w:cs="Tahoma"/>
                <w:color w:val="000000"/>
              </w:rPr>
            </w:pPr>
            <w:r w:rsidRPr="004B208C">
              <w:rPr>
                <w:rFonts w:ascii="Tahoma" w:hAnsi="Tahoma" w:cs="Tahoma"/>
                <w:color w:val="000000"/>
              </w:rPr>
              <w:t>Sim</w:t>
            </w:r>
            <w:r w:rsidRPr="004B208C">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spacing w:before="120"/>
              <w:rPr>
                <w:rFonts w:ascii="Tahoma" w:hAnsi="Tahoma" w:cs="Tahoma"/>
                <w:color w:val="000000"/>
              </w:rPr>
            </w:pPr>
            <w:r w:rsidRPr="004B208C">
              <w:rPr>
                <w:rFonts w:ascii="Tahoma" w:hAnsi="Tahoma" w:cs="Tahoma"/>
                <w:color w:val="000000"/>
              </w:rPr>
              <w:t>Sim</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E06FE8">
            <w:pPr>
              <w:pStyle w:val="AppendixTableText"/>
              <w:spacing w:before="120"/>
              <w:rPr>
                <w:rFonts w:ascii="Tahoma" w:hAnsi="Tahoma" w:cs="Tahoma"/>
                <w:color w:val="000000"/>
              </w:rPr>
            </w:pPr>
          </w:p>
        </w:tc>
      </w:tr>
      <w:tr w:rsidR="004B4C79"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4B208C" w:rsidRDefault="004B4C79" w:rsidP="009539FE">
            <w:pPr>
              <w:pStyle w:val="AppendixTableText"/>
              <w:keepNext/>
              <w:jc w:val="left"/>
              <w:rPr>
                <w:rFonts w:ascii="Tahoma" w:hAnsi="Tahoma" w:cs="Tahoma"/>
              </w:rPr>
            </w:pPr>
            <w:r w:rsidRPr="004B208C">
              <w:rPr>
                <w:rFonts w:ascii="Tahoma" w:hAnsi="Tahoma" w:cs="Tahoma"/>
              </w:rPr>
              <w:lastRenderedPageBreak/>
              <w:t>Licença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9539FE">
            <w:pPr>
              <w:pStyle w:val="AppendixTableText"/>
              <w:keepNext/>
              <w:rPr>
                <w:rFonts w:ascii="Tahoma" w:hAnsi="Tahoma" w:cs="Tahoma"/>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4B208C" w:rsidRDefault="004B4C79" w:rsidP="009539FE">
            <w:pPr>
              <w:pStyle w:val="AppendixTableText"/>
              <w:keepNext/>
              <w:rPr>
                <w:rFonts w:ascii="Tahoma" w:hAnsi="Tahoma" w:cs="Tahoma"/>
              </w:rPr>
            </w:pPr>
            <w:r w:rsidRPr="004B208C">
              <w:rPr>
                <w:rFonts w:ascii="Tahoma" w:hAnsi="Tahoma" w:cs="Tahoma"/>
              </w:rPr>
              <w:t>Não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9539FE">
            <w:pPr>
              <w:pStyle w:val="AppendixTableText"/>
              <w:keepNext/>
              <w:rPr>
                <w:rFonts w:ascii="Tahoma" w:hAnsi="Tahoma" w:cs="Tahoma"/>
              </w:rPr>
            </w:pPr>
            <w:r w:rsidRPr="004B208C">
              <w:rPr>
                <w:rFonts w:ascii="Tahoma" w:hAnsi="Tahoma" w:cs="Tahoma"/>
              </w:rPr>
              <w:t>Sim</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9539FE">
            <w:pPr>
              <w:pStyle w:val="AppendixTableText"/>
              <w:keepN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4B208C" w:rsidRDefault="004B4C79" w:rsidP="009539FE">
            <w:pPr>
              <w:pStyle w:val="AppendixTableText"/>
              <w:keepNext/>
              <w:rPr>
                <w:rFonts w:ascii="Tahoma" w:hAnsi="Tahoma" w:cs="Tahoma"/>
              </w:rPr>
            </w:pPr>
          </w:p>
        </w:tc>
      </w:tr>
      <w:tr w:rsidR="00870095"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4B208C" w:rsidRDefault="00870095" w:rsidP="009539FE">
            <w:pPr>
              <w:pStyle w:val="AppendixTableText"/>
              <w:keepNext/>
              <w:jc w:val="left"/>
              <w:rPr>
                <w:rFonts w:ascii="Tahoma" w:hAnsi="Tahoma" w:cs="Tahoma"/>
              </w:rPr>
            </w:pPr>
            <w:r w:rsidRPr="004B208C">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4B208C" w:rsidRDefault="00870095" w:rsidP="009539FE">
            <w:pPr>
              <w:pStyle w:val="AppendixTableText"/>
              <w:keepN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4B208C" w:rsidRDefault="00870095" w:rsidP="009539FE">
            <w:pPr>
              <w:pStyle w:val="AppendixTableText"/>
              <w:keepNext/>
              <w:rPr>
                <w:rFonts w:ascii="Tahoma" w:hAnsi="Tahoma" w:cs="Tahoma"/>
              </w:rPr>
            </w:pPr>
            <w:r w:rsidRPr="004B208C">
              <w:rPr>
                <w:rFonts w:ascii="Tahoma" w:hAnsi="Tahoma" w:cs="Tahoma"/>
              </w:rPr>
              <w:t>Sim</w:t>
            </w:r>
            <w:r w:rsidRPr="004B208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4B208C" w:rsidRDefault="00870095" w:rsidP="009539FE">
            <w:pPr>
              <w:pStyle w:val="AppendixTableText"/>
              <w:keepN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4B208C" w:rsidRDefault="00175615" w:rsidP="009539FE">
            <w:pPr>
              <w:pStyle w:val="AppendixTableText"/>
              <w:keepNext/>
              <w:rPr>
                <w:rFonts w:ascii="Tahoma" w:hAnsi="Tahoma" w:cs="Tahoma"/>
              </w:rPr>
            </w:pPr>
            <w:r w:rsidRPr="004B208C">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4B208C" w:rsidRDefault="00870095" w:rsidP="009539FE">
            <w:pPr>
              <w:pStyle w:val="AppendixTableText"/>
              <w:keepNext/>
              <w:rPr>
                <w:rFonts w:ascii="Tahoma" w:hAnsi="Tahoma" w:cs="Tahoma"/>
              </w:rPr>
            </w:pPr>
          </w:p>
        </w:tc>
      </w:tr>
      <w:tr w:rsidR="00175615" w:rsidRPr="004B208C"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4B208C" w:rsidRDefault="00175615" w:rsidP="009539FE">
            <w:pPr>
              <w:pStyle w:val="AppendixTableText"/>
              <w:keepNext/>
              <w:jc w:val="left"/>
              <w:rPr>
                <w:rFonts w:ascii="Tahoma" w:hAnsi="Tahoma" w:cs="Tahoma"/>
              </w:rPr>
            </w:pPr>
            <w:r w:rsidRPr="004B208C">
              <w:rPr>
                <w:rFonts w:ascii="Tahoma" w:hAnsi="Tahoma" w:cs="Tahoma"/>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4B208C" w:rsidRDefault="00175615" w:rsidP="009539FE">
            <w:pPr>
              <w:pStyle w:val="AppendixTableText"/>
              <w:keepN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4B208C" w:rsidRDefault="00175615" w:rsidP="009539FE">
            <w:pPr>
              <w:pStyle w:val="AppendixTableText"/>
              <w:keepNext/>
              <w:rPr>
                <w:rFonts w:ascii="Tahoma" w:hAnsi="Tahoma" w:cs="Tahoma"/>
              </w:rPr>
            </w:pPr>
            <w:r w:rsidRPr="004B208C">
              <w:rPr>
                <w:rFonts w:ascii="Tahoma" w:hAnsi="Tahoma" w:cs="Tahoma"/>
              </w:rPr>
              <w:t>Sim</w:t>
            </w:r>
            <w:r w:rsidRPr="004B208C">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4B208C" w:rsidRDefault="00175615" w:rsidP="009539FE">
            <w:pPr>
              <w:pStyle w:val="AppendixTableText"/>
              <w:keepN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4B208C" w:rsidRDefault="00175615" w:rsidP="009539FE">
            <w:pPr>
              <w:pStyle w:val="AppendixTableText"/>
              <w:keepNext/>
              <w:rPr>
                <w:rFonts w:ascii="Tahoma" w:hAnsi="Tahoma" w:cs="Tahoma"/>
              </w:rPr>
            </w:pPr>
            <w:r w:rsidRPr="004B208C">
              <w:rPr>
                <w:rFonts w:ascii="Tahoma" w:hAnsi="Tahoma" w:cs="Tahoma"/>
              </w:rPr>
              <w:t>Sim</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4B208C" w:rsidRDefault="00175615" w:rsidP="009539FE">
            <w:pPr>
              <w:pStyle w:val="AppendixTableText"/>
              <w:keepNext/>
              <w:rPr>
                <w:rFonts w:ascii="Tahoma" w:hAnsi="Tahoma" w:cs="Tahoma"/>
              </w:rPr>
            </w:pPr>
          </w:p>
        </w:tc>
      </w:tr>
    </w:tbl>
    <w:p w:rsidR="00023FE7" w:rsidRPr="009869F4" w:rsidRDefault="00023FE7">
      <w:pPr>
        <w:pStyle w:val="AppendixBodyText"/>
        <w:ind w:right="180"/>
        <w:rPr>
          <w:rFonts w:ascii="Tahoma" w:hAnsi="Tahoma" w:cs="Tahoma"/>
          <w:sz w:val="16"/>
          <w:szCs w:val="16"/>
        </w:rPr>
      </w:pPr>
      <w:r w:rsidRPr="004B208C">
        <w:rPr>
          <w:rFonts w:ascii="Tahoma" w:hAnsi="Tahoma" w:cs="Tahoma"/>
          <w:i/>
          <w:sz w:val="16"/>
          <w:szCs w:val="16"/>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rsidR="00023FE7" w:rsidRPr="009869F4" w:rsidRDefault="00023FE7">
      <w:pPr>
        <w:pStyle w:val="AppendixBodyText"/>
        <w:ind w:right="180"/>
        <w:rPr>
          <w:rFonts w:ascii="Tahoma" w:hAnsi="Tahoma" w:cs="Tahoma"/>
          <w:sz w:val="16"/>
          <w:szCs w:val="16"/>
        </w:rPr>
      </w:pPr>
      <w:r w:rsidRPr="004B208C">
        <w:rPr>
          <w:rFonts w:ascii="Tahoma" w:hAnsi="Tahoma" w:cs="Tahoma"/>
          <w:i/>
          <w:sz w:val="16"/>
          <w:szCs w:val="16"/>
        </w:rPr>
        <w:t>*A Microsoft poderá reter na fonte ou descontinuar, a qualquer momento, qualquer benefício relacionado ao Programa de Membros do Software Assurance disponível sob o quarto registro, e subsequentes, que esteja sob o mesmo contrato Select se</w:t>
      </w:r>
      <w:r w:rsidR="00826B1B">
        <w:rPr>
          <w:rFonts w:ascii="Tahoma" w:hAnsi="Tahoma" w:cs="Tahoma"/>
          <w:i/>
          <w:sz w:val="16"/>
          <w:szCs w:val="16"/>
        </w:rPr>
        <w:t> </w:t>
      </w:r>
      <w:r w:rsidRPr="004B208C">
        <w:rPr>
          <w:rFonts w:ascii="Tahoma" w:hAnsi="Tahoma" w:cs="Tahoma"/>
          <w:i/>
          <w:sz w:val="16"/>
          <w:szCs w:val="16"/>
        </w:rPr>
        <w:t>possuir um motivo comercial para ta</w:t>
      </w:r>
      <w:r w:rsidRPr="009869F4">
        <w:rPr>
          <w:rFonts w:ascii="Tahoma" w:hAnsi="Tahoma" w:cs="Tahoma"/>
          <w:i/>
          <w:sz w:val="16"/>
          <w:szCs w:val="16"/>
        </w:rPr>
        <w:t>l.</w:t>
      </w:r>
    </w:p>
    <w:p w:rsidR="00023FE7" w:rsidRPr="009869F4" w:rsidRDefault="00302B84" w:rsidP="0063466C">
      <w:pPr>
        <w:pStyle w:val="AppendixBodyText"/>
        <w:spacing w:after="0"/>
        <w:rPr>
          <w:rFonts w:ascii="Tahoma" w:hAnsi="Tahoma" w:cs="Tahoma"/>
          <w:sz w:val="16"/>
          <w:szCs w:val="16"/>
        </w:rPr>
      </w:pPr>
      <w:r w:rsidRPr="004B208C">
        <w:rPr>
          <w:rFonts w:ascii="Tahoma" w:hAnsi="Tahoma" w:cs="Tahoma"/>
          <w:i/>
          <w:sz w:val="16"/>
        </w:rPr>
        <w:t>***Geralmente, as ofertas de assinatura que abrangem componentes de software compostos de software adaptado incluirão direitos da nova versão para esses componentes.</w:t>
      </w:r>
    </w:p>
    <w:p w:rsidR="00E0729E" w:rsidRPr="009869F4" w:rsidRDefault="00E0729E" w:rsidP="00E0729E">
      <w:pPr>
        <w:pStyle w:val="AppendixBodyText"/>
        <w:spacing w:after="0"/>
        <w:rPr>
          <w:rFonts w:ascii="Tahoma" w:hAnsi="Tahoma" w:cs="Tahoma"/>
          <w:sz w:val="16"/>
          <w:szCs w:val="16"/>
        </w:rPr>
      </w:pPr>
      <w:r w:rsidRPr="004B208C">
        <w:rPr>
          <w:rFonts w:ascii="Tahoma" w:hAnsi="Tahoma" w:cs="Tahoma"/>
          <w:vertAlign w:val="superscript"/>
        </w:rPr>
        <w:t>1</w:t>
      </w:r>
      <w:r w:rsidRPr="004B208C">
        <w:rPr>
          <w:rFonts w:ascii="Tahoma" w:hAnsi="Tahoma" w:cs="Tahoma"/>
          <w:i/>
          <w:sz w:val="16"/>
        </w:rPr>
        <w:t>Não um benefício de SA para produtos Windows Embedded 8.</w:t>
      </w:r>
    </w:p>
    <w:p w:rsidR="00E0729E" w:rsidRPr="009869F4" w:rsidRDefault="00E0729E" w:rsidP="00E0729E">
      <w:pPr>
        <w:pStyle w:val="AppendixBodyText"/>
        <w:spacing w:after="0"/>
        <w:rPr>
          <w:rFonts w:ascii="Tahoma" w:hAnsi="Tahoma" w:cs="Tahoma"/>
          <w:sz w:val="16"/>
          <w:szCs w:val="16"/>
        </w:rPr>
      </w:pPr>
      <w:r w:rsidRPr="004B208C">
        <w:rPr>
          <w:rFonts w:ascii="Tahoma" w:hAnsi="Tahoma" w:cs="Tahoma"/>
          <w:vertAlign w:val="superscript"/>
        </w:rPr>
        <w:t>2</w:t>
      </w:r>
      <w:r w:rsidRPr="009869F4">
        <w:rPr>
          <w:rFonts w:ascii="Tahoma" w:hAnsi="Tahoma" w:cs="Tahoma"/>
          <w:i/>
          <w:sz w:val="16"/>
          <w:szCs w:val="16"/>
        </w:rPr>
        <w:t>O SA em produtos Windows 8 Embedded permite os direitos de virtualização local, mas não o acesso a instâncias virtualizadas do</w:t>
      </w:r>
      <w:r w:rsidR="00C70EBE" w:rsidRPr="009869F4">
        <w:rPr>
          <w:rFonts w:ascii="Tahoma" w:hAnsi="Tahoma" w:cs="Tahoma"/>
          <w:i/>
          <w:sz w:val="16"/>
          <w:szCs w:val="16"/>
        </w:rPr>
        <w:t> </w:t>
      </w:r>
      <w:r w:rsidRPr="009869F4">
        <w:rPr>
          <w:rFonts w:ascii="Tahoma" w:hAnsi="Tahoma" w:cs="Tahoma"/>
          <w:i/>
          <w:sz w:val="16"/>
          <w:szCs w:val="16"/>
        </w:rPr>
        <w:t>software.</w:t>
      </w:r>
    </w:p>
    <w:p w:rsidR="00302B84" w:rsidRPr="004B208C" w:rsidRDefault="00302B84" w:rsidP="0045693C">
      <w:pPr>
        <w:rPr>
          <w:rFonts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4B208C" w:rsidTr="0044720D">
        <w:trPr>
          <w:trHeight w:val="60"/>
        </w:trPr>
        <w:tc>
          <w:tcPr>
            <w:tcW w:w="8280" w:type="dxa"/>
            <w:shd w:val="clear" w:color="auto" w:fill="FFCC99"/>
            <w:vAlign w:val="center"/>
          </w:tcPr>
          <w:p w:rsidR="00AD6AD6" w:rsidRPr="004B208C" w:rsidRDefault="00AD6AD6" w:rsidP="004B54F7">
            <w:pPr>
              <w:pStyle w:val="AppendixTableHeadings"/>
              <w:rPr>
                <w:rFonts w:ascii="Tahoma" w:hAnsi="Tahoma" w:cs="Tahoma"/>
                <w:sz w:val="20"/>
                <w:szCs w:val="20"/>
              </w:rPr>
            </w:pPr>
            <w:r w:rsidRPr="004B208C">
              <w:rPr>
                <w:rFonts w:ascii="Tahoma" w:hAnsi="Tahoma" w:cs="Tahoma"/>
                <w:sz w:val="20"/>
                <w:szCs w:val="20"/>
              </w:rPr>
              <w:t>Produtos do Pool de Aplicativos do Office System</w:t>
            </w:r>
          </w:p>
        </w:tc>
      </w:tr>
      <w:tr w:rsidR="00AD6AD6" w:rsidRPr="004B208C" w:rsidTr="0044720D">
        <w:trPr>
          <w:trHeight w:val="438"/>
        </w:trPr>
        <w:tc>
          <w:tcPr>
            <w:tcW w:w="8280" w:type="dxa"/>
            <w:vAlign w:val="center"/>
          </w:tcPr>
          <w:p w:rsidR="00AD6AD6" w:rsidRPr="004B208C" w:rsidRDefault="00AD6AD6" w:rsidP="004B54F7">
            <w:pPr>
              <w:spacing w:line="240" w:lineRule="atLeast"/>
              <w:rPr>
                <w:rFonts w:cs="Tahoma"/>
              </w:rPr>
            </w:pPr>
            <w:r w:rsidRPr="004B208C">
              <w:rPr>
                <w:rFonts w:cs="Tahoma"/>
                <w:color w:val="000000"/>
                <w:szCs w:val="18"/>
              </w:rPr>
              <w:t>Office Standard 2013</w:t>
            </w:r>
          </w:p>
          <w:p w:rsidR="00AD6AD6" w:rsidRPr="004B208C" w:rsidRDefault="00AD6AD6" w:rsidP="004B54F7">
            <w:pPr>
              <w:spacing w:line="240" w:lineRule="atLeast"/>
              <w:rPr>
                <w:rFonts w:cs="Tahoma"/>
              </w:rPr>
            </w:pPr>
            <w:r w:rsidRPr="004B208C">
              <w:rPr>
                <w:rFonts w:cs="Tahoma"/>
                <w:color w:val="000000"/>
                <w:szCs w:val="18"/>
              </w:rPr>
              <w:t>Office Professional Plus 2013</w:t>
            </w:r>
          </w:p>
          <w:p w:rsidR="00AD6AD6" w:rsidRPr="004B208C" w:rsidRDefault="00AD6AD6" w:rsidP="004B54F7">
            <w:pPr>
              <w:spacing w:line="240" w:lineRule="atLeast"/>
              <w:rPr>
                <w:rFonts w:cs="Tahoma"/>
              </w:rPr>
            </w:pPr>
            <w:r w:rsidRPr="004B208C">
              <w:rPr>
                <w:rFonts w:cs="Tahoma"/>
                <w:color w:val="000000"/>
                <w:szCs w:val="18"/>
              </w:rPr>
              <w:t>Project Standard 2013</w:t>
            </w:r>
          </w:p>
          <w:p w:rsidR="00AD6AD6" w:rsidRPr="004B208C" w:rsidRDefault="00AD6AD6" w:rsidP="004B54F7">
            <w:pPr>
              <w:spacing w:line="240" w:lineRule="atLeast"/>
              <w:rPr>
                <w:rFonts w:cs="Tahoma"/>
              </w:rPr>
            </w:pPr>
            <w:r w:rsidRPr="004B208C">
              <w:rPr>
                <w:rFonts w:cs="Tahoma"/>
                <w:color w:val="000000"/>
                <w:szCs w:val="18"/>
              </w:rPr>
              <w:t>Project Professional 2013</w:t>
            </w:r>
          </w:p>
          <w:p w:rsidR="00AD6AD6" w:rsidRPr="004B208C" w:rsidRDefault="00AD6AD6" w:rsidP="004B54F7">
            <w:pPr>
              <w:spacing w:line="240" w:lineRule="atLeast"/>
              <w:rPr>
                <w:rFonts w:cs="Tahoma"/>
              </w:rPr>
            </w:pPr>
            <w:r w:rsidRPr="004B208C">
              <w:rPr>
                <w:rFonts w:cs="Tahoma"/>
                <w:color w:val="000000"/>
                <w:szCs w:val="18"/>
              </w:rPr>
              <w:t>Visio</w:t>
            </w:r>
            <w:r w:rsidR="00172F11" w:rsidRPr="00172F11">
              <w:rPr>
                <w:rFonts w:cs="Tahoma"/>
                <w:color w:val="000000"/>
                <w:szCs w:val="18"/>
                <w:vertAlign w:val="superscript"/>
              </w:rPr>
              <w:t>®</w:t>
            </w:r>
            <w:r w:rsidRPr="004B208C">
              <w:rPr>
                <w:rFonts w:cs="Tahoma"/>
                <w:color w:val="000000"/>
                <w:szCs w:val="18"/>
              </w:rPr>
              <w:t xml:space="preserve"> Standard 2013</w:t>
            </w:r>
          </w:p>
          <w:p w:rsidR="00AD6AD6" w:rsidRPr="004B208C" w:rsidRDefault="00AD6AD6" w:rsidP="004B54F7">
            <w:pPr>
              <w:spacing w:line="240" w:lineRule="atLeast"/>
              <w:rPr>
                <w:rFonts w:cs="Tahoma"/>
              </w:rPr>
            </w:pPr>
            <w:r w:rsidRPr="004B208C">
              <w:rPr>
                <w:rFonts w:cs="Tahoma"/>
                <w:color w:val="000000"/>
                <w:szCs w:val="18"/>
              </w:rPr>
              <w:t>Visio</w:t>
            </w:r>
            <w:r w:rsidR="00172F11" w:rsidRPr="00172F11">
              <w:rPr>
                <w:rFonts w:cs="Tahoma"/>
                <w:color w:val="000000"/>
                <w:szCs w:val="18"/>
                <w:vertAlign w:val="superscript"/>
              </w:rPr>
              <w:t>®</w:t>
            </w:r>
            <w:r w:rsidRPr="004B208C">
              <w:rPr>
                <w:rFonts w:cs="Tahoma"/>
                <w:color w:val="000000"/>
                <w:szCs w:val="18"/>
              </w:rPr>
              <w:t xml:space="preserve"> Professional 2013</w:t>
            </w:r>
          </w:p>
          <w:p w:rsidR="00AD6AD6" w:rsidRPr="004B208C" w:rsidRDefault="00AD6AD6" w:rsidP="004B54F7">
            <w:pPr>
              <w:spacing w:line="240" w:lineRule="atLeast"/>
              <w:rPr>
                <w:rFonts w:cs="Tahoma"/>
              </w:rPr>
            </w:pPr>
            <w:r w:rsidRPr="004B208C">
              <w:rPr>
                <w:rFonts w:cs="Tahoma"/>
                <w:color w:val="000000"/>
                <w:szCs w:val="18"/>
              </w:rPr>
              <w:t>Access 2013</w:t>
            </w:r>
          </w:p>
          <w:p w:rsidR="00AD6AD6" w:rsidRPr="004B208C" w:rsidRDefault="00AD6AD6" w:rsidP="004B54F7">
            <w:pPr>
              <w:spacing w:line="240" w:lineRule="atLeast"/>
              <w:rPr>
                <w:rFonts w:cs="Tahoma"/>
              </w:rPr>
            </w:pPr>
            <w:r w:rsidRPr="004B208C">
              <w:rPr>
                <w:rFonts w:cs="Tahoma"/>
                <w:color w:val="000000"/>
                <w:szCs w:val="18"/>
              </w:rPr>
              <w:t xml:space="preserve">Excel 2013 </w:t>
            </w:r>
          </w:p>
          <w:p w:rsidR="00AD6AD6" w:rsidRPr="004B208C" w:rsidRDefault="00AD6AD6" w:rsidP="004B54F7">
            <w:pPr>
              <w:spacing w:line="240" w:lineRule="atLeast"/>
              <w:rPr>
                <w:rFonts w:cs="Tahoma"/>
              </w:rPr>
            </w:pPr>
            <w:r w:rsidRPr="004B208C">
              <w:rPr>
                <w:rFonts w:cs="Tahoma"/>
                <w:color w:val="000000"/>
                <w:szCs w:val="18"/>
              </w:rPr>
              <w:t>InfoPath</w:t>
            </w:r>
            <w:r w:rsidR="00172F11" w:rsidRPr="00172F11">
              <w:rPr>
                <w:rFonts w:cs="Tahoma"/>
                <w:color w:val="000000"/>
                <w:szCs w:val="18"/>
                <w:vertAlign w:val="superscript"/>
              </w:rPr>
              <w:t>®</w:t>
            </w:r>
            <w:r w:rsidRPr="004B208C">
              <w:rPr>
                <w:rFonts w:cs="Tahoma"/>
                <w:color w:val="000000"/>
                <w:szCs w:val="18"/>
              </w:rPr>
              <w:t xml:space="preserve"> 2013</w:t>
            </w:r>
          </w:p>
          <w:p w:rsidR="00AD6AD6" w:rsidRPr="004B208C" w:rsidRDefault="00AD6AD6" w:rsidP="004B54F7">
            <w:pPr>
              <w:spacing w:line="240" w:lineRule="atLeast"/>
              <w:rPr>
                <w:rFonts w:cs="Tahoma"/>
              </w:rPr>
            </w:pPr>
            <w:r w:rsidRPr="004B208C">
              <w:rPr>
                <w:rFonts w:cs="Tahoma"/>
                <w:color w:val="000000"/>
                <w:szCs w:val="18"/>
              </w:rPr>
              <w:t>Lync 2013</w:t>
            </w:r>
          </w:p>
          <w:p w:rsidR="00AD6AD6" w:rsidRPr="004B208C" w:rsidRDefault="00AD6AD6" w:rsidP="004B54F7">
            <w:pPr>
              <w:spacing w:line="240" w:lineRule="atLeast"/>
              <w:rPr>
                <w:rFonts w:cs="Tahoma"/>
              </w:rPr>
            </w:pPr>
            <w:r w:rsidRPr="004B208C">
              <w:rPr>
                <w:rFonts w:cs="Tahoma"/>
                <w:color w:val="000000"/>
                <w:szCs w:val="18"/>
              </w:rPr>
              <w:t>OneNote™ 2013</w:t>
            </w:r>
          </w:p>
          <w:p w:rsidR="00AD6AD6" w:rsidRPr="004B208C" w:rsidRDefault="00AD6AD6" w:rsidP="004B54F7">
            <w:pPr>
              <w:spacing w:line="240" w:lineRule="atLeast"/>
              <w:rPr>
                <w:rFonts w:cs="Tahoma"/>
              </w:rPr>
            </w:pPr>
            <w:r w:rsidRPr="004B208C">
              <w:rPr>
                <w:rFonts w:cs="Tahoma"/>
                <w:color w:val="000000"/>
                <w:szCs w:val="18"/>
              </w:rPr>
              <w:t>Outlook</w:t>
            </w:r>
            <w:r w:rsidR="00172F11" w:rsidRPr="00172F11">
              <w:rPr>
                <w:rFonts w:cs="Tahoma"/>
                <w:color w:val="000000"/>
                <w:szCs w:val="18"/>
                <w:vertAlign w:val="superscript"/>
              </w:rPr>
              <w:t>®</w:t>
            </w:r>
            <w:r w:rsidRPr="004B208C">
              <w:rPr>
                <w:rFonts w:cs="Tahoma"/>
                <w:color w:val="000000"/>
                <w:szCs w:val="18"/>
              </w:rPr>
              <w:t xml:space="preserve"> 2013</w:t>
            </w:r>
          </w:p>
          <w:p w:rsidR="00AD6AD6" w:rsidRPr="004B208C" w:rsidRDefault="00AD6AD6" w:rsidP="004B54F7">
            <w:pPr>
              <w:spacing w:line="240" w:lineRule="atLeast"/>
              <w:rPr>
                <w:rFonts w:cs="Tahoma"/>
              </w:rPr>
            </w:pPr>
            <w:r w:rsidRPr="004B208C">
              <w:rPr>
                <w:rFonts w:cs="Tahoma"/>
                <w:color w:val="000000"/>
                <w:szCs w:val="18"/>
              </w:rPr>
              <w:t>PowerPoint</w:t>
            </w:r>
            <w:r w:rsidR="00172F11" w:rsidRPr="00172F11">
              <w:rPr>
                <w:rFonts w:cs="Tahoma"/>
                <w:color w:val="000000"/>
                <w:szCs w:val="18"/>
                <w:vertAlign w:val="superscript"/>
              </w:rPr>
              <w:t>®</w:t>
            </w:r>
            <w:r w:rsidRPr="004B208C">
              <w:rPr>
                <w:rFonts w:cs="Tahoma"/>
                <w:color w:val="000000"/>
                <w:szCs w:val="18"/>
              </w:rPr>
              <w:t xml:space="preserve"> 2013</w:t>
            </w:r>
          </w:p>
          <w:p w:rsidR="00AD6AD6" w:rsidRPr="004B208C" w:rsidRDefault="00AD6AD6" w:rsidP="004B54F7">
            <w:pPr>
              <w:spacing w:line="240" w:lineRule="atLeast"/>
              <w:rPr>
                <w:rFonts w:cs="Tahoma"/>
              </w:rPr>
            </w:pPr>
            <w:r w:rsidRPr="004B208C">
              <w:rPr>
                <w:rFonts w:cs="Tahoma"/>
                <w:color w:val="000000"/>
                <w:szCs w:val="18"/>
              </w:rPr>
              <w:t>Publisher 2013</w:t>
            </w:r>
          </w:p>
          <w:p w:rsidR="00AD6AD6" w:rsidRPr="004B208C" w:rsidRDefault="00AD6AD6" w:rsidP="004B54F7">
            <w:pPr>
              <w:spacing w:line="240" w:lineRule="atLeast"/>
              <w:rPr>
                <w:rFonts w:cs="Tahoma"/>
              </w:rPr>
            </w:pPr>
            <w:r w:rsidRPr="004B208C">
              <w:rPr>
                <w:rFonts w:cs="Tahoma"/>
                <w:color w:val="000000"/>
                <w:szCs w:val="18"/>
              </w:rPr>
              <w:t>Word 2013</w:t>
            </w:r>
          </w:p>
          <w:p w:rsidR="00AD6AD6" w:rsidRPr="004B208C" w:rsidRDefault="00AD6AD6" w:rsidP="004B54F7">
            <w:pPr>
              <w:spacing w:line="240" w:lineRule="atLeast"/>
              <w:rPr>
                <w:rFonts w:cs="Tahoma"/>
              </w:rPr>
            </w:pPr>
            <w:r w:rsidRPr="004B208C">
              <w:rPr>
                <w:rFonts w:cs="Tahoma"/>
                <w:color w:val="000000"/>
                <w:szCs w:val="18"/>
              </w:rPr>
              <w:t xml:space="preserve">Office para Mac Standard 2011 </w:t>
            </w:r>
          </w:p>
          <w:p w:rsidR="00AD6AD6" w:rsidRPr="004B208C" w:rsidRDefault="00AD6AD6" w:rsidP="004B54F7">
            <w:pPr>
              <w:spacing w:line="240" w:lineRule="atLeast"/>
              <w:rPr>
                <w:rFonts w:cs="Tahoma"/>
              </w:rPr>
            </w:pPr>
            <w:r w:rsidRPr="004B208C">
              <w:rPr>
                <w:rFonts w:cs="Tahoma"/>
                <w:color w:val="000000"/>
                <w:szCs w:val="18"/>
              </w:rPr>
              <w:t>Lync para Mac 2011</w:t>
            </w:r>
          </w:p>
          <w:p w:rsidR="00061A45" w:rsidRPr="004B208C" w:rsidRDefault="007C4ADB" w:rsidP="004B54F7">
            <w:pPr>
              <w:spacing w:line="240" w:lineRule="atLeast"/>
              <w:rPr>
                <w:rFonts w:cs="Tahoma"/>
              </w:rPr>
            </w:pPr>
            <w:r w:rsidRPr="004B208C">
              <w:rPr>
                <w:rFonts w:cs="Tahoma"/>
                <w:color w:val="000000"/>
                <w:szCs w:val="18"/>
              </w:rPr>
              <w:t>Outlook para Mac 2011</w:t>
            </w:r>
          </w:p>
          <w:p w:rsidR="00AD6AD6" w:rsidRPr="004B208C" w:rsidRDefault="00AD6AD6" w:rsidP="004B54F7">
            <w:pPr>
              <w:spacing w:line="240" w:lineRule="atLeast"/>
              <w:rPr>
                <w:rFonts w:cs="Tahoma"/>
              </w:rPr>
            </w:pPr>
            <w:r w:rsidRPr="004B208C">
              <w:rPr>
                <w:rFonts w:cs="Tahoma"/>
                <w:color w:val="000000"/>
                <w:szCs w:val="18"/>
              </w:rPr>
              <w:t>PowerPoint para Mac 2011</w:t>
            </w:r>
          </w:p>
          <w:p w:rsidR="00AD6AD6" w:rsidRPr="004B208C" w:rsidRDefault="00AD6AD6" w:rsidP="004B54F7">
            <w:pPr>
              <w:spacing w:line="240" w:lineRule="atLeast"/>
              <w:rPr>
                <w:rFonts w:cs="Tahoma"/>
              </w:rPr>
            </w:pPr>
            <w:r w:rsidRPr="004B208C">
              <w:rPr>
                <w:rFonts w:cs="Tahoma"/>
                <w:color w:val="000000"/>
                <w:szCs w:val="18"/>
              </w:rPr>
              <w:t>Excel para Mac 2011</w:t>
            </w:r>
          </w:p>
          <w:p w:rsidR="00AD6AD6" w:rsidRPr="004B208C" w:rsidRDefault="00AD6AD6" w:rsidP="004B54F7">
            <w:pPr>
              <w:spacing w:line="240" w:lineRule="atLeast"/>
              <w:rPr>
                <w:rFonts w:cs="Tahoma"/>
                <w:color w:val="000000"/>
                <w:szCs w:val="18"/>
              </w:rPr>
            </w:pPr>
            <w:r w:rsidRPr="004B208C">
              <w:rPr>
                <w:rFonts w:cs="Tahoma"/>
                <w:color w:val="000000"/>
                <w:szCs w:val="18"/>
              </w:rPr>
              <w:t>Word para Mac 2011</w:t>
            </w:r>
          </w:p>
        </w:tc>
      </w:tr>
    </w:tbl>
    <w:p w:rsidR="00D8064F" w:rsidRPr="00C70EBE" w:rsidRDefault="00AD6AD6" w:rsidP="0044720D">
      <w:pPr>
        <w:pStyle w:val="AppendixBodyText"/>
        <w:spacing w:after="0"/>
        <w:ind w:firstLine="550"/>
        <w:rPr>
          <w:rFonts w:ascii="Tahoma" w:hAnsi="Tahoma" w:cs="Tahoma"/>
          <w:sz w:val="16"/>
          <w:szCs w:val="16"/>
        </w:rPr>
      </w:pPr>
      <w:r w:rsidRPr="00C70EBE">
        <w:rPr>
          <w:rFonts w:ascii="Tahoma" w:hAnsi="Tahoma" w:cs="Tahoma"/>
          <w:b/>
          <w:i/>
          <w:sz w:val="16"/>
          <w:szCs w:val="16"/>
        </w:rPr>
        <w:t>Observação:</w:t>
      </w:r>
      <w:r w:rsidRPr="00C70EBE">
        <w:rPr>
          <w:rFonts w:ascii="Tahoma" w:hAnsi="Tahoma" w:cs="Tahoma"/>
          <w:i/>
          <w:sz w:val="16"/>
          <w:szCs w:val="16"/>
        </w:rPr>
        <w:t xml:space="preserve"> a lista de produtos do Pool de Aplicativos do Office System está sujeita a alterações.</w:t>
      </w:r>
    </w:p>
    <w:p w:rsidR="009539FE" w:rsidRPr="004B208C" w:rsidRDefault="009539FE" w:rsidP="009539FE">
      <w:pPr>
        <w:rPr>
          <w:rFonts w:cs="Tahoma"/>
        </w:rPr>
      </w:pPr>
      <w:bookmarkStart w:id="707" w:name="_Toc336338228"/>
    </w:p>
    <w:p w:rsidR="00023FE7" w:rsidRPr="004B208C" w:rsidRDefault="00023FE7">
      <w:pPr>
        <w:pStyle w:val="Heading2"/>
        <w:ind w:left="0"/>
        <w:rPr>
          <w:rFonts w:ascii="Tahoma" w:hAnsi="Tahoma" w:cs="Tahoma"/>
        </w:rPr>
      </w:pPr>
      <w:bookmarkStart w:id="708" w:name="_Toc370981343"/>
      <w:r w:rsidRPr="004B208C">
        <w:rPr>
          <w:rFonts w:ascii="Tahoma" w:hAnsi="Tahoma" w:cs="Tahoma"/>
        </w:rPr>
        <w:t>Direitos à Nova Versão</w:t>
      </w:r>
      <w:bookmarkEnd w:id="707"/>
      <w:bookmarkEnd w:id="708"/>
    </w:p>
    <w:p w:rsidR="00023FE7" w:rsidRPr="004B208C" w:rsidRDefault="00023FE7" w:rsidP="00BA0707">
      <w:pPr>
        <w:rPr>
          <w:rFonts w:cs="Tahoma"/>
        </w:rPr>
      </w:pPr>
    </w:p>
    <w:p w:rsidR="00023FE7" w:rsidRPr="009869F4" w:rsidRDefault="00023FE7" w:rsidP="0063466C">
      <w:pPr>
        <w:pStyle w:val="AppendixBodyText"/>
        <w:spacing w:after="0"/>
        <w:rPr>
          <w:rFonts w:ascii="Tahoma" w:hAnsi="Tahoma" w:cs="Tahoma"/>
          <w:sz w:val="18"/>
          <w:szCs w:val="18"/>
        </w:rPr>
      </w:pPr>
      <w:r w:rsidRPr="009869F4">
        <w:rPr>
          <w:rFonts w:ascii="Tahoma" w:hAnsi="Tahoma" w:cs="Tahoma"/>
          <w:color w:val="000000"/>
          <w:sz w:val="18"/>
          <w:szCs w:val="18"/>
        </w:rPr>
        <w:t>Com o Software Assurance, os clientes estão qualificados a atualizar para novas versões de softwares licenciados disponibilizados durante o prazo da cobertura do Software Assurance.</w:t>
      </w:r>
      <w:r w:rsidR="00172F11" w:rsidRPr="009869F4">
        <w:rPr>
          <w:rFonts w:ascii="Tahoma" w:hAnsi="Tahoma" w:cs="Tahoma"/>
          <w:color w:val="000000"/>
          <w:sz w:val="18"/>
          <w:szCs w:val="18"/>
        </w:rPr>
        <w:t xml:space="preserve"> </w:t>
      </w:r>
      <w:r w:rsidRPr="009869F4">
        <w:rPr>
          <w:rFonts w:ascii="Tahoma" w:hAnsi="Tahoma" w:cs="Tahoma"/>
          <w:color w:val="000000"/>
          <w:sz w:val="18"/>
          <w:szCs w:val="18"/>
        </w:rPr>
        <w:t>“Direitos à Nova Versão” significa, para qualquer produto subjacente licenciado para o qual a cobertura do Software Assurance é solicitada, o direito de</w:t>
      </w:r>
      <w:r w:rsidR="00C70EBE" w:rsidRPr="009869F4">
        <w:rPr>
          <w:rFonts w:ascii="Tahoma" w:hAnsi="Tahoma" w:cs="Tahoma"/>
          <w:color w:val="000000"/>
          <w:sz w:val="18"/>
          <w:szCs w:val="18"/>
        </w:rPr>
        <w:t> </w:t>
      </w:r>
      <w:r w:rsidRPr="009869F4">
        <w:rPr>
          <w:rFonts w:ascii="Tahoma" w:hAnsi="Tahoma" w:cs="Tahoma"/>
          <w:color w:val="000000"/>
          <w:sz w:val="18"/>
          <w:szCs w:val="18"/>
        </w:rPr>
        <w:t>atualizar para, e executar em lugar do produto subjacente licenciado, a versão mais recente desse produto disponibilizado durante o período da cobertura.</w:t>
      </w:r>
      <w:r w:rsidR="00172F11" w:rsidRPr="009869F4">
        <w:rPr>
          <w:rFonts w:ascii="Tahoma" w:hAnsi="Tahoma" w:cs="Tahoma"/>
          <w:color w:val="000000"/>
          <w:sz w:val="18"/>
          <w:szCs w:val="18"/>
        </w:rPr>
        <w:t xml:space="preserve"> </w:t>
      </w:r>
      <w:r w:rsidRPr="009869F4">
        <w:rPr>
          <w:rFonts w:ascii="Tahoma" w:hAnsi="Tahoma" w:cs="Tahoma"/>
          <w:color w:val="000000"/>
          <w:sz w:val="18"/>
          <w:szCs w:val="18"/>
        </w:rPr>
        <w:t>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rsidR="00BA0707" w:rsidRPr="009869F4" w:rsidRDefault="00BA0707" w:rsidP="0063466C">
      <w:pPr>
        <w:pStyle w:val="AppendixBodyText"/>
        <w:spacing w:after="0"/>
        <w:rPr>
          <w:rFonts w:ascii="Tahoma" w:hAnsi="Tahoma" w:cs="Tahoma"/>
          <w:sz w:val="18"/>
          <w:szCs w:val="18"/>
        </w:rPr>
      </w:pPr>
    </w:p>
    <w:p w:rsidR="00023FE7" w:rsidRPr="004B208C" w:rsidRDefault="00023FE7">
      <w:pPr>
        <w:pStyle w:val="Heading2"/>
        <w:ind w:left="0"/>
        <w:rPr>
          <w:rFonts w:ascii="Tahoma" w:hAnsi="Tahoma" w:cs="Tahoma"/>
        </w:rPr>
      </w:pPr>
      <w:bookmarkStart w:id="709" w:name="_Toc336338229"/>
      <w:bookmarkStart w:id="710" w:name="_Toc370981344"/>
      <w:r w:rsidRPr="004B208C">
        <w:rPr>
          <w:rFonts w:ascii="Tahoma" w:hAnsi="Tahoma" w:cs="Tahoma"/>
        </w:rPr>
        <w:lastRenderedPageBreak/>
        <w:t>Pacote Multilíngue do Office</w:t>
      </w:r>
      <w:bookmarkEnd w:id="709"/>
      <w:bookmarkEnd w:id="710"/>
    </w:p>
    <w:p w:rsidR="00023FE7" w:rsidRPr="004B208C" w:rsidRDefault="00023FE7" w:rsidP="00BA0707">
      <w:pPr>
        <w:rPr>
          <w:rFonts w:cs="Tahoma"/>
        </w:rPr>
      </w:pPr>
    </w:p>
    <w:p w:rsidR="0063466C" w:rsidRPr="004B208C" w:rsidRDefault="00E7419A" w:rsidP="0063466C">
      <w:pPr>
        <w:spacing w:after="60"/>
        <w:jc w:val="both"/>
        <w:rPr>
          <w:rFonts w:cs="Tahoma"/>
        </w:rPr>
      </w:pPr>
      <w:r w:rsidRPr="004B208C">
        <w:rPr>
          <w:rFonts w:cs="Tahoma"/>
          <w:b/>
          <w:szCs w:val="18"/>
        </w:rPr>
        <w:t>Clientes do Software Assurance</w:t>
      </w:r>
    </w:p>
    <w:p w:rsidR="00E7419A" w:rsidRPr="004B208C" w:rsidRDefault="00E7419A" w:rsidP="00E7419A">
      <w:pPr>
        <w:jc w:val="both"/>
        <w:rPr>
          <w:rFonts w:cs="Tahoma"/>
        </w:rPr>
      </w:pPr>
      <w:r w:rsidRPr="004B208C">
        <w:rPr>
          <w:rFonts w:cs="Tahoma"/>
          <w:szCs w:val="18"/>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qualificadas.</w:t>
      </w:r>
    </w:p>
    <w:p w:rsidR="0063466C" w:rsidRPr="004B208C" w:rsidRDefault="0063466C" w:rsidP="00E7419A">
      <w:pPr>
        <w:jc w:val="both"/>
        <w:rPr>
          <w:rFonts w:cs="Tahoma"/>
        </w:rPr>
      </w:pPr>
    </w:p>
    <w:p w:rsidR="0063466C" w:rsidRPr="004B208C" w:rsidRDefault="00E7419A" w:rsidP="0063466C">
      <w:pPr>
        <w:spacing w:after="60"/>
        <w:jc w:val="both"/>
        <w:rPr>
          <w:rFonts w:cs="Tahoma"/>
        </w:rPr>
      </w:pPr>
      <w:r w:rsidRPr="004B208C">
        <w:rPr>
          <w:rFonts w:cs="Tahoma"/>
          <w:b/>
          <w:szCs w:val="18"/>
        </w:rPr>
        <w:t>Clientes qualificados para os Benefícios de Serviços Online</w:t>
      </w:r>
    </w:p>
    <w:p w:rsidR="00E7419A" w:rsidRPr="004B208C" w:rsidRDefault="00E7419A" w:rsidP="00E7419A">
      <w:pPr>
        <w:jc w:val="both"/>
        <w:rPr>
          <w:rFonts w:cs="Tahoma"/>
        </w:rPr>
      </w:pPr>
      <w:r w:rsidRPr="004B208C">
        <w:rPr>
          <w:rFonts w:cs="Tahoma"/>
          <w:szCs w:val="18"/>
        </w:rPr>
        <w:t xml:space="preserve">Clientes com o Office ProPlus para Office 365 e Office 365 Enterprise E3 e E4 estão qualificados para usar esse benefício durante o prazo de seu respectivo registro. </w:t>
      </w:r>
    </w:p>
    <w:p w:rsidR="00023FE7" w:rsidRPr="004B208C" w:rsidRDefault="00023FE7" w:rsidP="00BA0707">
      <w:pPr>
        <w:jc w:val="both"/>
        <w:rPr>
          <w:rFonts w:cs="Tahoma"/>
        </w:rPr>
      </w:pPr>
    </w:p>
    <w:p w:rsidR="00023FE7" w:rsidRPr="004B208C" w:rsidRDefault="00023FE7">
      <w:pPr>
        <w:jc w:val="both"/>
        <w:rPr>
          <w:rFonts w:cs="Tahoma"/>
        </w:rPr>
      </w:pPr>
      <w:r w:rsidRPr="004B208C">
        <w:rPr>
          <w:rFonts w:cs="Tahoma"/>
        </w:rPr>
        <w:t>Se o contrato de um cliente fornecer direitos perpétuos de uso do software sob suas licenças qualificadas, ele terá o</w:t>
      </w:r>
      <w:r w:rsidR="00C70EBE">
        <w:rPr>
          <w:rFonts w:cs="Tahoma"/>
        </w:rPr>
        <w:t> </w:t>
      </w:r>
      <w:r w:rsidRPr="004B208C">
        <w:rPr>
          <w:rFonts w:cs="Tahoma"/>
        </w:rPr>
        <w:t>direito perpétuo de usar o Pacote Multilíngue do Office com esse software (um cliente pode continuar a usar o</w:t>
      </w:r>
      <w:r w:rsidR="00C70EBE">
        <w:rPr>
          <w:rFonts w:cs="Tahoma"/>
        </w:rPr>
        <w:t> </w:t>
      </w:r>
      <w:r w:rsidRPr="004B208C">
        <w:rPr>
          <w:rFonts w:cs="Tahoma"/>
        </w:rPr>
        <w:t>Pacote Multilíngue do Office com o software Office System de acordo com suas licenças qualificadas, mesmo após o término da cobertura do SA para essas licenças).</w:t>
      </w:r>
      <w:r w:rsidR="00172F11">
        <w:rPr>
          <w:rFonts w:cs="Tahoma"/>
        </w:rPr>
        <w:t xml:space="preserve"> </w:t>
      </w:r>
      <w:r w:rsidRPr="004B208C">
        <w:rPr>
          <w:rFonts w:cs="Tahoma"/>
        </w:rPr>
        <w:t xml:space="preserve">Caso contrário, o direito de uso do Pacote Multilíngue do Office se encerrará no término dos direitos concedidos sob a licença qualificada do Office System. </w:t>
      </w:r>
    </w:p>
    <w:p w:rsidR="00BA0707" w:rsidRPr="004B208C" w:rsidRDefault="00BA0707" w:rsidP="00BA0707">
      <w:pPr>
        <w:jc w:val="both"/>
        <w:rPr>
          <w:rFonts w:cs="Tahoma"/>
        </w:rPr>
      </w:pPr>
    </w:p>
    <w:p w:rsidR="000D4ECA" w:rsidRPr="004B208C" w:rsidRDefault="000D4ECA" w:rsidP="0047054A">
      <w:pPr>
        <w:keepNext/>
        <w:outlineLvl w:val="1"/>
        <w:rPr>
          <w:rFonts w:cs="Tahoma"/>
        </w:rPr>
      </w:pPr>
      <w:bookmarkStart w:id="711" w:name="_Toc291204555"/>
      <w:r w:rsidRPr="004B208C">
        <w:rPr>
          <w:rFonts w:cs="Tahoma"/>
          <w:b/>
          <w:sz w:val="24"/>
          <w:szCs w:val="24"/>
        </w:rPr>
        <w:t>Serviços de Planejamento</w:t>
      </w:r>
      <w:bookmarkEnd w:id="711"/>
    </w:p>
    <w:p w:rsidR="000D4ECA" w:rsidRPr="004B208C" w:rsidRDefault="000D4ECA" w:rsidP="0047054A">
      <w:pPr>
        <w:keepNext/>
        <w:rPr>
          <w:rFonts w:cs="Tahoma"/>
        </w:rPr>
      </w:pPr>
    </w:p>
    <w:p w:rsidR="000D4ECA" w:rsidRPr="004B208C" w:rsidRDefault="000D4ECA" w:rsidP="000D4ECA">
      <w:pPr>
        <w:spacing w:after="60"/>
        <w:rPr>
          <w:rFonts w:cs="Tahoma"/>
        </w:rPr>
      </w:pPr>
      <w:r w:rsidRPr="004B208C">
        <w:rPr>
          <w:rFonts w:cs="Tahoma"/>
          <w:color w:val="000000"/>
          <w:szCs w:val="18"/>
        </w:rPr>
        <w:t>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w:t>
      </w:r>
      <w:r w:rsidR="00172F11">
        <w:rPr>
          <w:rFonts w:cs="Tahoma"/>
          <w:color w:val="000000"/>
          <w:szCs w:val="18"/>
        </w:rPr>
        <w:t xml:space="preserve"> </w:t>
      </w:r>
      <w:r w:rsidRPr="004B208C">
        <w:rPr>
          <w:rFonts w:cs="Tahoma"/>
          <w:color w:val="000000"/>
          <w:szCs w:val="18"/>
        </w:rPr>
        <w:t>O benefício Serviços de Planejamento fornece aos clientes qualificados ofertas de serviços personalizados predefinidas.</w:t>
      </w:r>
      <w:r w:rsidR="00172F11">
        <w:rPr>
          <w:rFonts w:cs="Tahoma"/>
          <w:color w:val="000000"/>
          <w:szCs w:val="18"/>
        </w:rPr>
        <w:t xml:space="preserve"> </w:t>
      </w:r>
      <w:r w:rsidRPr="004B208C">
        <w:rPr>
          <w:rFonts w:cs="Tahoma"/>
          <w:color w:val="000000"/>
          <w:szCs w:val="18"/>
        </w:rPr>
        <w:t>As ofertas disponíveis incluem:</w:t>
      </w:r>
    </w:p>
    <w:p w:rsidR="000D4ECA" w:rsidRPr="004B208C" w:rsidRDefault="000D4ECA" w:rsidP="0063466C">
      <w:pPr>
        <w:rPr>
          <w:rFonts w:cs="Tahoma"/>
        </w:rPr>
      </w:pPr>
    </w:p>
    <w:p w:rsidR="000D4ECA" w:rsidRPr="004B208C" w:rsidRDefault="000D4ECA" w:rsidP="00024C3C">
      <w:pPr>
        <w:numPr>
          <w:ilvl w:val="0"/>
          <w:numId w:val="10"/>
        </w:numPr>
        <w:spacing w:after="60" w:line="276" w:lineRule="auto"/>
        <w:rPr>
          <w:rFonts w:cs="Tahoma"/>
        </w:rPr>
      </w:pPr>
      <w:r w:rsidRPr="004B208C">
        <w:rPr>
          <w:rFonts w:cs="Tahoma"/>
          <w:color w:val="000000"/>
          <w:szCs w:val="18"/>
        </w:rPr>
        <w:t>Desktop Deployment Planning Services (DDPS)</w:t>
      </w:r>
    </w:p>
    <w:p w:rsidR="000D4ECA" w:rsidRPr="004B208C" w:rsidRDefault="000D4ECA" w:rsidP="00A1385C">
      <w:pPr>
        <w:numPr>
          <w:ilvl w:val="1"/>
          <w:numId w:val="99"/>
        </w:numPr>
        <w:spacing w:after="60" w:line="276" w:lineRule="auto"/>
        <w:ind w:left="1980"/>
        <w:rPr>
          <w:rFonts w:cs="Tahoma"/>
        </w:rPr>
      </w:pPr>
      <w:r w:rsidRPr="004B208C">
        <w:rPr>
          <w:rFonts w:cs="Tahoma"/>
          <w:color w:val="000000"/>
          <w:szCs w:val="18"/>
        </w:rPr>
        <w:t>Descrição: O DDPS fornece aos clientes a análise fundamental, os procedimentos técnicos e</w:t>
      </w:r>
      <w:r w:rsidR="00C70EBE">
        <w:rPr>
          <w:rFonts w:cs="Tahoma"/>
          <w:color w:val="000000"/>
          <w:szCs w:val="18"/>
        </w:rPr>
        <w:t> </w:t>
      </w:r>
      <w:r w:rsidRPr="004B208C">
        <w:rPr>
          <w:rFonts w:cs="Tahoma"/>
          <w:color w:val="000000"/>
          <w:szCs w:val="18"/>
        </w:rPr>
        <w:t>de planejamento necessários para iniciar a implantação do desktop com o Office 2010 e</w:t>
      </w:r>
      <w:r w:rsidR="00C70EBE">
        <w:rPr>
          <w:rFonts w:cs="Tahoma"/>
          <w:color w:val="000000"/>
          <w:szCs w:val="18"/>
        </w:rPr>
        <w:t> </w:t>
      </w:r>
      <w:r w:rsidRPr="004B208C">
        <w:rPr>
          <w:rFonts w:cs="Tahoma"/>
          <w:color w:val="000000"/>
          <w:szCs w:val="18"/>
        </w:rPr>
        <w:t>o</w:t>
      </w:r>
      <w:r w:rsidR="00C70EBE">
        <w:rPr>
          <w:rFonts w:cs="Tahoma"/>
          <w:color w:val="000000"/>
          <w:szCs w:val="18"/>
        </w:rPr>
        <w:t> </w:t>
      </w:r>
      <w:r w:rsidRPr="004B208C">
        <w:rPr>
          <w:rFonts w:cs="Tahoma"/>
          <w:color w:val="000000"/>
          <w:szCs w:val="18"/>
        </w:rPr>
        <w:t>Windows 8. Essa oferta é baseada nas práticas recomendadas da Microsoft para implantação de desktop e ajuda os clientes e reduzir o custo, o risco e a complexidade das</w:t>
      </w:r>
      <w:r w:rsidR="00C70EBE">
        <w:rPr>
          <w:rFonts w:cs="Tahoma"/>
          <w:color w:val="000000"/>
          <w:szCs w:val="18"/>
        </w:rPr>
        <w:t> </w:t>
      </w:r>
      <w:r w:rsidRPr="004B208C">
        <w:rPr>
          <w:rFonts w:cs="Tahoma"/>
          <w:color w:val="000000"/>
          <w:szCs w:val="18"/>
        </w:rPr>
        <w:t>implantações por meio de altos níveis de processo e automação. O DDPS também pode auxiliar as organizações a avaliar o Office 365 abordando a consideração e os requisitos para adoção de um ambiente de desktop preparado para nuvem.</w:t>
      </w:r>
    </w:p>
    <w:p w:rsidR="000D4ECA" w:rsidRPr="004B208C" w:rsidRDefault="000D4ECA" w:rsidP="00A1385C">
      <w:pPr>
        <w:numPr>
          <w:ilvl w:val="1"/>
          <w:numId w:val="99"/>
        </w:numPr>
        <w:spacing w:after="60" w:line="276" w:lineRule="auto"/>
        <w:ind w:left="1980"/>
        <w:rPr>
          <w:rFonts w:cs="Tahoma"/>
        </w:rPr>
      </w:pPr>
      <w:r w:rsidRPr="004B208C">
        <w:rPr>
          <w:rFonts w:cs="Tahoma"/>
          <w:color w:val="000000"/>
          <w:szCs w:val="18"/>
        </w:rPr>
        <w:t>Níveis de Serviço: 1, 3, 5, 10 ou 15 dias</w:t>
      </w:r>
    </w:p>
    <w:p w:rsidR="000D4ECA" w:rsidRPr="004B208C" w:rsidRDefault="000D4ECA" w:rsidP="00024C3C">
      <w:pPr>
        <w:numPr>
          <w:ilvl w:val="0"/>
          <w:numId w:val="11"/>
        </w:numPr>
        <w:spacing w:after="60" w:line="276" w:lineRule="auto"/>
        <w:ind w:left="1440"/>
        <w:rPr>
          <w:rFonts w:cs="Tahoma"/>
        </w:rPr>
      </w:pPr>
      <w:r w:rsidRPr="004B208C">
        <w:rPr>
          <w:rFonts w:cs="Tahoma"/>
          <w:color w:val="000000"/>
          <w:szCs w:val="18"/>
        </w:rPr>
        <w:t>SharePoint Deployment Planning Services (SDPS)</w:t>
      </w:r>
    </w:p>
    <w:p w:rsidR="000D4ECA" w:rsidRPr="004B208C" w:rsidRDefault="000D4ECA" w:rsidP="00A1385C">
      <w:pPr>
        <w:numPr>
          <w:ilvl w:val="1"/>
          <w:numId w:val="100"/>
        </w:numPr>
        <w:spacing w:after="60" w:line="276" w:lineRule="auto"/>
        <w:ind w:left="1980"/>
        <w:rPr>
          <w:rFonts w:cs="Tahoma"/>
        </w:rPr>
      </w:pPr>
      <w:r w:rsidRPr="004B208C">
        <w:rPr>
          <w:rFonts w:cs="Tahoma"/>
          <w:color w:val="000000"/>
          <w:szCs w:val="18"/>
        </w:rPr>
        <w:t>Descrição: o SDPS permite que parceiros qualificados e consultores da Microsoft ajudem os clientes a desenvolver um plano de implantação do SharePoint Portal Server personalizado para o ambiente específico e avaliar os custos gerais da implantação da tecnologia.</w:t>
      </w:r>
      <w:r w:rsidR="00172F11">
        <w:rPr>
          <w:rFonts w:cs="Tahoma"/>
          <w:color w:val="000000"/>
          <w:szCs w:val="18"/>
        </w:rPr>
        <w:t xml:space="preserve"> </w:t>
      </w:r>
      <w:r w:rsidRPr="004B208C">
        <w:rPr>
          <w:rFonts w:cs="Tahoma"/>
          <w:color w:val="000000"/>
          <w:szCs w:val="18"/>
        </w:rPr>
        <w:t>O SDPS também pode ajudar os clientes com o planejamento do desenvolvimento com o objetivo de</w:t>
      </w:r>
      <w:r w:rsidR="00C70EBE">
        <w:rPr>
          <w:rFonts w:cs="Tahoma"/>
          <w:color w:val="000000"/>
          <w:szCs w:val="18"/>
        </w:rPr>
        <w:t> </w:t>
      </w:r>
      <w:r w:rsidRPr="004B208C">
        <w:rPr>
          <w:rFonts w:cs="Tahoma"/>
          <w:color w:val="000000"/>
          <w:szCs w:val="18"/>
        </w:rPr>
        <w:t>auxiliar na transição para o Office 365, concentrando-se no SharePoint Online.</w:t>
      </w:r>
      <w:r w:rsidR="00172F11">
        <w:rPr>
          <w:rFonts w:cs="Tahoma"/>
          <w:color w:val="000000"/>
          <w:szCs w:val="18"/>
        </w:rPr>
        <w:t xml:space="preserve"> </w:t>
      </w:r>
    </w:p>
    <w:p w:rsidR="000D4ECA" w:rsidRPr="00C70EBE" w:rsidRDefault="000D4ECA" w:rsidP="00A1385C">
      <w:pPr>
        <w:numPr>
          <w:ilvl w:val="1"/>
          <w:numId w:val="100"/>
        </w:numPr>
        <w:spacing w:after="60" w:line="276" w:lineRule="auto"/>
        <w:ind w:left="1980"/>
        <w:rPr>
          <w:rFonts w:cs="Tahoma"/>
        </w:rPr>
      </w:pPr>
      <w:r w:rsidRPr="004B208C">
        <w:rPr>
          <w:rFonts w:cs="Tahoma"/>
          <w:color w:val="000000"/>
          <w:szCs w:val="18"/>
        </w:rPr>
        <w:t>Níveis de Serviço: 1, 3, 5, 10 ou 15 dias</w:t>
      </w:r>
    </w:p>
    <w:p w:rsidR="00C70EBE" w:rsidRPr="004B208C" w:rsidRDefault="00C70EBE" w:rsidP="00C70EBE">
      <w:pPr>
        <w:spacing w:after="60" w:line="276" w:lineRule="auto"/>
        <w:ind w:left="1980"/>
        <w:rPr>
          <w:rFonts w:cs="Tahoma"/>
        </w:rPr>
      </w:pPr>
    </w:p>
    <w:p w:rsidR="000D4ECA" w:rsidRPr="004B208C" w:rsidRDefault="000D4ECA" w:rsidP="00024C3C">
      <w:pPr>
        <w:numPr>
          <w:ilvl w:val="0"/>
          <w:numId w:val="10"/>
        </w:numPr>
        <w:spacing w:after="60" w:line="276" w:lineRule="auto"/>
        <w:rPr>
          <w:rFonts w:cs="Tahoma"/>
        </w:rPr>
      </w:pPr>
      <w:r w:rsidRPr="004B208C">
        <w:rPr>
          <w:rFonts w:cs="Tahoma"/>
          <w:color w:val="000000"/>
          <w:szCs w:val="18"/>
        </w:rPr>
        <w:t>Lync e Exchange Deployment Planning Services (L&amp;EDPS)</w:t>
      </w:r>
    </w:p>
    <w:p w:rsidR="000D4ECA" w:rsidRPr="004B208C" w:rsidRDefault="000D4ECA" w:rsidP="00A1385C">
      <w:pPr>
        <w:numPr>
          <w:ilvl w:val="1"/>
          <w:numId w:val="101"/>
        </w:numPr>
        <w:spacing w:after="60" w:line="276" w:lineRule="auto"/>
        <w:ind w:left="1980"/>
        <w:rPr>
          <w:rFonts w:cs="Tahoma"/>
        </w:rPr>
      </w:pPr>
      <w:r w:rsidRPr="004B208C">
        <w:rPr>
          <w:rFonts w:cs="Tahoma"/>
          <w:color w:val="000000"/>
          <w:szCs w:val="18"/>
        </w:rPr>
        <w:t>Descrição: 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w:t>
      </w:r>
      <w:r w:rsidR="00C70EBE">
        <w:rPr>
          <w:rFonts w:cs="Tahoma"/>
          <w:color w:val="000000"/>
          <w:szCs w:val="18"/>
        </w:rPr>
        <w:t> </w:t>
      </w:r>
      <w:r w:rsidRPr="004B208C">
        <w:rPr>
          <w:rFonts w:cs="Tahoma"/>
          <w:color w:val="000000"/>
          <w:szCs w:val="18"/>
        </w:rPr>
        <w:t>e em nuvem.</w:t>
      </w:r>
      <w:r w:rsidR="00172F11">
        <w:rPr>
          <w:rFonts w:cs="Tahoma"/>
          <w:color w:val="000000"/>
          <w:szCs w:val="18"/>
        </w:rPr>
        <w:t xml:space="preserve"> </w:t>
      </w:r>
      <w:r w:rsidRPr="004B208C">
        <w:rPr>
          <w:rFonts w:cs="Tahoma"/>
          <w:color w:val="000000"/>
          <w:szCs w:val="18"/>
        </w:rPr>
        <w:t>O L&amp;EDPS também pode ajudar os clientes com o planejamento do desenvolvimento com o objetivo de auxiliar na transição para o Office 365, concentrando-se no Lync e no Exchange Online.</w:t>
      </w:r>
    </w:p>
    <w:p w:rsidR="000D4ECA" w:rsidRPr="004B208C" w:rsidRDefault="000D4ECA" w:rsidP="00A1385C">
      <w:pPr>
        <w:numPr>
          <w:ilvl w:val="1"/>
          <w:numId w:val="101"/>
        </w:numPr>
        <w:spacing w:after="60" w:line="276" w:lineRule="auto"/>
        <w:ind w:left="1980"/>
        <w:rPr>
          <w:rFonts w:cs="Tahoma"/>
        </w:rPr>
      </w:pPr>
      <w:r w:rsidRPr="004B208C">
        <w:rPr>
          <w:rFonts w:cs="Tahoma"/>
          <w:color w:val="000000"/>
          <w:szCs w:val="18"/>
        </w:rPr>
        <w:t>Níveis de Serviço: 1, 3, 5, 10 ou 15 dias</w:t>
      </w:r>
    </w:p>
    <w:p w:rsidR="000D4ECA" w:rsidRPr="004B208C" w:rsidRDefault="000D4ECA" w:rsidP="00024C3C">
      <w:pPr>
        <w:numPr>
          <w:ilvl w:val="0"/>
          <w:numId w:val="10"/>
        </w:numPr>
        <w:spacing w:after="60" w:line="276" w:lineRule="auto"/>
        <w:rPr>
          <w:rFonts w:cs="Tahoma"/>
        </w:rPr>
      </w:pPr>
      <w:r w:rsidRPr="004B208C">
        <w:rPr>
          <w:rFonts w:cs="Tahoma"/>
          <w:color w:val="000000"/>
          <w:szCs w:val="18"/>
        </w:rPr>
        <w:lastRenderedPageBreak/>
        <w:t>Private Cloud, Management and Virtualization Deployment Planning Services (PVDPS)</w:t>
      </w:r>
    </w:p>
    <w:p w:rsidR="000D4ECA" w:rsidRPr="004B208C" w:rsidRDefault="000D4ECA" w:rsidP="00A1385C">
      <w:pPr>
        <w:numPr>
          <w:ilvl w:val="1"/>
          <w:numId w:val="102"/>
        </w:numPr>
        <w:spacing w:after="60" w:line="276" w:lineRule="auto"/>
        <w:ind w:left="1980"/>
        <w:rPr>
          <w:rFonts w:cs="Tahoma"/>
        </w:rPr>
      </w:pPr>
      <w:r w:rsidRPr="004B208C">
        <w:rPr>
          <w:rFonts w:cs="Tahoma"/>
          <w:color w:val="000000"/>
          <w:szCs w:val="18"/>
        </w:rPr>
        <w:t xml:space="preserve">Descrição: </w:t>
      </w:r>
      <w:r w:rsidRPr="004B208C">
        <w:rPr>
          <w:rFonts w:cs="Tahoma"/>
          <w:szCs w:val="18"/>
        </w:rPr>
        <w:t>O PVDPS fornece compromissos de consultoria estruturados que ajudam os</w:t>
      </w:r>
      <w:r w:rsidR="009869F4">
        <w:rPr>
          <w:rFonts w:cs="Tahoma"/>
          <w:szCs w:val="18"/>
        </w:rPr>
        <w:t> </w:t>
      </w:r>
      <w:r w:rsidRPr="004B208C">
        <w:rPr>
          <w:rFonts w:cs="Tahoma"/>
          <w:szCs w:val="18"/>
        </w:rPr>
        <w:t>clientes a aproveitar as soluções de infraestrutura baseadas em Windows Server, Systems</w:t>
      </w:r>
      <w:r w:rsidR="009869F4">
        <w:rPr>
          <w:rFonts w:cs="Tahoma"/>
          <w:szCs w:val="18"/>
        </w:rPr>
        <w:t> </w:t>
      </w:r>
      <w:r w:rsidRPr="004B208C">
        <w:rPr>
          <w:rFonts w:cs="Tahoma"/>
          <w:szCs w:val="18"/>
        </w:rPr>
        <w:t>Center e Hyper-V. Esse serviço ajudará a reduzir custos de data center, aumentar a</w:t>
      </w:r>
      <w:r w:rsidR="00C70EBE">
        <w:rPr>
          <w:rFonts w:cs="Tahoma"/>
          <w:szCs w:val="18"/>
        </w:rPr>
        <w:t> </w:t>
      </w:r>
      <w:r w:rsidRPr="004B208C">
        <w:rPr>
          <w:rFonts w:cs="Tahoma"/>
          <w:szCs w:val="18"/>
        </w:rPr>
        <w:t>agilidade dos negócios e fornecer um controle aperfeiçoado da infraestrutura física, virtual</w:t>
      </w:r>
      <w:r w:rsidR="00C70EBE">
        <w:rPr>
          <w:rFonts w:cs="Tahoma"/>
          <w:szCs w:val="18"/>
        </w:rPr>
        <w:t> </w:t>
      </w:r>
      <w:r w:rsidRPr="004B208C">
        <w:rPr>
          <w:rFonts w:cs="Tahoma"/>
          <w:szCs w:val="18"/>
        </w:rPr>
        <w:t>e híbrida do cliente</w:t>
      </w:r>
      <w:r w:rsidRPr="004B208C">
        <w:rPr>
          <w:rFonts w:cs="Tahoma"/>
          <w:color w:val="000000"/>
          <w:szCs w:val="18"/>
        </w:rPr>
        <w:t xml:space="preserve">. </w:t>
      </w:r>
    </w:p>
    <w:p w:rsidR="000D4ECA" w:rsidRPr="004B208C" w:rsidRDefault="000D4ECA" w:rsidP="00A1385C">
      <w:pPr>
        <w:numPr>
          <w:ilvl w:val="1"/>
          <w:numId w:val="102"/>
        </w:numPr>
        <w:spacing w:after="60" w:line="276" w:lineRule="auto"/>
        <w:ind w:left="1980"/>
        <w:rPr>
          <w:rFonts w:cs="Tahoma"/>
        </w:rPr>
      </w:pPr>
      <w:r w:rsidRPr="004B208C">
        <w:rPr>
          <w:rFonts w:cs="Tahoma"/>
          <w:color w:val="000000"/>
          <w:szCs w:val="18"/>
        </w:rPr>
        <w:t>Níveis de Serviço: 3, 5, 10 ou 15 dias</w:t>
      </w:r>
    </w:p>
    <w:p w:rsidR="000D4ECA" w:rsidRPr="004B208C" w:rsidRDefault="000D4ECA" w:rsidP="00024C3C">
      <w:pPr>
        <w:numPr>
          <w:ilvl w:val="0"/>
          <w:numId w:val="10"/>
        </w:numPr>
        <w:spacing w:after="60" w:line="276" w:lineRule="auto"/>
        <w:rPr>
          <w:rFonts w:cs="Tahoma"/>
        </w:rPr>
      </w:pPr>
      <w:r w:rsidRPr="004B208C">
        <w:rPr>
          <w:rFonts w:cs="Tahoma"/>
          <w:color w:val="000000"/>
          <w:szCs w:val="18"/>
        </w:rPr>
        <w:t>SQL Server Deployment Planning Services (SSDPS)</w:t>
      </w:r>
    </w:p>
    <w:p w:rsidR="000D4ECA" w:rsidRPr="004B208C" w:rsidRDefault="000D4ECA" w:rsidP="00A1385C">
      <w:pPr>
        <w:numPr>
          <w:ilvl w:val="1"/>
          <w:numId w:val="103"/>
        </w:numPr>
        <w:spacing w:after="60" w:line="276" w:lineRule="auto"/>
        <w:ind w:left="1980"/>
        <w:rPr>
          <w:rFonts w:cs="Tahoma"/>
        </w:rPr>
      </w:pPr>
      <w:r w:rsidRPr="004B208C">
        <w:rPr>
          <w:rFonts w:cs="Tahoma"/>
          <w:color w:val="000000"/>
          <w:szCs w:val="18"/>
        </w:rPr>
        <w:t xml:space="preserve">Descrição: </w:t>
      </w:r>
      <w:r w:rsidRPr="004B208C">
        <w:rPr>
          <w:rFonts w:cs="Tahoma"/>
          <w:szCs w:val="18"/>
        </w:rPr>
        <w:t>O SSDPS fornece uma avaliação aprofundada e o planejamento da implantação para migração para o SQL Server, atualização para a nova versão da solução SQL Server, SQL Server Business Intelligence e planejamento de implantação para Microsoft Dynamics</w:t>
      </w:r>
      <w:r w:rsidR="009869F4">
        <w:rPr>
          <w:rFonts w:cs="Tahoma"/>
          <w:szCs w:val="18"/>
        </w:rPr>
        <w:t> </w:t>
      </w:r>
      <w:r w:rsidRPr="004B208C">
        <w:rPr>
          <w:rFonts w:cs="Tahoma"/>
          <w:szCs w:val="18"/>
        </w:rPr>
        <w:t>CRM.</w:t>
      </w:r>
    </w:p>
    <w:p w:rsidR="000D4ECA" w:rsidRPr="004B208C" w:rsidRDefault="000D4ECA" w:rsidP="00A1385C">
      <w:pPr>
        <w:numPr>
          <w:ilvl w:val="1"/>
          <w:numId w:val="103"/>
        </w:numPr>
        <w:spacing w:after="60" w:line="276" w:lineRule="auto"/>
        <w:ind w:left="1980"/>
        <w:rPr>
          <w:rFonts w:cs="Tahoma"/>
        </w:rPr>
      </w:pPr>
      <w:r w:rsidRPr="004B208C">
        <w:rPr>
          <w:rFonts w:cs="Tahoma"/>
          <w:color w:val="000000"/>
          <w:szCs w:val="18"/>
        </w:rPr>
        <w:t>Níveis de Serviço: 3, 5, 10 ou 15 dias</w:t>
      </w:r>
    </w:p>
    <w:p w:rsidR="000D4ECA" w:rsidRPr="004B208C" w:rsidRDefault="000D4ECA" w:rsidP="00024C3C">
      <w:pPr>
        <w:numPr>
          <w:ilvl w:val="0"/>
          <w:numId w:val="10"/>
        </w:numPr>
        <w:spacing w:after="60" w:line="276" w:lineRule="auto"/>
        <w:rPr>
          <w:rFonts w:cs="Tahoma"/>
        </w:rPr>
      </w:pPr>
      <w:r w:rsidRPr="004B208C">
        <w:rPr>
          <w:rFonts w:cs="Tahoma"/>
          <w:color w:val="000000"/>
          <w:szCs w:val="18"/>
        </w:rPr>
        <w:t>Developer Tools Deployment Planning Services (DTDPS)</w:t>
      </w:r>
    </w:p>
    <w:p w:rsidR="000D4ECA" w:rsidRPr="004B208C" w:rsidRDefault="000D4ECA" w:rsidP="00A1385C">
      <w:pPr>
        <w:numPr>
          <w:ilvl w:val="1"/>
          <w:numId w:val="104"/>
        </w:numPr>
        <w:spacing w:after="60" w:line="276" w:lineRule="auto"/>
        <w:ind w:left="1980"/>
        <w:rPr>
          <w:rFonts w:cs="Tahoma"/>
        </w:rPr>
      </w:pPr>
      <w:r w:rsidRPr="004B208C">
        <w:rPr>
          <w:rFonts w:cs="Tahoma"/>
          <w:color w:val="000000"/>
          <w:szCs w:val="18"/>
        </w:rPr>
        <w:t xml:space="preserve">Descrição: </w:t>
      </w:r>
      <w:r w:rsidRPr="004B208C">
        <w:rPr>
          <w:rFonts w:cs="Tahoma"/>
          <w:szCs w:val="18"/>
        </w:rPr>
        <w:t>O DTDPS fornece uma análise rigorosa e uma abordagem concentrada em processo a fim de desenvolver um plano de implantação do Visual Studio Team Foundation Server ou do Visual Studio Test Tools.</w:t>
      </w:r>
      <w:r w:rsidR="00172F11">
        <w:rPr>
          <w:rFonts w:cs="Tahoma"/>
          <w:szCs w:val="18"/>
        </w:rPr>
        <w:t xml:space="preserve"> </w:t>
      </w:r>
      <w:r w:rsidRPr="004B208C">
        <w:rPr>
          <w:rFonts w:cs="Tahoma"/>
          <w:szCs w:val="18"/>
        </w:rPr>
        <w:t>Seguindo as práticas recomendadas da Microsoft, um</w:t>
      </w:r>
      <w:r w:rsidR="009869F4">
        <w:rPr>
          <w:rFonts w:cs="Tahoma"/>
          <w:szCs w:val="18"/>
        </w:rPr>
        <w:t> </w:t>
      </w:r>
      <w:r w:rsidRPr="004B208C">
        <w:rPr>
          <w:rFonts w:cs="Tahoma"/>
          <w:szCs w:val="18"/>
        </w:rPr>
        <w:t>parceiro certificado criará um plano de implantação exclusivo, personalizado de acordo com as necessidades da empresa</w:t>
      </w:r>
      <w:r w:rsidRPr="004B208C">
        <w:rPr>
          <w:rFonts w:cs="Tahoma"/>
          <w:color w:val="000000"/>
          <w:szCs w:val="18"/>
        </w:rPr>
        <w:t xml:space="preserve">. </w:t>
      </w:r>
    </w:p>
    <w:p w:rsidR="000D4ECA" w:rsidRPr="004B208C" w:rsidRDefault="000D4ECA" w:rsidP="00A1385C">
      <w:pPr>
        <w:numPr>
          <w:ilvl w:val="1"/>
          <w:numId w:val="104"/>
        </w:numPr>
        <w:spacing w:after="60" w:line="276" w:lineRule="auto"/>
        <w:ind w:left="1980"/>
        <w:rPr>
          <w:rFonts w:cs="Tahoma"/>
        </w:rPr>
      </w:pPr>
      <w:r w:rsidRPr="004B208C">
        <w:rPr>
          <w:rFonts w:cs="Tahoma"/>
          <w:color w:val="000000"/>
          <w:szCs w:val="18"/>
        </w:rPr>
        <w:t>Níveis de Serviço: 3 ou 5 dias</w:t>
      </w:r>
    </w:p>
    <w:p w:rsidR="000D4ECA" w:rsidRPr="004B208C" w:rsidRDefault="000D4ECA" w:rsidP="00024C3C">
      <w:pPr>
        <w:numPr>
          <w:ilvl w:val="0"/>
          <w:numId w:val="10"/>
        </w:numPr>
        <w:spacing w:after="60" w:line="276" w:lineRule="auto"/>
        <w:rPr>
          <w:rFonts w:cs="Tahoma"/>
        </w:rPr>
      </w:pPr>
      <w:r w:rsidRPr="004B208C">
        <w:rPr>
          <w:rFonts w:cs="Tahoma"/>
          <w:color w:val="000000"/>
          <w:szCs w:val="18"/>
        </w:rPr>
        <w:t>Public Cloud, Azure Deployment Planning Services (AZDPS)</w:t>
      </w:r>
    </w:p>
    <w:p w:rsidR="000D4ECA" w:rsidRPr="004B208C" w:rsidRDefault="000D4ECA" w:rsidP="00A1385C">
      <w:pPr>
        <w:numPr>
          <w:ilvl w:val="1"/>
          <w:numId w:val="105"/>
        </w:numPr>
        <w:spacing w:after="60" w:line="276" w:lineRule="auto"/>
        <w:ind w:left="1980"/>
        <w:rPr>
          <w:rFonts w:cs="Tahoma"/>
        </w:rPr>
      </w:pPr>
      <w:r w:rsidRPr="004B208C">
        <w:rPr>
          <w:rFonts w:cs="Tahoma"/>
          <w:color w:val="000000"/>
          <w:szCs w:val="18"/>
        </w:rPr>
        <w:t xml:space="preserve">Descrição: </w:t>
      </w:r>
      <w:r w:rsidRPr="004B208C">
        <w:rPr>
          <w:rFonts w:cs="Tahoma"/>
          <w:szCs w:val="18"/>
        </w:rPr>
        <w:t xml:space="preserve">O </w:t>
      </w:r>
      <w:r w:rsidRPr="004B208C">
        <w:rPr>
          <w:rFonts w:cs="Tahoma"/>
          <w:color w:val="1D1B11"/>
          <w:szCs w:val="18"/>
        </w:rPr>
        <w:t>Public</w:t>
      </w:r>
      <w:r w:rsidRPr="004B208C">
        <w:rPr>
          <w:rFonts w:cs="Tahoma"/>
          <w:szCs w:val="18"/>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rsidR="000D4ECA" w:rsidRPr="004B208C" w:rsidRDefault="000D4ECA" w:rsidP="00A1385C">
      <w:pPr>
        <w:numPr>
          <w:ilvl w:val="1"/>
          <w:numId w:val="105"/>
        </w:numPr>
        <w:spacing w:line="276" w:lineRule="auto"/>
        <w:ind w:left="1987"/>
        <w:rPr>
          <w:rFonts w:cs="Tahoma"/>
        </w:rPr>
      </w:pPr>
      <w:r w:rsidRPr="004B208C">
        <w:rPr>
          <w:rFonts w:cs="Tahoma"/>
          <w:color w:val="000000"/>
          <w:szCs w:val="18"/>
        </w:rPr>
        <w:t>Níveis de Serviço: 3, 5 ou 10 dias</w:t>
      </w:r>
    </w:p>
    <w:p w:rsidR="000D4ECA" w:rsidRPr="004B208C" w:rsidRDefault="000D4ECA" w:rsidP="0063466C">
      <w:pPr>
        <w:tabs>
          <w:tab w:val="left" w:pos="8040"/>
        </w:tabs>
        <w:rPr>
          <w:rFonts w:cs="Tahoma"/>
        </w:rPr>
      </w:pPr>
    </w:p>
    <w:p w:rsidR="000D4ECA" w:rsidRPr="004B208C" w:rsidRDefault="000D4ECA" w:rsidP="000D4ECA">
      <w:pPr>
        <w:spacing w:after="60"/>
        <w:rPr>
          <w:rFonts w:cs="Tahoma"/>
        </w:rPr>
      </w:pPr>
      <w:r w:rsidRPr="004B208C">
        <w:rPr>
          <w:rFonts w:cs="Tahoma"/>
          <w:color w:val="000000"/>
          <w:szCs w:val="18"/>
        </w:rPr>
        <w:t>A lista de serviços disponíveis e níveis de serviços associados pode ser alterada a qualquer momento.</w:t>
      </w:r>
      <w:r w:rsidR="00172F11">
        <w:rPr>
          <w:rFonts w:cs="Tahoma"/>
          <w:color w:val="000000"/>
          <w:szCs w:val="18"/>
        </w:rPr>
        <w:t xml:space="preserve"> </w:t>
      </w:r>
      <w:r w:rsidRPr="004B208C">
        <w:rPr>
          <w:rFonts w:cs="Tahoma"/>
          <w:color w:val="000000"/>
          <w:szCs w:val="18"/>
        </w:rPr>
        <w:t>Os Provedores Qualificados fornecerão aos clientes uma descrição do Escopo do Trabalho disponível para cada uma das ofertas de serviço acima mediante solicitação.</w:t>
      </w:r>
    </w:p>
    <w:p w:rsidR="000D4ECA" w:rsidRPr="004B208C" w:rsidRDefault="000D4ECA" w:rsidP="0063466C">
      <w:pPr>
        <w:rPr>
          <w:rFonts w:cs="Tahoma"/>
        </w:rPr>
      </w:pPr>
    </w:p>
    <w:p w:rsidR="000D4ECA" w:rsidRPr="004B208C" w:rsidRDefault="000D4ECA" w:rsidP="000D4ECA">
      <w:pPr>
        <w:spacing w:after="60"/>
        <w:rPr>
          <w:rFonts w:cs="Tahoma"/>
        </w:rPr>
      </w:pPr>
      <w:r w:rsidRPr="004B208C">
        <w:rPr>
          <w:rFonts w:cs="Tahoma"/>
          <w:color w:val="000000"/>
          <w:szCs w:val="18"/>
        </w:rPr>
        <w:t>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w:t>
      </w:r>
      <w:r w:rsidR="00172F11">
        <w:rPr>
          <w:rFonts w:cs="Tahoma"/>
          <w:color w:val="000000"/>
          <w:szCs w:val="18"/>
        </w:rPr>
        <w:t xml:space="preserve"> </w:t>
      </w:r>
      <w:r w:rsidRPr="004B208C">
        <w:rPr>
          <w:rFonts w:cs="Tahoma"/>
          <w:bCs/>
          <w:color w:val="000000"/>
          <w:szCs w:val="18"/>
        </w:rPr>
        <w:t>A quantidade de dias que um cliente recebe é colocada em um pool de Dias de Serviços de Planejamento a partir do qual o cliente pode criar cupons para as ofertas de serviços acima.</w:t>
      </w:r>
      <w:r w:rsidR="00172F11">
        <w:rPr>
          <w:rFonts w:cs="Tahoma"/>
          <w:bCs/>
          <w:color w:val="000000"/>
          <w:szCs w:val="18"/>
        </w:rPr>
        <w:t xml:space="preserve"> </w:t>
      </w:r>
      <w:r w:rsidRPr="004B208C">
        <w:rPr>
          <w:rFonts w:cs="Tahoma"/>
          <w:bCs/>
          <w:color w:val="000000"/>
          <w:szCs w:val="18"/>
        </w:rPr>
        <w:t>Os clientes podem escolher um ou mais dos serviços acima e podem selecionar nos níveis de serviços disponíveis até o número de dias de Serviços de Planejamento que eles têm disponível.</w:t>
      </w:r>
    </w:p>
    <w:p w:rsidR="001C1727" w:rsidRPr="004B208C" w:rsidRDefault="001C1727">
      <w:pPr>
        <w:rPr>
          <w:rFonts w:cs="Tahoma"/>
        </w:rPr>
      </w:pPr>
    </w:p>
    <w:p w:rsidR="000D4ECA" w:rsidRPr="004B208C" w:rsidRDefault="000D4ECA" w:rsidP="000D4ECA">
      <w:pPr>
        <w:spacing w:after="60"/>
        <w:rPr>
          <w:rFonts w:cs="Tahoma"/>
        </w:rPr>
      </w:pPr>
      <w:r w:rsidRPr="004B208C">
        <w:rPr>
          <w:rFonts w:cs="Tahoma"/>
          <w:bCs/>
          <w:color w:val="000000"/>
          <w:szCs w:val="18"/>
        </w:rPr>
        <w:t>A tabela a seguir lista as licenças de Aplicativos e Servidores qualificados e os pontos associados a cada uma delas:</w:t>
      </w:r>
    </w:p>
    <w:p w:rsidR="0063466C" w:rsidRPr="004B208C"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4B208C"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B208C" w:rsidRDefault="000D4ECA" w:rsidP="000D4ECA">
            <w:pPr>
              <w:spacing w:after="60"/>
              <w:jc w:val="center"/>
              <w:rPr>
                <w:rFonts w:cs="Tahoma"/>
                <w:szCs w:val="18"/>
              </w:rPr>
            </w:pPr>
            <w:r w:rsidRPr="004B208C">
              <w:rPr>
                <w:rFonts w:cs="Tahoma"/>
                <w:b/>
                <w:bCs/>
                <w:szCs w:val="18"/>
              </w:rPr>
              <w:t xml:space="preserve">Licenças de Aplicativos e Servidores Office*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B208C" w:rsidRDefault="000D4ECA" w:rsidP="000D4ECA">
            <w:pPr>
              <w:spacing w:after="60"/>
              <w:jc w:val="center"/>
              <w:rPr>
                <w:rFonts w:cs="Tahoma"/>
                <w:szCs w:val="18"/>
              </w:rPr>
            </w:pPr>
            <w:r w:rsidRPr="004B208C">
              <w:rPr>
                <w:rFonts w:cs="Tahoma"/>
                <w:b/>
                <w:bCs/>
                <w:szCs w:val="18"/>
              </w:rPr>
              <w:t>Pontos</w:t>
            </w:r>
          </w:p>
        </w:tc>
      </w:tr>
      <w:tr w:rsidR="000D4ECA" w:rsidRPr="004B208C"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D31281">
            <w:pPr>
              <w:spacing w:after="60"/>
              <w:jc w:val="center"/>
              <w:rPr>
                <w:rFonts w:cs="Tahoma"/>
                <w:szCs w:val="18"/>
              </w:rPr>
            </w:pPr>
            <w:r w:rsidRPr="004B208C">
              <w:rPr>
                <w:rFonts w:cs="Tahoma"/>
                <w:szCs w:val="18"/>
              </w:rPr>
              <w:t>Produtos do Pool de Aplicativos do Office (incluindo pacotes do Office, Project Standard e Professional, Visio Standard e Professional), CAL do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0D4ECA">
            <w:pPr>
              <w:spacing w:after="60"/>
              <w:jc w:val="center"/>
              <w:rPr>
                <w:rFonts w:cs="Tahoma"/>
                <w:szCs w:val="18"/>
              </w:rPr>
            </w:pPr>
            <w:r w:rsidRPr="004B208C">
              <w:rPr>
                <w:rFonts w:cs="Tahoma"/>
                <w:szCs w:val="18"/>
              </w:rPr>
              <w:t>1</w:t>
            </w:r>
          </w:p>
        </w:tc>
      </w:tr>
      <w:tr w:rsidR="000D4ECA" w:rsidRPr="004B208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F56FC9" w:rsidP="00C70EBE">
            <w:pPr>
              <w:spacing w:after="60"/>
              <w:jc w:val="center"/>
              <w:rPr>
                <w:rFonts w:cs="Tahoma"/>
                <w:szCs w:val="18"/>
              </w:rPr>
            </w:pPr>
            <w:r w:rsidRPr="004B208C">
              <w:rPr>
                <w:rFonts w:eastAsia="Calibri" w:cs="Tahoma"/>
                <w:szCs w:val="18"/>
              </w:rPr>
              <w:t>Edições do SQL Server Standard, Windows Server Standard, Microsoft Dynamics CRM Server 2011, Microsoft Dynamics CRM Server 2013, Licença de Gerenciamento do</w:t>
            </w:r>
            <w:r w:rsidR="00C70EBE">
              <w:rPr>
                <w:rFonts w:eastAsia="Calibri" w:cs="Tahoma"/>
                <w:szCs w:val="18"/>
              </w:rPr>
              <w:t> </w:t>
            </w:r>
            <w:r w:rsidRPr="004B208C">
              <w:rPr>
                <w:rFonts w:eastAsia="Calibri" w:cs="Tahoma"/>
                <w:szCs w:val="18"/>
              </w:rPr>
              <w:t>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0D4ECA">
            <w:pPr>
              <w:spacing w:after="60"/>
              <w:jc w:val="center"/>
              <w:rPr>
                <w:rFonts w:cs="Tahoma"/>
                <w:szCs w:val="18"/>
              </w:rPr>
            </w:pPr>
            <w:r w:rsidRPr="004B208C">
              <w:rPr>
                <w:rFonts w:cs="Tahoma"/>
                <w:szCs w:val="18"/>
              </w:rPr>
              <w:t>25</w:t>
            </w:r>
          </w:p>
        </w:tc>
      </w:tr>
      <w:tr w:rsidR="000D4ECA" w:rsidRPr="004B208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F56FC9" w:rsidP="000D4ECA">
            <w:pPr>
              <w:spacing w:after="60"/>
              <w:jc w:val="center"/>
              <w:rPr>
                <w:rFonts w:cs="Tahoma"/>
                <w:szCs w:val="18"/>
              </w:rPr>
            </w:pPr>
            <w:r w:rsidRPr="004B208C">
              <w:rPr>
                <w:rFonts w:eastAsia="Calibri" w:cs="Tahoma"/>
                <w:szCs w:val="18"/>
              </w:rPr>
              <w:lastRenderedPageBreak/>
              <w:t xml:space="preserve">Edições do SQL Server Enterprise, </w:t>
            </w:r>
            <w:r w:rsidRPr="004B208C">
              <w:rPr>
                <w:rFonts w:cs="Tahoma"/>
                <w:szCs w:val="18"/>
              </w:rPr>
              <w:t xml:space="preserve">SQL Server Business Intelligence, </w:t>
            </w:r>
            <w:r w:rsidRPr="004B208C">
              <w:rPr>
                <w:rFonts w:eastAsia="Calibri" w:cs="Tahoma"/>
                <w:szCs w:val="18"/>
              </w:rPr>
              <w:t>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0D4ECA">
            <w:pPr>
              <w:spacing w:after="60"/>
              <w:jc w:val="center"/>
              <w:rPr>
                <w:rFonts w:cs="Tahoma"/>
                <w:szCs w:val="18"/>
              </w:rPr>
            </w:pPr>
            <w:r w:rsidRPr="004B208C">
              <w:rPr>
                <w:rFonts w:cs="Tahoma"/>
                <w:szCs w:val="18"/>
              </w:rPr>
              <w:t>50</w:t>
            </w:r>
          </w:p>
        </w:tc>
      </w:tr>
      <w:tr w:rsidR="000D4ECA" w:rsidRPr="004B208C"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F56FC9" w:rsidP="00C70EBE">
            <w:pPr>
              <w:spacing w:after="60"/>
              <w:jc w:val="center"/>
              <w:rPr>
                <w:rFonts w:cs="Tahoma"/>
                <w:szCs w:val="18"/>
              </w:rPr>
            </w:pPr>
            <w:r w:rsidRPr="004B208C">
              <w:rPr>
                <w:rFonts w:eastAsia="Calibri" w:cs="Tahoma"/>
                <w:szCs w:val="18"/>
              </w:rPr>
              <w:t>Edições do SQL Server Data Center, Windows Server Data Server, Licença de</w:t>
            </w:r>
            <w:r w:rsidR="00C70EBE">
              <w:rPr>
                <w:rFonts w:eastAsia="Calibri" w:cs="Tahoma"/>
                <w:szCs w:val="18"/>
              </w:rPr>
              <w:t> </w:t>
            </w:r>
            <w:r w:rsidRPr="004B208C">
              <w:rPr>
                <w:rFonts w:eastAsia="Calibri" w:cs="Tahoma"/>
                <w:szCs w:val="18"/>
              </w:rPr>
              <w:t>Gerenciamento do System Center 2012 Datacenter Server (2 processadores) e</w:t>
            </w:r>
            <w:r w:rsidR="00C70EBE">
              <w:rPr>
                <w:rFonts w:eastAsia="Calibri" w:cs="Tahoma"/>
                <w:szCs w:val="18"/>
              </w:rPr>
              <w:t> </w:t>
            </w:r>
            <w:r w:rsidRPr="004B208C">
              <w:rPr>
                <w:rFonts w:eastAsia="Calibri" w:cs="Tahoma"/>
                <w:szCs w:val="18"/>
              </w:rPr>
              <w:t>Visual</w:t>
            </w:r>
            <w:r w:rsidR="00C70EBE">
              <w:rPr>
                <w:rFonts w:eastAsia="Calibri" w:cs="Tahoma"/>
                <w:szCs w:val="18"/>
              </w:rPr>
              <w:t> </w:t>
            </w:r>
            <w:r w:rsidRPr="004B208C">
              <w:rPr>
                <w:rFonts w:eastAsia="Calibri" w:cs="Tahoma"/>
                <w:szCs w:val="18"/>
              </w:rPr>
              <w:t>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0D4ECA">
            <w:pPr>
              <w:spacing w:after="60"/>
              <w:jc w:val="center"/>
              <w:rPr>
                <w:rFonts w:cs="Tahoma"/>
                <w:szCs w:val="18"/>
              </w:rPr>
            </w:pPr>
            <w:r w:rsidRPr="004B208C">
              <w:rPr>
                <w:rFonts w:cs="Tahoma"/>
                <w:szCs w:val="18"/>
              </w:rPr>
              <w:t>75</w:t>
            </w:r>
          </w:p>
        </w:tc>
      </w:tr>
    </w:tbl>
    <w:p w:rsidR="000D4ECA" w:rsidRPr="009869F4" w:rsidRDefault="000D4ECA" w:rsidP="0063466C">
      <w:pPr>
        <w:ind w:firstLine="720"/>
        <w:rPr>
          <w:rFonts w:cs="Tahoma"/>
          <w:sz w:val="16"/>
          <w:szCs w:val="16"/>
        </w:rPr>
      </w:pPr>
      <w:r w:rsidRPr="009869F4">
        <w:rPr>
          <w:rFonts w:cs="Tahoma"/>
          <w:b/>
          <w:i/>
          <w:sz w:val="16"/>
          <w:szCs w:val="16"/>
        </w:rPr>
        <w:t>Observação:</w:t>
      </w:r>
      <w:r w:rsidRPr="009869F4">
        <w:rPr>
          <w:rFonts w:cs="Tahoma"/>
          <w:i/>
          <w:sz w:val="16"/>
          <w:szCs w:val="16"/>
        </w:rPr>
        <w:t xml:space="preserve"> Para CALs, consulte a tabela Pacotes de CALs nesta seção</w:t>
      </w:r>
    </w:p>
    <w:p w:rsidR="00F56FC9" w:rsidRPr="009539FE" w:rsidRDefault="00F56FC9" w:rsidP="0063466C">
      <w:pPr>
        <w:rPr>
          <w:rFonts w:cs="Tahoma"/>
          <w:sz w:val="16"/>
          <w:szCs w:val="16"/>
        </w:rPr>
      </w:pPr>
    </w:p>
    <w:p w:rsidR="000D4ECA" w:rsidRPr="004B208C" w:rsidRDefault="000D4ECA" w:rsidP="0063466C">
      <w:pPr>
        <w:rPr>
          <w:rFonts w:cs="Tahoma"/>
        </w:rPr>
      </w:pPr>
      <w:r w:rsidRPr="004B208C">
        <w:rPr>
          <w:rFonts w:cs="Tahoma"/>
          <w:szCs w:val="18"/>
        </w:rPr>
        <w:t>Quando esses produtos qualificados são comprados por meio do Enrollment for Application Platform (EAP) ou</w:t>
      </w:r>
      <w:r w:rsidR="00C70EBE">
        <w:rPr>
          <w:rFonts w:cs="Tahoma"/>
          <w:szCs w:val="18"/>
        </w:rPr>
        <w:t> </w:t>
      </w:r>
      <w:r w:rsidRPr="004B208C">
        <w:rPr>
          <w:rFonts w:cs="Tahoma"/>
          <w:szCs w:val="18"/>
        </w:rPr>
        <w:t>Enrollment for Core Infrastructure (ECI), cada ponto concedido, coberto pelo EAP e pelo ECI, é multiplicado por</w:t>
      </w:r>
      <w:r w:rsidR="00C70EBE">
        <w:rPr>
          <w:rFonts w:cs="Tahoma"/>
          <w:szCs w:val="18"/>
        </w:rPr>
        <w:t> </w:t>
      </w:r>
      <w:r w:rsidRPr="004B208C">
        <w:rPr>
          <w:rFonts w:cs="Tahoma"/>
          <w:szCs w:val="18"/>
        </w:rPr>
        <w:t>2</w:t>
      </w:r>
      <w:r w:rsidR="00C70EBE">
        <w:rPr>
          <w:rFonts w:cs="Tahoma"/>
          <w:szCs w:val="18"/>
        </w:rPr>
        <w:t> </w:t>
      </w:r>
      <w:r w:rsidRPr="004B208C">
        <w:rPr>
          <w:rFonts w:cs="Tahoma"/>
          <w:szCs w:val="18"/>
        </w:rPr>
        <w:t xml:space="preserve">(dois). </w:t>
      </w:r>
    </w:p>
    <w:p w:rsidR="000D4ECA" w:rsidRPr="009539FE" w:rsidRDefault="000D4ECA" w:rsidP="0063466C">
      <w:pPr>
        <w:rPr>
          <w:rFonts w:cs="Tahoma"/>
          <w:sz w:val="16"/>
          <w:szCs w:val="16"/>
        </w:rPr>
      </w:pPr>
    </w:p>
    <w:p w:rsidR="000D4ECA" w:rsidRPr="004B208C" w:rsidRDefault="000D4ECA" w:rsidP="0063466C">
      <w:pPr>
        <w:rPr>
          <w:rFonts w:cs="Tahoma"/>
        </w:rPr>
      </w:pPr>
      <w:r w:rsidRPr="004B208C">
        <w:rPr>
          <w:rFonts w:cs="Tahoma"/>
          <w:szCs w:val="18"/>
        </w:rPr>
        <w:t>O total de pontos para o qual o cliente é qualificado define as qualificações de Dias de Serviços de Planejamento, conforme mostrado abaixo:</w:t>
      </w:r>
    </w:p>
    <w:p w:rsidR="000D4ECA" w:rsidRPr="009539FE" w:rsidRDefault="000D4ECA" w:rsidP="0063466C">
      <w:pPr>
        <w:rPr>
          <w:rFonts w:cs="Tahoma"/>
          <w:sz w:val="16"/>
          <w:szCs w:val="16"/>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B208C"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B208C" w:rsidRDefault="000D4ECA" w:rsidP="000D4ECA">
            <w:pPr>
              <w:spacing w:after="60"/>
              <w:jc w:val="center"/>
              <w:rPr>
                <w:rFonts w:cs="Tahoma"/>
                <w:szCs w:val="18"/>
              </w:rPr>
            </w:pPr>
            <w:r w:rsidRPr="004B208C">
              <w:rPr>
                <w:rFonts w:cs="Tahoma"/>
                <w:b/>
                <w:bCs/>
                <w:szCs w:val="18"/>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B208C" w:rsidRDefault="000D4ECA" w:rsidP="008D6C3F">
            <w:pPr>
              <w:spacing w:after="60"/>
              <w:jc w:val="center"/>
              <w:rPr>
                <w:rFonts w:cs="Tahoma"/>
                <w:szCs w:val="18"/>
              </w:rPr>
            </w:pPr>
            <w:r w:rsidRPr="004B208C">
              <w:rPr>
                <w:rFonts w:cs="Tahoma"/>
                <w:b/>
                <w:bCs/>
                <w:szCs w:val="18"/>
              </w:rPr>
              <w:t>Dias de Serviços de</w:t>
            </w:r>
            <w:r w:rsidR="008D6C3F">
              <w:rPr>
                <w:rFonts w:cs="Tahoma"/>
                <w:b/>
                <w:bCs/>
                <w:szCs w:val="18"/>
              </w:rPr>
              <w:t> </w:t>
            </w:r>
            <w:r w:rsidRPr="004B208C">
              <w:rPr>
                <w:rFonts w:cs="Tahoma"/>
                <w:b/>
                <w:bCs/>
                <w:szCs w:val="18"/>
              </w:rPr>
              <w:t>Planejamento</w:t>
            </w:r>
          </w:p>
        </w:tc>
      </w:tr>
      <w:tr w:rsidR="000D4ECA" w:rsidRPr="004B208C"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200</w:t>
            </w:r>
            <w:r w:rsidR="00C70EBE">
              <w:rPr>
                <w:rFonts w:cs="Tahoma"/>
                <w:szCs w:val="18"/>
              </w:rPr>
              <w:t xml:space="preserve"> </w:t>
            </w:r>
            <w:r w:rsidR="00C70EBE" w:rsidRPr="004B208C">
              <w:rPr>
                <w:rFonts w:cs="Tahoma"/>
                <w:szCs w:val="18"/>
              </w:rPr>
              <w:t>–</w:t>
            </w:r>
            <w:r w:rsidR="00C70EBE">
              <w:rPr>
                <w:rFonts w:cs="Tahoma"/>
                <w:szCs w:val="18"/>
              </w:rPr>
              <w:t xml:space="preserve"> </w:t>
            </w:r>
            <w:r w:rsidRPr="004B208C">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500</w:t>
            </w:r>
            <w:r w:rsidR="00C70EBE">
              <w:rPr>
                <w:rFonts w:cs="Tahoma"/>
                <w:szCs w:val="18"/>
              </w:rPr>
              <w:t xml:space="preserve"> </w:t>
            </w:r>
            <w:r w:rsidR="00C70EBE" w:rsidRPr="004B208C">
              <w:rPr>
                <w:rFonts w:cs="Tahoma"/>
                <w:szCs w:val="18"/>
              </w:rPr>
              <w:t>–</w:t>
            </w:r>
            <w:r w:rsidR="00C70EBE">
              <w:rPr>
                <w:rFonts w:cs="Tahoma"/>
                <w:szCs w:val="18"/>
              </w:rPr>
              <w:t xml:space="preserve"> </w:t>
            </w:r>
            <w:r w:rsidRPr="004B208C">
              <w:rPr>
                <w:rFonts w:cs="Tahoma"/>
                <w:szCs w:val="18"/>
              </w:rPr>
              <w:t>1</w:t>
            </w:r>
            <w:r w:rsidR="00C70EBE">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3</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2</w:t>
            </w:r>
            <w:r w:rsidR="00C70EBE">
              <w:rPr>
                <w:rFonts w:cs="Tahoma"/>
                <w:szCs w:val="18"/>
              </w:rPr>
              <w:t>.</w:t>
            </w:r>
            <w:r w:rsidRPr="004B208C">
              <w:rPr>
                <w:rFonts w:cs="Tahoma"/>
                <w:szCs w:val="18"/>
              </w:rPr>
              <w:t>000</w:t>
            </w:r>
            <w:r w:rsidR="00C70EBE">
              <w:rPr>
                <w:rFonts w:cs="Tahoma"/>
                <w:szCs w:val="18"/>
              </w:rPr>
              <w:t xml:space="preserve"> </w:t>
            </w:r>
            <w:r w:rsidR="00C70EBE" w:rsidRPr="004B208C">
              <w:rPr>
                <w:rFonts w:cs="Tahoma"/>
                <w:szCs w:val="18"/>
              </w:rPr>
              <w:t>–</w:t>
            </w:r>
            <w:r w:rsidR="00C70EBE">
              <w:rPr>
                <w:rFonts w:cs="Tahoma"/>
                <w:szCs w:val="18"/>
              </w:rPr>
              <w:t xml:space="preserve"> </w:t>
            </w:r>
            <w:r w:rsidRPr="004B208C">
              <w:rPr>
                <w:rFonts w:cs="Tahoma"/>
                <w:szCs w:val="18"/>
              </w:rPr>
              <w:t>3</w:t>
            </w:r>
            <w:r w:rsidR="00C70EBE">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5</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4</w:t>
            </w:r>
            <w:r w:rsidR="00C70EBE">
              <w:rPr>
                <w:rFonts w:cs="Tahoma"/>
                <w:szCs w:val="18"/>
              </w:rPr>
              <w:t>.</w:t>
            </w:r>
            <w:r w:rsidRPr="004B208C">
              <w:rPr>
                <w:rFonts w:cs="Tahoma"/>
                <w:szCs w:val="18"/>
              </w:rPr>
              <w:t>000 – 29</w:t>
            </w:r>
            <w:r w:rsidR="00C70EBE">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10</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30</w:t>
            </w:r>
            <w:r w:rsidR="00C70EBE">
              <w:rPr>
                <w:rFonts w:cs="Tahoma"/>
                <w:szCs w:val="18"/>
              </w:rPr>
              <w:t>.</w:t>
            </w:r>
            <w:r w:rsidRPr="004B208C">
              <w:rPr>
                <w:rFonts w:cs="Tahoma"/>
                <w:szCs w:val="18"/>
              </w:rPr>
              <w:t>000 – 49</w:t>
            </w:r>
            <w:r w:rsidR="00C70EBE">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15</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50</w:t>
            </w:r>
            <w:r w:rsidR="00C70EBE">
              <w:rPr>
                <w:rFonts w:cs="Tahoma"/>
                <w:szCs w:val="18"/>
              </w:rPr>
              <w:t>.</w:t>
            </w:r>
            <w:r w:rsidRPr="004B208C">
              <w:rPr>
                <w:rFonts w:cs="Tahoma"/>
                <w:szCs w:val="18"/>
              </w:rPr>
              <w:t>000 – 99</w:t>
            </w:r>
            <w:r w:rsidR="00C70EBE">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20</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100</w:t>
            </w:r>
            <w:r w:rsidR="00C70EBE">
              <w:rPr>
                <w:rFonts w:cs="Tahoma"/>
                <w:szCs w:val="18"/>
              </w:rPr>
              <w:t>.</w:t>
            </w:r>
            <w:r w:rsidRPr="004B208C">
              <w:rPr>
                <w:rFonts w:cs="Tahoma"/>
                <w:szCs w:val="18"/>
              </w:rPr>
              <w:t>000 – 199</w:t>
            </w:r>
            <w:r w:rsidR="00C70EBE">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30</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200</w:t>
            </w:r>
            <w:r w:rsidR="00C70EBE">
              <w:rPr>
                <w:rFonts w:cs="Tahoma"/>
                <w:szCs w:val="18"/>
              </w:rPr>
              <w:t>.</w:t>
            </w:r>
            <w:r w:rsidRPr="004B208C">
              <w:rPr>
                <w:rFonts w:cs="Tahoma"/>
                <w:szCs w:val="18"/>
              </w:rPr>
              <w:t>000 – 399</w:t>
            </w:r>
            <w:r w:rsidR="00C70EBE">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40</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400</w:t>
            </w:r>
            <w:r w:rsidR="00C70EBE">
              <w:rPr>
                <w:rFonts w:cs="Tahoma"/>
                <w:szCs w:val="18"/>
              </w:rPr>
              <w:t>.</w:t>
            </w:r>
            <w:r w:rsidRPr="004B208C">
              <w:rPr>
                <w:rFonts w:cs="Tahoma"/>
                <w:szCs w:val="18"/>
              </w:rPr>
              <w:t>000 – 599</w:t>
            </w:r>
            <w:r w:rsidR="00C70EBE">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50</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600</w:t>
            </w:r>
            <w:r w:rsidR="00C70EBE">
              <w:rPr>
                <w:rFonts w:cs="Tahoma"/>
                <w:szCs w:val="18"/>
              </w:rPr>
              <w:t>.</w:t>
            </w:r>
            <w:r w:rsidRPr="004B208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75</w:t>
            </w:r>
          </w:p>
        </w:tc>
      </w:tr>
    </w:tbl>
    <w:p w:rsidR="000D4ECA" w:rsidRPr="009539FE" w:rsidRDefault="000D4ECA" w:rsidP="0063466C">
      <w:pPr>
        <w:rPr>
          <w:rFonts w:cs="Tahoma"/>
          <w:sz w:val="16"/>
          <w:szCs w:val="16"/>
        </w:rPr>
      </w:pPr>
    </w:p>
    <w:p w:rsidR="000D4ECA" w:rsidRPr="004B208C" w:rsidRDefault="000D4ECA" w:rsidP="0063466C">
      <w:pPr>
        <w:rPr>
          <w:rFonts w:cs="Tahoma"/>
        </w:rPr>
      </w:pPr>
      <w:r w:rsidRPr="004B208C">
        <w:rPr>
          <w:rFonts w:cs="Tahoma"/>
          <w:szCs w:val="18"/>
        </w:rPr>
        <w:t xml:space="preserve">A cobertura do Pacote de CALs Principais e de SA de Pacote de CALs do SQL conta como </w:t>
      </w:r>
      <w:r w:rsidRPr="004B208C">
        <w:rPr>
          <w:rFonts w:cs="Tahoma"/>
          <w:szCs w:val="18"/>
          <w:u w:val="single"/>
        </w:rPr>
        <w:t xml:space="preserve">1 (um) ponto </w:t>
      </w:r>
      <w:r w:rsidRPr="004B208C">
        <w:rPr>
          <w:rFonts w:cs="Tahoma"/>
          <w:szCs w:val="18"/>
        </w:rPr>
        <w:t xml:space="preserve">em relação aos valores limite na primeira coluna a seguir, e a cobertura de SA de Pacote de CALs Empresariais conta como </w:t>
      </w:r>
      <w:r w:rsidRPr="004B208C">
        <w:rPr>
          <w:rFonts w:cs="Tahoma"/>
          <w:szCs w:val="18"/>
          <w:u w:val="single"/>
        </w:rPr>
        <w:t>2</w:t>
      </w:r>
      <w:r w:rsidR="008D6C3F">
        <w:rPr>
          <w:rFonts w:cs="Tahoma"/>
          <w:szCs w:val="18"/>
          <w:u w:val="single"/>
        </w:rPr>
        <w:t> </w:t>
      </w:r>
      <w:r w:rsidRPr="004B208C">
        <w:rPr>
          <w:rFonts w:cs="Tahoma"/>
          <w:szCs w:val="18"/>
          <w:u w:val="single"/>
        </w:rPr>
        <w:t>(dois) pontos</w:t>
      </w:r>
      <w:r w:rsidRPr="004B208C">
        <w:rPr>
          <w:rFonts w:cs="Tahoma"/>
          <w:szCs w:val="18"/>
        </w:rPr>
        <w:t xml:space="preserve"> em relação aos valores limite na primeira coluna a seguir:</w:t>
      </w:r>
    </w:p>
    <w:p w:rsidR="000D4ECA" w:rsidRPr="009539FE" w:rsidRDefault="000D4ECA" w:rsidP="0063466C">
      <w:pPr>
        <w:rPr>
          <w:rFonts w:cs="Tahoma"/>
          <w:sz w:val="16"/>
          <w:szCs w:val="16"/>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4B208C"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B208C" w:rsidRDefault="000D4ECA" w:rsidP="000D4ECA">
            <w:pPr>
              <w:spacing w:after="60"/>
              <w:jc w:val="center"/>
              <w:rPr>
                <w:rFonts w:cs="Tahoma"/>
                <w:szCs w:val="18"/>
              </w:rPr>
            </w:pPr>
            <w:r w:rsidRPr="004B208C">
              <w:rPr>
                <w:rFonts w:cs="Tahoma"/>
                <w:b/>
                <w:bCs/>
                <w:szCs w:val="18"/>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4B208C" w:rsidRDefault="000D4ECA" w:rsidP="008D6C3F">
            <w:pPr>
              <w:spacing w:after="60"/>
              <w:rPr>
                <w:rFonts w:cs="Tahoma"/>
                <w:szCs w:val="18"/>
              </w:rPr>
            </w:pPr>
            <w:r w:rsidRPr="004B208C">
              <w:rPr>
                <w:rFonts w:cs="Tahoma"/>
                <w:b/>
                <w:bCs/>
                <w:szCs w:val="18"/>
              </w:rPr>
              <w:t>Dias de Serviços de</w:t>
            </w:r>
            <w:r w:rsidR="008D6C3F">
              <w:rPr>
                <w:rFonts w:cs="Tahoma"/>
                <w:b/>
                <w:bCs/>
                <w:szCs w:val="18"/>
              </w:rPr>
              <w:t> </w:t>
            </w:r>
            <w:r w:rsidRPr="004B208C">
              <w:rPr>
                <w:rFonts w:cs="Tahoma"/>
                <w:b/>
                <w:bCs/>
                <w:szCs w:val="18"/>
              </w:rPr>
              <w:t xml:space="preserve">Planejamento </w:t>
            </w:r>
          </w:p>
        </w:tc>
      </w:tr>
      <w:tr w:rsidR="000D4ECA" w:rsidRPr="004B208C"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200</w:t>
            </w:r>
            <w:r w:rsidR="008D6C3F">
              <w:rPr>
                <w:rFonts w:cs="Tahoma"/>
                <w:szCs w:val="18"/>
              </w:rPr>
              <w:t xml:space="preserve"> </w:t>
            </w:r>
            <w:r w:rsidR="008D6C3F" w:rsidRPr="004B208C">
              <w:rPr>
                <w:rFonts w:cs="Tahoma"/>
                <w:szCs w:val="18"/>
              </w:rPr>
              <w:t>–</w:t>
            </w:r>
            <w:r w:rsidR="008D6C3F">
              <w:rPr>
                <w:rFonts w:cs="Tahoma"/>
                <w:szCs w:val="18"/>
              </w:rPr>
              <w:t xml:space="preserve"> </w:t>
            </w:r>
            <w:r w:rsidRPr="004B208C">
              <w:rPr>
                <w:rFonts w:cs="Tahoma"/>
                <w:szCs w:val="18"/>
              </w:rPr>
              <w:t>3</w:t>
            </w:r>
            <w:r w:rsidR="008D6C3F">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w:t>
            </w:r>
          </w:p>
        </w:tc>
      </w:tr>
      <w:tr w:rsidR="000D4ECA" w:rsidRPr="004B208C"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4</w:t>
            </w:r>
            <w:r w:rsidR="008D6C3F">
              <w:rPr>
                <w:rFonts w:cs="Tahoma"/>
                <w:szCs w:val="18"/>
              </w:rPr>
              <w:t>.</w:t>
            </w:r>
            <w:r w:rsidRPr="004B208C">
              <w:rPr>
                <w:rFonts w:cs="Tahoma"/>
                <w:szCs w:val="18"/>
              </w:rPr>
              <w:t>000 – 9</w:t>
            </w:r>
            <w:r w:rsidR="008D6C3F">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3</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10</w:t>
            </w:r>
            <w:r w:rsidR="008D6C3F">
              <w:rPr>
                <w:rFonts w:cs="Tahoma"/>
                <w:szCs w:val="18"/>
              </w:rPr>
              <w:t>.</w:t>
            </w:r>
            <w:r w:rsidRPr="004B208C">
              <w:rPr>
                <w:rFonts w:cs="Tahoma"/>
                <w:szCs w:val="18"/>
              </w:rPr>
              <w:t>000 – 99</w:t>
            </w:r>
            <w:r w:rsidR="008D6C3F">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5</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100</w:t>
            </w:r>
            <w:r w:rsidR="008D6C3F">
              <w:rPr>
                <w:rFonts w:cs="Tahoma"/>
                <w:szCs w:val="18"/>
              </w:rPr>
              <w:t>.</w:t>
            </w:r>
            <w:r w:rsidRPr="004B208C">
              <w:rPr>
                <w:rFonts w:cs="Tahoma"/>
                <w:szCs w:val="18"/>
              </w:rPr>
              <w:t>000 – 299</w:t>
            </w:r>
            <w:r w:rsidR="008D6C3F">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7</w:t>
            </w:r>
          </w:p>
        </w:tc>
      </w:tr>
      <w:tr w:rsidR="000D4ECA" w:rsidRPr="004B208C"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300</w:t>
            </w:r>
            <w:r w:rsidR="008D6C3F">
              <w:rPr>
                <w:rFonts w:cs="Tahoma"/>
                <w:szCs w:val="18"/>
              </w:rPr>
              <w:t>.</w:t>
            </w:r>
            <w:r w:rsidRPr="004B208C">
              <w:rPr>
                <w:rFonts w:cs="Tahoma"/>
                <w:szCs w:val="18"/>
              </w:rPr>
              <w:t>000 – 599</w:t>
            </w:r>
            <w:r w:rsidR="008D6C3F">
              <w:rPr>
                <w:rFonts w:cs="Tahoma"/>
                <w:szCs w:val="18"/>
              </w:rPr>
              <w:t>.</w:t>
            </w:r>
            <w:r w:rsidRPr="004B208C">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10</w:t>
            </w:r>
          </w:p>
        </w:tc>
      </w:tr>
      <w:tr w:rsidR="000D4ECA" w:rsidRPr="004B208C"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600</w:t>
            </w:r>
            <w:r w:rsidR="008D6C3F">
              <w:rPr>
                <w:rFonts w:cs="Tahoma"/>
                <w:szCs w:val="18"/>
              </w:rPr>
              <w:t>.</w:t>
            </w:r>
            <w:r w:rsidRPr="004B208C">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4B208C" w:rsidRDefault="000D4ECA" w:rsidP="009539FE">
            <w:pPr>
              <w:spacing w:after="50"/>
              <w:jc w:val="center"/>
              <w:rPr>
                <w:rFonts w:cs="Tahoma"/>
                <w:szCs w:val="18"/>
              </w:rPr>
            </w:pPr>
            <w:r w:rsidRPr="004B208C">
              <w:rPr>
                <w:rFonts w:cs="Tahoma"/>
                <w:szCs w:val="18"/>
              </w:rPr>
              <w:t>12</w:t>
            </w:r>
          </w:p>
        </w:tc>
      </w:tr>
    </w:tbl>
    <w:p w:rsidR="000D4ECA" w:rsidRPr="004B208C" w:rsidRDefault="000D4ECA" w:rsidP="000D4ECA">
      <w:pPr>
        <w:spacing w:after="60"/>
        <w:rPr>
          <w:rFonts w:cs="Tahoma"/>
        </w:rPr>
      </w:pPr>
      <w:r w:rsidRPr="004B208C">
        <w:rPr>
          <w:rFonts w:cs="Tahoma"/>
          <w:szCs w:val="20"/>
        </w:rPr>
        <w:t>Exemplos</w:t>
      </w:r>
    </w:p>
    <w:p w:rsidR="000D4ECA" w:rsidRPr="004B208C" w:rsidRDefault="000D4ECA" w:rsidP="000D4ECA">
      <w:pPr>
        <w:spacing w:after="60"/>
        <w:rPr>
          <w:rFonts w:cs="Tahoma"/>
        </w:rPr>
      </w:pPr>
      <w:r w:rsidRPr="004B208C">
        <w:rPr>
          <w:rFonts w:cs="Tahoma"/>
          <w:szCs w:val="20"/>
        </w:rPr>
        <w:t>Contrato Open Value com:</w:t>
      </w:r>
    </w:p>
    <w:p w:rsidR="000D4ECA" w:rsidRPr="004B208C" w:rsidRDefault="000D4ECA" w:rsidP="000D4ECA">
      <w:pPr>
        <w:spacing w:after="60"/>
        <w:rPr>
          <w:rFonts w:cs="Tahoma"/>
        </w:rPr>
      </w:pPr>
      <w:r w:rsidRPr="004B208C">
        <w:rPr>
          <w:rFonts w:cs="Tahoma"/>
          <w:szCs w:val="20"/>
        </w:rPr>
        <w:t>150 L&amp;SA do Office Professional Plus</w:t>
      </w:r>
    </w:p>
    <w:p w:rsidR="000D4ECA" w:rsidRPr="004B208C" w:rsidRDefault="000D4ECA" w:rsidP="000D4ECA">
      <w:pPr>
        <w:spacing w:after="60"/>
        <w:rPr>
          <w:rFonts w:cs="Tahoma"/>
        </w:rPr>
      </w:pPr>
      <w:r w:rsidRPr="004B208C">
        <w:rPr>
          <w:rFonts w:cs="Tahoma"/>
          <w:szCs w:val="20"/>
          <w:u w:val="single"/>
        </w:rPr>
        <w:t>+ 50 SA do Visio Standard</w:t>
      </w:r>
      <w:r w:rsidRPr="004B208C">
        <w:rPr>
          <w:rFonts w:cs="Tahoma"/>
          <w:szCs w:val="20"/>
          <w:u w:val="single"/>
        </w:rPr>
        <w:tab/>
      </w:r>
    </w:p>
    <w:p w:rsidR="000D4ECA" w:rsidRPr="004B208C" w:rsidRDefault="000D4ECA" w:rsidP="000D4ECA">
      <w:pPr>
        <w:spacing w:after="60"/>
        <w:rPr>
          <w:rFonts w:cs="Tahoma"/>
        </w:rPr>
      </w:pPr>
      <w:r w:rsidRPr="004B208C">
        <w:rPr>
          <w:rFonts w:cs="Tahoma"/>
          <w:szCs w:val="20"/>
        </w:rPr>
        <w:t>200 Pontos Cobertos de Licenças de Aplicativos e/ou Servidores Office = 1 dia</w:t>
      </w:r>
    </w:p>
    <w:p w:rsidR="000D4ECA" w:rsidRPr="009539FE" w:rsidRDefault="000D4ECA" w:rsidP="00077CE5">
      <w:pPr>
        <w:rPr>
          <w:rFonts w:cs="Tahoma"/>
          <w:sz w:val="16"/>
          <w:szCs w:val="16"/>
        </w:rPr>
      </w:pPr>
    </w:p>
    <w:p w:rsidR="000D4ECA" w:rsidRPr="004B208C" w:rsidRDefault="000D4ECA" w:rsidP="000D4ECA">
      <w:pPr>
        <w:spacing w:after="60"/>
        <w:rPr>
          <w:rFonts w:cs="Tahoma"/>
        </w:rPr>
      </w:pPr>
      <w:r w:rsidRPr="004B208C">
        <w:rPr>
          <w:rFonts w:cs="Tahoma"/>
          <w:szCs w:val="20"/>
        </w:rPr>
        <w:t>Registro Select ou Select Plus do SAM com:</w:t>
      </w:r>
    </w:p>
    <w:p w:rsidR="000D4ECA" w:rsidRPr="004B208C" w:rsidRDefault="000D4ECA" w:rsidP="000D4ECA">
      <w:pPr>
        <w:spacing w:after="60"/>
        <w:rPr>
          <w:rFonts w:cs="Tahoma"/>
        </w:rPr>
      </w:pPr>
      <w:r w:rsidRPr="004B208C">
        <w:rPr>
          <w:rFonts w:cs="Tahoma"/>
          <w:szCs w:val="20"/>
        </w:rPr>
        <w:t>3.500 SA de Pacote CAL Empresarial</w:t>
      </w:r>
    </w:p>
    <w:p w:rsidR="000D4ECA" w:rsidRPr="004B208C" w:rsidRDefault="000D4ECA" w:rsidP="000D4ECA">
      <w:pPr>
        <w:spacing w:after="60"/>
        <w:rPr>
          <w:rFonts w:cs="Tahoma"/>
        </w:rPr>
      </w:pPr>
      <w:r w:rsidRPr="004B208C">
        <w:rPr>
          <w:rFonts w:cs="Tahoma"/>
          <w:szCs w:val="20"/>
          <w:u w:val="single"/>
        </w:rPr>
        <w:t>x 2 pontos cada</w:t>
      </w:r>
      <w:r w:rsidRPr="004B208C">
        <w:rPr>
          <w:rFonts w:cs="Tahoma"/>
          <w:szCs w:val="20"/>
          <w:u w:val="single"/>
        </w:rPr>
        <w:tab/>
      </w:r>
      <w:r w:rsidRPr="004B208C">
        <w:rPr>
          <w:rFonts w:cs="Tahoma"/>
          <w:szCs w:val="20"/>
          <w:u w:val="single"/>
        </w:rPr>
        <w:tab/>
      </w:r>
      <w:r w:rsidRPr="004B208C">
        <w:rPr>
          <w:rFonts w:cs="Tahoma"/>
          <w:szCs w:val="20"/>
        </w:rPr>
        <w:t xml:space="preserve"> </w:t>
      </w:r>
    </w:p>
    <w:p w:rsidR="000D4ECA" w:rsidRPr="004B208C" w:rsidRDefault="000D4ECA" w:rsidP="000D4ECA">
      <w:pPr>
        <w:spacing w:after="60"/>
        <w:rPr>
          <w:rFonts w:cs="Tahoma"/>
        </w:rPr>
      </w:pPr>
      <w:r w:rsidRPr="004B208C">
        <w:rPr>
          <w:rFonts w:cs="Tahoma"/>
          <w:szCs w:val="20"/>
        </w:rPr>
        <w:t xml:space="preserve">7.000 pontos de CAL = 3 dias </w:t>
      </w:r>
    </w:p>
    <w:p w:rsidR="000D4ECA" w:rsidRPr="004B208C" w:rsidRDefault="000D4ECA" w:rsidP="000D4ECA">
      <w:pPr>
        <w:spacing w:after="60"/>
        <w:rPr>
          <w:rFonts w:cs="Tahoma"/>
        </w:rPr>
      </w:pPr>
      <w:r w:rsidRPr="004B208C">
        <w:rPr>
          <w:rFonts w:cs="Tahoma"/>
          <w:szCs w:val="20"/>
        </w:rPr>
        <w:lastRenderedPageBreak/>
        <w:t>Registro EA com:</w:t>
      </w:r>
    </w:p>
    <w:p w:rsidR="000D4ECA" w:rsidRPr="004B208C" w:rsidRDefault="000D4ECA" w:rsidP="000D4ECA">
      <w:pPr>
        <w:spacing w:after="60"/>
        <w:rPr>
          <w:rFonts w:cs="Tahoma"/>
        </w:rPr>
      </w:pPr>
      <w:r w:rsidRPr="004B208C">
        <w:rPr>
          <w:rFonts w:cs="Tahoma"/>
          <w:szCs w:val="20"/>
        </w:rPr>
        <w:t>3.500 Desktops Empresariais</w:t>
      </w:r>
    </w:p>
    <w:p w:rsidR="000D4ECA" w:rsidRPr="004B208C" w:rsidRDefault="000D4ECA" w:rsidP="00A1385C">
      <w:pPr>
        <w:numPr>
          <w:ilvl w:val="0"/>
          <w:numId w:val="68"/>
        </w:numPr>
        <w:tabs>
          <w:tab w:val="left" w:pos="720"/>
        </w:tabs>
        <w:spacing w:after="60" w:line="276" w:lineRule="auto"/>
        <w:rPr>
          <w:rFonts w:cs="Tahoma"/>
        </w:rPr>
      </w:pPr>
      <w:r w:rsidRPr="004B208C">
        <w:rPr>
          <w:rFonts w:cs="Tahoma"/>
          <w:szCs w:val="20"/>
        </w:rPr>
        <w:t xml:space="preserve">3.500 Office Professional </w:t>
      </w:r>
      <w:r w:rsidRPr="004B208C">
        <w:rPr>
          <w:rFonts w:cs="Tahoma"/>
          <w:color w:val="000000"/>
          <w:szCs w:val="20"/>
        </w:rPr>
        <w:t>Plus</w:t>
      </w:r>
    </w:p>
    <w:p w:rsidR="000D4ECA" w:rsidRPr="004B208C" w:rsidRDefault="000D4ECA" w:rsidP="00A1385C">
      <w:pPr>
        <w:numPr>
          <w:ilvl w:val="0"/>
          <w:numId w:val="68"/>
        </w:numPr>
        <w:spacing w:after="60" w:line="276" w:lineRule="auto"/>
        <w:rPr>
          <w:rFonts w:cs="Tahoma"/>
        </w:rPr>
      </w:pPr>
      <w:r w:rsidRPr="004B208C">
        <w:rPr>
          <w:rFonts w:cs="Tahoma"/>
          <w:color w:val="000000"/>
          <w:szCs w:val="20"/>
        </w:rPr>
        <w:t>3.500 Pacotes CAL Empresarial</w:t>
      </w:r>
    </w:p>
    <w:p w:rsidR="000D4ECA" w:rsidRPr="004B208C" w:rsidRDefault="000D4ECA" w:rsidP="000D4ECA">
      <w:pPr>
        <w:spacing w:after="60"/>
        <w:rPr>
          <w:rFonts w:cs="Tahoma"/>
        </w:rPr>
      </w:pPr>
      <w:r w:rsidRPr="004B208C">
        <w:rPr>
          <w:rFonts w:cs="Tahoma"/>
          <w:szCs w:val="20"/>
        </w:rPr>
        <w:t>+50 Windows Server Enterprise Edition (x 50 pontos cada = 2.500 pontos)</w:t>
      </w:r>
    </w:p>
    <w:p w:rsidR="000D4ECA" w:rsidRPr="004B208C" w:rsidRDefault="000D4ECA" w:rsidP="000D4ECA">
      <w:pPr>
        <w:spacing w:after="60"/>
        <w:rPr>
          <w:rFonts w:cs="Tahoma"/>
        </w:rPr>
      </w:pPr>
      <w:r w:rsidRPr="004B208C">
        <w:rPr>
          <w:rFonts w:cs="Tahoma"/>
          <w:szCs w:val="20"/>
          <w:u w:val="single"/>
        </w:rPr>
        <w:t>+ 600 SA do Visio Standard</w:t>
      </w:r>
      <w:r w:rsidRPr="004B208C">
        <w:rPr>
          <w:rFonts w:cs="Tahoma"/>
          <w:szCs w:val="20"/>
          <w:u w:val="single"/>
        </w:rPr>
        <w:tab/>
      </w:r>
    </w:p>
    <w:p w:rsidR="000D4ECA" w:rsidRPr="004B208C" w:rsidRDefault="000D4ECA" w:rsidP="000D4ECA">
      <w:pPr>
        <w:spacing w:after="60"/>
        <w:rPr>
          <w:rFonts w:cs="Tahoma"/>
        </w:rPr>
      </w:pPr>
      <w:r w:rsidRPr="004B208C">
        <w:rPr>
          <w:rFonts w:cs="Tahoma"/>
          <w:szCs w:val="20"/>
        </w:rPr>
        <w:t xml:space="preserve">6.600 Pontos Cobertos de Licenças de Aplicativos e/ou Servidores Office = 10 dias </w:t>
      </w:r>
    </w:p>
    <w:p w:rsidR="000D4ECA" w:rsidRPr="004B208C" w:rsidRDefault="000D4ECA" w:rsidP="000D4ECA">
      <w:pPr>
        <w:spacing w:after="60"/>
        <w:rPr>
          <w:rFonts w:cs="Tahoma"/>
        </w:rPr>
      </w:pPr>
      <w:r w:rsidRPr="004B208C">
        <w:rPr>
          <w:rFonts w:cs="Tahoma"/>
          <w:szCs w:val="20"/>
        </w:rPr>
        <w:t>7.000 pontos de Pacote CAL com Cobertura = 3 dias</w:t>
      </w:r>
    </w:p>
    <w:p w:rsidR="000D4ECA" w:rsidRPr="004B208C" w:rsidRDefault="000D4ECA" w:rsidP="00A1385C">
      <w:pPr>
        <w:numPr>
          <w:ilvl w:val="0"/>
          <w:numId w:val="69"/>
        </w:numPr>
        <w:spacing w:after="60"/>
        <w:ind w:left="720"/>
        <w:rPr>
          <w:rFonts w:cs="Tahoma"/>
        </w:rPr>
      </w:pPr>
      <w:r w:rsidRPr="004B208C">
        <w:rPr>
          <w:rFonts w:cs="Tahoma"/>
          <w:szCs w:val="20"/>
        </w:rPr>
        <w:t>Total de 13 Dias de Serviços de Planejamento</w:t>
      </w:r>
    </w:p>
    <w:p w:rsidR="00697E59" w:rsidRPr="004B208C" w:rsidRDefault="00697E59" w:rsidP="00077CE5">
      <w:pPr>
        <w:ind w:firstLine="360"/>
        <w:rPr>
          <w:rFonts w:cs="Tahoma"/>
        </w:rPr>
      </w:pPr>
    </w:p>
    <w:p w:rsidR="00023FE7" w:rsidRPr="008D6C3F" w:rsidRDefault="00023FE7" w:rsidP="00F528E5">
      <w:pPr>
        <w:pStyle w:val="AppendixBodyText"/>
        <w:spacing w:after="0"/>
        <w:rPr>
          <w:rFonts w:ascii="Tahoma" w:hAnsi="Tahoma" w:cs="Tahoma"/>
          <w:sz w:val="18"/>
          <w:szCs w:val="18"/>
        </w:rPr>
      </w:pPr>
      <w:r w:rsidRPr="008D6C3F">
        <w:rPr>
          <w:rFonts w:ascii="Tahoma" w:hAnsi="Tahoma" w:cs="Tahoma"/>
          <w:sz w:val="18"/>
          <w:szCs w:val="18"/>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w:t>
      </w:r>
      <w:r w:rsidR="00172F11" w:rsidRPr="008D6C3F">
        <w:rPr>
          <w:rFonts w:ascii="Tahoma" w:hAnsi="Tahoma" w:cs="Tahoma"/>
          <w:sz w:val="18"/>
          <w:szCs w:val="18"/>
        </w:rPr>
        <w:t xml:space="preserve"> </w:t>
      </w:r>
      <w:r w:rsidRPr="008D6C3F">
        <w:rPr>
          <w:rFonts w:ascii="Tahoma" w:hAnsi="Tahoma" w:cs="Tahoma"/>
          <w:sz w:val="18"/>
          <w:szCs w:val="18"/>
        </w:rPr>
        <w:t>Os clientes qualificados podem converter os dias não</w:t>
      </w:r>
      <w:r w:rsidR="008D6C3F" w:rsidRPr="008D6C3F">
        <w:rPr>
          <w:rFonts w:ascii="Tahoma" w:hAnsi="Tahoma" w:cs="Tahoma"/>
          <w:sz w:val="18"/>
          <w:szCs w:val="18"/>
        </w:rPr>
        <w:t> </w:t>
      </w:r>
      <w:r w:rsidRPr="008D6C3F">
        <w:rPr>
          <w:rFonts w:ascii="Tahoma" w:hAnsi="Tahoma" w:cs="Tahoma"/>
          <w:sz w:val="18"/>
          <w:szCs w:val="18"/>
        </w:rPr>
        <w:t xml:space="preserve">utilizados do Cupom de Treinamento em dias do Serviço de Planejamento em uma proporção 3:1 (três dias de Cupom de Treinamento = um dia de Serviços de Planejamento). </w:t>
      </w:r>
      <w:r w:rsidRPr="008D6C3F">
        <w:rPr>
          <w:rFonts w:ascii="Tahoma" w:hAnsi="Tahoma" w:cs="Tahoma"/>
          <w:bCs/>
          <w:sz w:val="18"/>
          <w:szCs w:val="18"/>
        </w:rPr>
        <w:t>OBSERVAÇÃO: os clientes que desejarem usar seus dias do Cupom de Treinamento em Serviços de Planejamento não devem criar Cupons de Treinamento com esses dias. [</w:t>
      </w:r>
      <w:r w:rsidRPr="008D6C3F">
        <w:rPr>
          <w:rFonts w:ascii="Tahoma" w:hAnsi="Tahoma" w:cs="Tahoma"/>
          <w:sz w:val="18"/>
          <w:szCs w:val="18"/>
        </w:rPr>
        <w:t>Os dias dos Serviços de Planejamento</w:t>
      </w:r>
      <w:r w:rsidRPr="008D6C3F">
        <w:rPr>
          <w:rFonts w:ascii="Tahoma" w:hAnsi="Tahoma" w:cs="Tahoma"/>
          <w:bCs/>
          <w:sz w:val="18"/>
          <w:szCs w:val="18"/>
        </w:rPr>
        <w:t xml:space="preserve"> não podem ser convertidos em dias do Cupom de Treinamento.] Entretanto, se um cliente desejar reverter uma conversão de dias do Cupom de Treinamento, os dias dos Serviços de</w:t>
      </w:r>
      <w:r w:rsidR="008D6C3F" w:rsidRPr="008D6C3F">
        <w:rPr>
          <w:rFonts w:ascii="Tahoma" w:hAnsi="Tahoma" w:cs="Tahoma"/>
          <w:bCs/>
          <w:sz w:val="18"/>
          <w:szCs w:val="18"/>
        </w:rPr>
        <w:t> </w:t>
      </w:r>
      <w:r w:rsidRPr="008D6C3F">
        <w:rPr>
          <w:rFonts w:ascii="Tahoma" w:hAnsi="Tahoma" w:cs="Tahoma"/>
          <w:bCs/>
          <w:sz w:val="18"/>
          <w:szCs w:val="18"/>
        </w:rPr>
        <w:t>Planejamento deverão ser convertidos de volta em dias do Cupom de Treinamento. Após a conversão de dias do Cupom de Treinamento em dias de Serviços de Planejamento, os dias de Serviços de Planejamento serão exibidos no</w:t>
      </w:r>
      <w:r w:rsidR="008D6C3F" w:rsidRPr="008D6C3F">
        <w:rPr>
          <w:rFonts w:ascii="Tahoma" w:hAnsi="Tahoma" w:cs="Tahoma"/>
          <w:bCs/>
          <w:sz w:val="18"/>
          <w:szCs w:val="18"/>
        </w:rPr>
        <w:t> </w:t>
      </w:r>
      <w:r w:rsidRPr="008D6C3F">
        <w:rPr>
          <w:rFonts w:ascii="Tahoma" w:hAnsi="Tahoma" w:cs="Tahoma"/>
          <w:bCs/>
          <w:sz w:val="18"/>
          <w:szCs w:val="18"/>
        </w:rPr>
        <w:t>pool de dias de Serviços de Planejamento do cliente.</w:t>
      </w:r>
      <w:r w:rsidR="00172F11" w:rsidRPr="008D6C3F">
        <w:rPr>
          <w:rFonts w:ascii="Tahoma" w:hAnsi="Tahoma" w:cs="Tahoma"/>
          <w:bCs/>
          <w:sz w:val="18"/>
          <w:szCs w:val="18"/>
        </w:rPr>
        <w:t xml:space="preserve"> </w:t>
      </w:r>
      <w:r w:rsidRPr="008D6C3F">
        <w:rPr>
          <w:rFonts w:ascii="Tahoma" w:hAnsi="Tahoma" w:cs="Tahoma"/>
          <w:bCs/>
          <w:sz w:val="18"/>
          <w:szCs w:val="18"/>
        </w:rPr>
        <w:t>Esses dias poderão ser usados para criar cupom(ns) para serviços disponíveis (como o DDPS ou o SDPS).</w:t>
      </w:r>
      <w:r w:rsidR="00172F11" w:rsidRPr="008D6C3F">
        <w:rPr>
          <w:rFonts w:ascii="Tahoma" w:hAnsi="Tahoma" w:cs="Tahoma"/>
          <w:bCs/>
          <w:sz w:val="18"/>
          <w:szCs w:val="18"/>
        </w:rPr>
        <w:t xml:space="preserve"> </w:t>
      </w:r>
      <w:r w:rsidRPr="008D6C3F">
        <w:rPr>
          <w:rFonts w:ascii="Tahoma" w:hAnsi="Tahoma" w:cs="Tahoma"/>
          <w:bCs/>
          <w:sz w:val="18"/>
          <w:szCs w:val="18"/>
        </w:rPr>
        <w:t>*A qualificação dos clientes para converter dias de volta em dias</w:t>
      </w:r>
      <w:r w:rsidR="008D6C3F" w:rsidRPr="008D6C3F">
        <w:rPr>
          <w:rFonts w:ascii="Tahoma" w:hAnsi="Tahoma" w:cs="Tahoma"/>
          <w:bCs/>
          <w:sz w:val="18"/>
          <w:szCs w:val="18"/>
        </w:rPr>
        <w:t> </w:t>
      </w:r>
      <w:r w:rsidRPr="008D6C3F">
        <w:rPr>
          <w:rFonts w:ascii="Tahoma" w:hAnsi="Tahoma" w:cs="Tahoma"/>
          <w:bCs/>
          <w:sz w:val="18"/>
          <w:szCs w:val="18"/>
        </w:rPr>
        <w:t>de</w:t>
      </w:r>
      <w:r w:rsidR="008D6C3F" w:rsidRPr="008D6C3F">
        <w:rPr>
          <w:rFonts w:ascii="Tahoma" w:hAnsi="Tahoma" w:cs="Tahoma"/>
          <w:bCs/>
          <w:sz w:val="18"/>
          <w:szCs w:val="18"/>
        </w:rPr>
        <w:t> </w:t>
      </w:r>
      <w:r w:rsidRPr="008D6C3F">
        <w:rPr>
          <w:rFonts w:ascii="Tahoma" w:hAnsi="Tahoma" w:cs="Tahoma"/>
          <w:bCs/>
          <w:sz w:val="18"/>
          <w:szCs w:val="18"/>
        </w:rPr>
        <w:t>Cupom de Treinamento é limitada com base no número de dias disponíveis no nível Dias de Serviços de</w:t>
      </w:r>
      <w:r w:rsidR="008D6C3F" w:rsidRPr="008D6C3F">
        <w:rPr>
          <w:rFonts w:ascii="Tahoma" w:hAnsi="Tahoma" w:cs="Tahoma"/>
          <w:bCs/>
          <w:sz w:val="18"/>
          <w:szCs w:val="18"/>
        </w:rPr>
        <w:t> </w:t>
      </w:r>
      <w:r w:rsidRPr="008D6C3F">
        <w:rPr>
          <w:rFonts w:ascii="Tahoma" w:hAnsi="Tahoma" w:cs="Tahoma"/>
          <w:bCs/>
          <w:sz w:val="18"/>
          <w:szCs w:val="18"/>
        </w:rPr>
        <w:t>Planejamento.</w:t>
      </w:r>
      <w:r w:rsidR="00172F11" w:rsidRPr="008D6C3F">
        <w:rPr>
          <w:rFonts w:ascii="Tahoma" w:hAnsi="Tahoma" w:cs="Tahoma"/>
          <w:bCs/>
          <w:sz w:val="18"/>
          <w:szCs w:val="18"/>
        </w:rPr>
        <w:t xml:space="preserve"> </w:t>
      </w:r>
      <w:r w:rsidRPr="008D6C3F">
        <w:rPr>
          <w:rFonts w:ascii="Tahoma" w:hAnsi="Tahoma" w:cs="Tahoma"/>
          <w:bCs/>
          <w:sz w:val="18"/>
          <w:szCs w:val="18"/>
        </w:rPr>
        <w:t>Se um cliente desejar converter de volta 10 dias, mas houver apenas 8 Dias de Serviços de Planejamento em seu pool, ele poderá converter apenas 8 dias.</w:t>
      </w:r>
      <w:r w:rsidR="00172F11" w:rsidRPr="008D6C3F">
        <w:rPr>
          <w:rFonts w:ascii="Tahoma" w:hAnsi="Tahoma" w:cs="Tahoma"/>
          <w:bCs/>
          <w:sz w:val="18"/>
          <w:szCs w:val="18"/>
        </w:rPr>
        <w:t xml:space="preserve"> </w:t>
      </w:r>
    </w:p>
    <w:p w:rsidR="00F528E5" w:rsidRPr="008D6C3F" w:rsidRDefault="00F528E5" w:rsidP="00F528E5">
      <w:pPr>
        <w:pStyle w:val="AppendixBodyText"/>
        <w:spacing w:after="0"/>
        <w:rPr>
          <w:rFonts w:ascii="Tahoma" w:hAnsi="Tahoma" w:cs="Tahoma"/>
          <w:sz w:val="18"/>
          <w:szCs w:val="18"/>
        </w:rPr>
      </w:pPr>
    </w:p>
    <w:p w:rsidR="00023FE7" w:rsidRPr="008D6C3F" w:rsidRDefault="00023FE7" w:rsidP="00F528E5">
      <w:pPr>
        <w:pStyle w:val="AppendixBodyText"/>
        <w:spacing w:after="0"/>
        <w:rPr>
          <w:rFonts w:ascii="Tahoma" w:hAnsi="Tahoma" w:cs="Tahoma"/>
          <w:spacing w:val="-2"/>
          <w:sz w:val="18"/>
          <w:szCs w:val="18"/>
        </w:rPr>
      </w:pPr>
      <w:r w:rsidRPr="008D6C3F">
        <w:rPr>
          <w:rFonts w:ascii="Tahoma" w:hAnsi="Tahoma" w:cs="Tahoma"/>
          <w:bCs/>
          <w:spacing w:val="-2"/>
          <w:sz w:val="18"/>
          <w:szCs w:val="18"/>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rsidR="00023FE7" w:rsidRPr="008D6C3F" w:rsidRDefault="00023FE7" w:rsidP="00077CE5">
      <w:pPr>
        <w:pStyle w:val="AppendixBodyText"/>
        <w:spacing w:after="0"/>
        <w:rPr>
          <w:rFonts w:ascii="Tahoma" w:hAnsi="Tahoma" w:cs="Tahoma"/>
          <w:sz w:val="18"/>
          <w:szCs w:val="18"/>
        </w:rPr>
      </w:pPr>
    </w:p>
    <w:p w:rsidR="00023FE7" w:rsidRPr="008D6C3F" w:rsidRDefault="000D4ECA">
      <w:pPr>
        <w:pStyle w:val="AppendixBodyText"/>
        <w:rPr>
          <w:rFonts w:ascii="Tahoma" w:hAnsi="Tahoma" w:cs="Tahoma"/>
          <w:sz w:val="18"/>
          <w:szCs w:val="18"/>
        </w:rPr>
      </w:pPr>
      <w:r w:rsidRPr="008D6C3F">
        <w:rPr>
          <w:rFonts w:ascii="Tahoma" w:hAnsi="Tahoma" w:cs="Tahoma"/>
          <w:sz w:val="18"/>
          <w:szCs w:val="18"/>
        </w:rPr>
        <w:t>Os Serviços de Planejamento podem ser fornecidos ao cliente por Parceiros da Microsoft ou Serviços de Consultoria Microsoft qualificados.</w:t>
      </w:r>
      <w:r w:rsidR="00172F11" w:rsidRPr="008D6C3F">
        <w:rPr>
          <w:rFonts w:ascii="Tahoma" w:hAnsi="Tahoma" w:cs="Tahoma"/>
          <w:sz w:val="18"/>
          <w:szCs w:val="18"/>
        </w:rPr>
        <w:t xml:space="preserve"> </w:t>
      </w:r>
      <w:r w:rsidRPr="008D6C3F">
        <w:rPr>
          <w:rFonts w:ascii="Tahoma" w:hAnsi="Tahoma" w:cs="Tahoma"/>
          <w:sz w:val="18"/>
          <w:szCs w:val="18"/>
        </w:rPr>
        <w:t xml:space="preserve">Um cliente pode visualizar a lista de Provedores Qualificados aqui: </w:t>
      </w:r>
      <w:r w:rsidR="008D6C3F">
        <w:rPr>
          <w:rFonts w:ascii="Tahoma" w:hAnsi="Tahoma" w:cs="Tahoma"/>
          <w:sz w:val="18"/>
        </w:rPr>
        <w:t>http://directory.partners.extranet.microsoft.com/psbproviders</w:t>
      </w:r>
      <w:r w:rsidR="00172F11" w:rsidRPr="008D6C3F">
        <w:rPr>
          <w:rFonts w:ascii="Tahoma" w:hAnsi="Tahoma" w:cs="Tahoma"/>
          <w:sz w:val="18"/>
          <w:szCs w:val="18"/>
        </w:rPr>
        <w:t xml:space="preserve"> </w:t>
      </w:r>
    </w:p>
    <w:p w:rsidR="00EC05F0" w:rsidRPr="008D6C3F" w:rsidRDefault="00EC05F0">
      <w:pPr>
        <w:rPr>
          <w:rFonts w:cs="Tahoma"/>
          <w:szCs w:val="18"/>
        </w:rPr>
      </w:pPr>
    </w:p>
    <w:p w:rsidR="00023FE7" w:rsidRPr="008D6C3F" w:rsidRDefault="000D4ECA" w:rsidP="005A141F">
      <w:pPr>
        <w:pStyle w:val="AppendixBodyText"/>
        <w:spacing w:after="0"/>
        <w:rPr>
          <w:rFonts w:ascii="Tahoma" w:hAnsi="Tahoma" w:cs="Tahoma"/>
          <w:sz w:val="18"/>
          <w:szCs w:val="18"/>
        </w:rPr>
      </w:pPr>
      <w:r w:rsidRPr="008D6C3F">
        <w:rPr>
          <w:rFonts w:ascii="Tahoma" w:hAnsi="Tahoma" w:cs="Tahoma"/>
          <w:sz w:val="18"/>
          <w:szCs w:val="18"/>
        </w:rPr>
        <w:t>Os compromissos de Serviços de Planejamento fornecem uma consultoria que abrange um escopo de trabalho predefinido que resulta em um plano de implantação de alto nível; a implantação real do software não pode ser</w:t>
      </w:r>
      <w:r w:rsidR="008D6C3F">
        <w:rPr>
          <w:rFonts w:ascii="Tahoma" w:hAnsi="Tahoma" w:cs="Tahoma"/>
          <w:sz w:val="18"/>
          <w:szCs w:val="18"/>
        </w:rPr>
        <w:t> </w:t>
      </w:r>
      <w:r w:rsidRPr="008D6C3F">
        <w:rPr>
          <w:rFonts w:ascii="Tahoma" w:hAnsi="Tahoma" w:cs="Tahoma"/>
          <w:sz w:val="18"/>
          <w:szCs w:val="18"/>
        </w:rPr>
        <w:t>incluída.</w:t>
      </w:r>
    </w:p>
    <w:p w:rsidR="00023FE7" w:rsidRPr="008D6C3F" w:rsidRDefault="00023FE7" w:rsidP="005A141F">
      <w:pPr>
        <w:pStyle w:val="AppendixBodyText"/>
        <w:spacing w:after="0"/>
        <w:rPr>
          <w:rFonts w:ascii="Tahoma" w:hAnsi="Tahoma" w:cs="Tahoma"/>
          <w:sz w:val="18"/>
          <w:szCs w:val="18"/>
        </w:rPr>
      </w:pPr>
    </w:p>
    <w:p w:rsidR="00AC1997" w:rsidRPr="008D6C3F" w:rsidRDefault="000D4ECA" w:rsidP="002F529F">
      <w:pPr>
        <w:pStyle w:val="AppendixBodyText"/>
        <w:numPr>
          <w:ilvl w:val="0"/>
          <w:numId w:val="1"/>
        </w:numPr>
        <w:tabs>
          <w:tab w:val="clear" w:pos="720"/>
          <w:tab w:val="num" w:pos="1440"/>
        </w:tabs>
        <w:ind w:left="1440"/>
        <w:rPr>
          <w:rFonts w:ascii="Tahoma" w:hAnsi="Tahoma" w:cs="Tahoma"/>
          <w:sz w:val="18"/>
          <w:szCs w:val="18"/>
        </w:rPr>
      </w:pPr>
      <w:r w:rsidRPr="008D6C3F">
        <w:rPr>
          <w:rFonts w:ascii="Tahoma" w:hAnsi="Tahoma" w:cs="Tahoma"/>
          <w:bCs/>
          <w:sz w:val="18"/>
          <w:szCs w:val="18"/>
        </w:rPr>
        <w:t>Os Serviços de Planejamento não estão disponíveis em todos os idiomas.</w:t>
      </w:r>
    </w:p>
    <w:p w:rsidR="00AC1997" w:rsidRPr="008D6C3F" w:rsidRDefault="000D4ECA" w:rsidP="002F529F">
      <w:pPr>
        <w:pStyle w:val="AppendixBodyText"/>
        <w:numPr>
          <w:ilvl w:val="0"/>
          <w:numId w:val="1"/>
        </w:numPr>
        <w:tabs>
          <w:tab w:val="clear" w:pos="720"/>
          <w:tab w:val="num" w:pos="1440"/>
        </w:tabs>
        <w:ind w:left="1440"/>
        <w:rPr>
          <w:rFonts w:ascii="Tahoma" w:hAnsi="Tahoma" w:cs="Tahoma"/>
          <w:sz w:val="18"/>
          <w:szCs w:val="18"/>
        </w:rPr>
      </w:pPr>
      <w:r w:rsidRPr="008D6C3F">
        <w:rPr>
          <w:rFonts w:ascii="Tahoma" w:hAnsi="Tahoma" w:cs="Tahoma"/>
          <w:bCs/>
          <w:color w:val="000000"/>
          <w:sz w:val="18"/>
          <w:szCs w:val="18"/>
        </w:rPr>
        <w:t>Os cupons dos Serviços de Planejamento podem ser resgatados apenas pelo cliente que estiver qualificado para o benefício.</w:t>
      </w:r>
    </w:p>
    <w:p w:rsidR="00AC1997" w:rsidRPr="008D6C3F" w:rsidRDefault="000D4ECA" w:rsidP="002F529F">
      <w:pPr>
        <w:pStyle w:val="AppendixBodyText"/>
        <w:numPr>
          <w:ilvl w:val="0"/>
          <w:numId w:val="1"/>
        </w:numPr>
        <w:tabs>
          <w:tab w:val="clear" w:pos="720"/>
          <w:tab w:val="num" w:pos="1440"/>
        </w:tabs>
        <w:ind w:left="1440"/>
        <w:rPr>
          <w:rFonts w:ascii="Tahoma" w:hAnsi="Tahoma" w:cs="Tahoma"/>
          <w:sz w:val="18"/>
          <w:szCs w:val="18"/>
        </w:rPr>
      </w:pPr>
      <w:r w:rsidRPr="008D6C3F">
        <w:rPr>
          <w:rFonts w:ascii="Tahoma" w:hAnsi="Tahoma" w:cs="Tahoma"/>
          <w:bCs/>
          <w:color w:val="000000"/>
          <w:sz w:val="18"/>
          <w:szCs w:val="18"/>
        </w:rPr>
        <w:t>Os cupons dos Serviços de Planejamento não podem ser trocados por dinheiro, valores nem outras considerações de valor.</w:t>
      </w:r>
    </w:p>
    <w:p w:rsidR="00AC1997" w:rsidRPr="008D6C3F" w:rsidRDefault="00AC1997" w:rsidP="002F529F">
      <w:pPr>
        <w:pStyle w:val="AppendixBodyText"/>
        <w:numPr>
          <w:ilvl w:val="0"/>
          <w:numId w:val="1"/>
        </w:numPr>
        <w:tabs>
          <w:tab w:val="clear" w:pos="720"/>
          <w:tab w:val="num" w:pos="1440"/>
        </w:tabs>
        <w:ind w:left="1440"/>
        <w:rPr>
          <w:rFonts w:ascii="Tahoma" w:hAnsi="Tahoma" w:cs="Tahoma"/>
          <w:sz w:val="18"/>
          <w:szCs w:val="18"/>
        </w:rPr>
      </w:pPr>
      <w:r w:rsidRPr="008D6C3F">
        <w:rPr>
          <w:rFonts w:ascii="Tahoma" w:hAnsi="Tahoma" w:cs="Tahoma"/>
          <w:bCs/>
          <w:color w:val="000000"/>
          <w:sz w:val="18"/>
          <w:szCs w:val="18"/>
        </w:rPr>
        <w:t xml:space="preserve">Os clientes que estiverem interessados em adquirir serviços adicionais além desses cobertos pelo </w:t>
      </w:r>
      <w:r w:rsidRPr="008D6C3F">
        <w:rPr>
          <w:rFonts w:ascii="Tahoma" w:hAnsi="Tahoma" w:cs="Tahoma"/>
          <w:color w:val="000000"/>
          <w:sz w:val="18"/>
          <w:szCs w:val="18"/>
        </w:rPr>
        <w:t>escopo do trabalho do compromisso de cupom atribuído (conforme definido pelo tipo de cupom e</w:t>
      </w:r>
      <w:r w:rsidR="008D6C3F">
        <w:rPr>
          <w:rFonts w:ascii="Tahoma" w:hAnsi="Tahoma" w:cs="Tahoma"/>
          <w:color w:val="000000"/>
          <w:sz w:val="18"/>
          <w:szCs w:val="18"/>
        </w:rPr>
        <w:t> </w:t>
      </w:r>
      <w:r w:rsidRPr="008D6C3F">
        <w:rPr>
          <w:rFonts w:ascii="Tahoma" w:hAnsi="Tahoma" w:cs="Tahoma"/>
          <w:color w:val="000000"/>
          <w:sz w:val="18"/>
          <w:szCs w:val="18"/>
        </w:rPr>
        <w:t>nível de serviço)</w:t>
      </w:r>
      <w:r w:rsidRPr="008D6C3F">
        <w:rPr>
          <w:rFonts w:ascii="Tahoma" w:hAnsi="Tahoma" w:cs="Tahoma"/>
          <w:bCs/>
          <w:color w:val="000000"/>
          <w:sz w:val="18"/>
          <w:szCs w:val="18"/>
        </w:rPr>
        <w:t xml:space="preserve"> devem pagar a seus provedores fora desse programa.</w:t>
      </w:r>
    </w:p>
    <w:p w:rsidR="00AC1997" w:rsidRPr="008D6C3F" w:rsidRDefault="00AC1997" w:rsidP="002F529F">
      <w:pPr>
        <w:pStyle w:val="AppendixBodyText"/>
        <w:numPr>
          <w:ilvl w:val="0"/>
          <w:numId w:val="1"/>
        </w:numPr>
        <w:tabs>
          <w:tab w:val="clear" w:pos="720"/>
          <w:tab w:val="num" w:pos="1440"/>
        </w:tabs>
        <w:ind w:left="1440"/>
        <w:rPr>
          <w:rFonts w:ascii="Tahoma" w:hAnsi="Tahoma" w:cs="Tahoma"/>
          <w:sz w:val="18"/>
          <w:szCs w:val="18"/>
        </w:rPr>
      </w:pPr>
      <w:r w:rsidRPr="008D6C3F">
        <w:rPr>
          <w:rFonts w:ascii="Tahoma" w:hAnsi="Tahoma" w:cs="Tahoma"/>
          <w:color w:val="000000"/>
          <w:sz w:val="18"/>
          <w:szCs w:val="18"/>
        </w:rPr>
        <w:t>A redução d</w:t>
      </w:r>
      <w:r w:rsidRPr="008D6C3F">
        <w:rPr>
          <w:rFonts w:ascii="Tahoma" w:hAnsi="Tahoma" w:cs="Tahoma"/>
          <w:bCs/>
          <w:color w:val="000000"/>
          <w:sz w:val="18"/>
          <w:szCs w:val="18"/>
        </w:rPr>
        <w:t>a</w:t>
      </w:r>
      <w:r w:rsidRPr="008D6C3F">
        <w:rPr>
          <w:rFonts w:ascii="Tahoma" w:hAnsi="Tahoma" w:cs="Tahoma"/>
          <w:color w:val="000000"/>
          <w:sz w:val="18"/>
          <w:szCs w:val="18"/>
        </w:rPr>
        <w:t xml:space="preserve"> cobertura do SA qualificada como um resultado de devoluções e outros ajustes de cobrança</w:t>
      </w:r>
      <w:r w:rsidRPr="008D6C3F">
        <w:rPr>
          <w:rFonts w:ascii="Tahoma" w:hAnsi="Tahoma" w:cs="Tahoma"/>
          <w:bCs/>
          <w:color w:val="000000"/>
          <w:sz w:val="18"/>
          <w:szCs w:val="18"/>
        </w:rPr>
        <w:t>,</w:t>
      </w:r>
      <w:r w:rsidRPr="008D6C3F">
        <w:rPr>
          <w:rFonts w:ascii="Tahoma" w:hAnsi="Tahoma" w:cs="Tahoma"/>
          <w:color w:val="000000"/>
          <w:sz w:val="18"/>
          <w:szCs w:val="18"/>
        </w:rPr>
        <w:t xml:space="preserve"> quando permitidos, </w:t>
      </w:r>
      <w:r w:rsidRPr="008D6C3F">
        <w:rPr>
          <w:rFonts w:ascii="Tahoma" w:hAnsi="Tahoma" w:cs="Tahoma"/>
          <w:bCs/>
          <w:color w:val="000000"/>
          <w:sz w:val="18"/>
          <w:szCs w:val="18"/>
        </w:rPr>
        <w:t>pode</w:t>
      </w:r>
      <w:r w:rsidRPr="008D6C3F">
        <w:rPr>
          <w:rFonts w:ascii="Tahoma" w:hAnsi="Tahoma" w:cs="Tahoma"/>
          <w:color w:val="000000"/>
          <w:sz w:val="18"/>
          <w:szCs w:val="18"/>
        </w:rPr>
        <w:t xml:space="preserve"> diminuir os dias de qualificação dos Serviços de Planejamento do </w:t>
      </w:r>
      <w:r w:rsidRPr="008D6C3F">
        <w:rPr>
          <w:rFonts w:ascii="Tahoma" w:hAnsi="Tahoma" w:cs="Tahoma"/>
          <w:bCs/>
          <w:color w:val="000000"/>
          <w:sz w:val="18"/>
          <w:szCs w:val="18"/>
        </w:rPr>
        <w:t>cliente.</w:t>
      </w:r>
    </w:p>
    <w:p w:rsidR="00762183" w:rsidRPr="008D6C3F" w:rsidRDefault="00AC1997" w:rsidP="00346F4B">
      <w:pPr>
        <w:pStyle w:val="AppendixBodyText"/>
        <w:numPr>
          <w:ilvl w:val="0"/>
          <w:numId w:val="22"/>
        </w:numPr>
        <w:tabs>
          <w:tab w:val="num" w:pos="1440"/>
        </w:tabs>
        <w:ind w:left="1440"/>
        <w:rPr>
          <w:rFonts w:ascii="Tahoma" w:hAnsi="Tahoma" w:cs="Tahoma"/>
          <w:sz w:val="18"/>
          <w:szCs w:val="18"/>
        </w:rPr>
      </w:pPr>
      <w:r w:rsidRPr="008D6C3F">
        <w:rPr>
          <w:rFonts w:ascii="Tahoma" w:hAnsi="Tahoma" w:cs="Tahoma"/>
          <w:bCs/>
          <w:color w:val="000000"/>
          <w:sz w:val="18"/>
          <w:szCs w:val="18"/>
        </w:rPr>
        <w:t xml:space="preserve">Os cupons são válidos apenas com </w:t>
      </w:r>
      <w:r w:rsidRPr="008D6C3F">
        <w:rPr>
          <w:rFonts w:ascii="Tahoma" w:hAnsi="Tahoma" w:cs="Tahoma"/>
          <w:color w:val="000000"/>
          <w:sz w:val="18"/>
          <w:szCs w:val="18"/>
        </w:rPr>
        <w:t xml:space="preserve">Provedores qualificados </w:t>
      </w:r>
      <w:r w:rsidRPr="008D6C3F">
        <w:rPr>
          <w:rFonts w:ascii="Tahoma" w:hAnsi="Tahoma" w:cs="Tahoma"/>
          <w:bCs/>
          <w:color w:val="000000"/>
          <w:sz w:val="18"/>
          <w:szCs w:val="18"/>
        </w:rPr>
        <w:t>para o tipo de serviço específico para o</w:t>
      </w:r>
      <w:r w:rsidR="008D6C3F">
        <w:rPr>
          <w:rFonts w:ascii="Tahoma" w:hAnsi="Tahoma" w:cs="Tahoma"/>
          <w:bCs/>
          <w:color w:val="000000"/>
          <w:sz w:val="18"/>
          <w:szCs w:val="18"/>
        </w:rPr>
        <w:t> </w:t>
      </w:r>
      <w:r w:rsidRPr="008D6C3F">
        <w:rPr>
          <w:rFonts w:ascii="Tahoma" w:hAnsi="Tahoma" w:cs="Tahoma"/>
          <w:bCs/>
          <w:color w:val="000000"/>
          <w:sz w:val="18"/>
          <w:szCs w:val="18"/>
        </w:rPr>
        <w:t xml:space="preserve">qual o cupom está sendo resgatado. </w:t>
      </w:r>
      <w:r w:rsidRPr="008D6C3F">
        <w:rPr>
          <w:rFonts w:ascii="Tahoma" w:hAnsi="Tahoma" w:cs="Tahoma"/>
          <w:color w:val="000000"/>
          <w:sz w:val="18"/>
          <w:szCs w:val="18"/>
        </w:rPr>
        <w:t>O cupom pode ser usado com qualquer Provedor qualificado de todo o mundo. A participação pode variar.</w:t>
      </w:r>
    </w:p>
    <w:p w:rsidR="0083748D" w:rsidRPr="008D6C3F" w:rsidRDefault="0083748D" w:rsidP="002F529F">
      <w:pPr>
        <w:pStyle w:val="AppendixBodyText"/>
        <w:numPr>
          <w:ilvl w:val="0"/>
          <w:numId w:val="1"/>
        </w:numPr>
        <w:tabs>
          <w:tab w:val="clear" w:pos="720"/>
          <w:tab w:val="num" w:pos="1440"/>
        </w:tabs>
        <w:ind w:left="1440"/>
        <w:rPr>
          <w:rFonts w:ascii="Tahoma" w:hAnsi="Tahoma" w:cs="Tahoma"/>
          <w:sz w:val="18"/>
          <w:szCs w:val="18"/>
        </w:rPr>
      </w:pPr>
      <w:r w:rsidRPr="008D6C3F">
        <w:rPr>
          <w:rFonts w:ascii="Tahoma" w:hAnsi="Tahoma" w:cs="Tahoma"/>
          <w:color w:val="000000"/>
          <w:sz w:val="18"/>
          <w:szCs w:val="18"/>
        </w:rPr>
        <w:t>Os cupons devem ser atribuídos durante o período de cobertura do Software Assurance.</w:t>
      </w:r>
    </w:p>
    <w:p w:rsidR="0083748D" w:rsidRPr="008D6C3F" w:rsidRDefault="0083748D" w:rsidP="002F529F">
      <w:pPr>
        <w:pStyle w:val="AppendixBodyText"/>
        <w:numPr>
          <w:ilvl w:val="0"/>
          <w:numId w:val="1"/>
        </w:numPr>
        <w:tabs>
          <w:tab w:val="clear" w:pos="720"/>
          <w:tab w:val="num" w:pos="1440"/>
        </w:tabs>
        <w:ind w:left="1440"/>
        <w:rPr>
          <w:rFonts w:ascii="Tahoma" w:hAnsi="Tahoma" w:cs="Tahoma"/>
          <w:sz w:val="18"/>
          <w:szCs w:val="18"/>
        </w:rPr>
      </w:pPr>
      <w:r w:rsidRPr="008D6C3F">
        <w:rPr>
          <w:rFonts w:ascii="Tahoma" w:hAnsi="Tahoma" w:cs="Tahoma"/>
          <w:color w:val="000000"/>
          <w:sz w:val="18"/>
          <w:szCs w:val="18"/>
        </w:rPr>
        <w:lastRenderedPageBreak/>
        <w:t>Os cupons expiram após 180 dias da data de atribuição do cupom, independentemente da data de</w:t>
      </w:r>
      <w:r w:rsidR="008D6C3F">
        <w:rPr>
          <w:rFonts w:ascii="Tahoma" w:hAnsi="Tahoma" w:cs="Tahoma"/>
          <w:color w:val="000000"/>
          <w:sz w:val="18"/>
          <w:szCs w:val="18"/>
        </w:rPr>
        <w:t> </w:t>
      </w:r>
      <w:r w:rsidRPr="008D6C3F">
        <w:rPr>
          <w:rFonts w:ascii="Tahoma" w:hAnsi="Tahoma" w:cs="Tahoma"/>
          <w:color w:val="000000"/>
          <w:sz w:val="18"/>
          <w:szCs w:val="18"/>
        </w:rPr>
        <w:t>término da cobertura do Software Assurance. Todos os serviços devem ser entregues (cupom resgatado) antes da data de término do cupom. Os cupons que se encerrarem antes da data de término da cobertura do Software Assurance serão retornados para o pool de dias disponível dos Serviços de Planejamento.</w:t>
      </w:r>
    </w:p>
    <w:p w:rsidR="00AC1997" w:rsidRPr="008D6C3F" w:rsidRDefault="00AC1997" w:rsidP="002F529F">
      <w:pPr>
        <w:pStyle w:val="AppendixBodyText"/>
        <w:numPr>
          <w:ilvl w:val="0"/>
          <w:numId w:val="21"/>
        </w:numPr>
        <w:tabs>
          <w:tab w:val="num" w:pos="1440"/>
        </w:tabs>
        <w:rPr>
          <w:rFonts w:ascii="Tahoma" w:hAnsi="Tahoma" w:cs="Tahoma"/>
          <w:sz w:val="18"/>
          <w:szCs w:val="18"/>
        </w:rPr>
      </w:pPr>
      <w:r w:rsidRPr="008D6C3F">
        <w:rPr>
          <w:rFonts w:ascii="Tahoma" w:hAnsi="Tahoma" w:cs="Tahoma"/>
          <w:bCs/>
          <w:color w:val="000000"/>
          <w:sz w:val="18"/>
          <w:szCs w:val="18"/>
        </w:rPr>
        <w:t>A Microsoft não é responsável por cupons perdidos, roubados ou utilizados indevidamente.</w:t>
      </w:r>
    </w:p>
    <w:p w:rsidR="00AC1997" w:rsidRPr="008D6C3F" w:rsidRDefault="00AC1997" w:rsidP="002F529F">
      <w:pPr>
        <w:pStyle w:val="AppendixBodyText"/>
        <w:numPr>
          <w:ilvl w:val="0"/>
          <w:numId w:val="21"/>
        </w:numPr>
        <w:tabs>
          <w:tab w:val="num" w:pos="1440"/>
        </w:tabs>
        <w:rPr>
          <w:rFonts w:ascii="Tahoma" w:hAnsi="Tahoma" w:cs="Tahoma"/>
          <w:sz w:val="18"/>
          <w:szCs w:val="18"/>
        </w:rPr>
      </w:pPr>
      <w:r w:rsidRPr="008D6C3F">
        <w:rPr>
          <w:rFonts w:ascii="Tahoma" w:hAnsi="Tahoma" w:cs="Tahoma"/>
          <w:bCs/>
          <w:color w:val="000000"/>
          <w:sz w:val="18"/>
          <w:szCs w:val="18"/>
        </w:rPr>
        <w:t xml:space="preserve">Os serviços fornecidos sob cupons são </w:t>
      </w:r>
      <w:r w:rsidRPr="008D6C3F">
        <w:rPr>
          <w:rFonts w:ascii="Tahoma" w:hAnsi="Tahoma" w:cs="Tahoma"/>
          <w:color w:val="000000"/>
          <w:sz w:val="18"/>
          <w:szCs w:val="18"/>
        </w:rPr>
        <w:t>oferecidos de acordo com um contrato entre o Cliente e o</w:t>
      </w:r>
      <w:r w:rsidR="008D6C3F">
        <w:rPr>
          <w:rFonts w:ascii="Tahoma" w:hAnsi="Tahoma" w:cs="Tahoma"/>
          <w:color w:val="000000"/>
          <w:sz w:val="18"/>
          <w:szCs w:val="18"/>
        </w:rPr>
        <w:t> </w:t>
      </w:r>
      <w:r w:rsidRPr="008D6C3F">
        <w:rPr>
          <w:rFonts w:ascii="Tahoma" w:hAnsi="Tahoma" w:cs="Tahoma"/>
          <w:color w:val="000000"/>
          <w:sz w:val="18"/>
          <w:szCs w:val="18"/>
        </w:rPr>
        <w:t>Provedor Qualificado. A Microsoft não é responsável por nenhum trabalho ou falha da parte do</w:t>
      </w:r>
      <w:r w:rsidR="008D6C3F">
        <w:rPr>
          <w:rFonts w:ascii="Tahoma" w:hAnsi="Tahoma" w:cs="Tahoma"/>
          <w:color w:val="000000"/>
          <w:sz w:val="18"/>
          <w:szCs w:val="18"/>
        </w:rPr>
        <w:t> </w:t>
      </w:r>
      <w:r w:rsidRPr="008D6C3F">
        <w:rPr>
          <w:rFonts w:ascii="Tahoma" w:hAnsi="Tahoma" w:cs="Tahoma"/>
          <w:color w:val="000000"/>
          <w:sz w:val="18"/>
          <w:szCs w:val="18"/>
        </w:rPr>
        <w:t>Provedor Qualificado relacionado aos serviços.</w:t>
      </w:r>
    </w:p>
    <w:p w:rsidR="00F643B6" w:rsidRPr="008D6C3F" w:rsidRDefault="00AC1997" w:rsidP="00A1385C">
      <w:pPr>
        <w:pStyle w:val="AppendixBodyText"/>
        <w:numPr>
          <w:ilvl w:val="0"/>
          <w:numId w:val="70"/>
        </w:numPr>
        <w:rPr>
          <w:rFonts w:ascii="Tahoma" w:hAnsi="Tahoma" w:cs="Tahoma"/>
          <w:sz w:val="18"/>
          <w:szCs w:val="18"/>
        </w:rPr>
      </w:pPr>
      <w:r w:rsidRPr="008D6C3F">
        <w:rPr>
          <w:rFonts w:ascii="Tahoma" w:hAnsi="Tahoma" w:cs="Tahoma"/>
          <w:bCs/>
          <w:color w:val="000000"/>
          <w:sz w:val="18"/>
          <w:szCs w:val="18"/>
        </w:rPr>
        <w:t>Ao aceitar um compromisso de Serviços de Planejamento, os clientes</w:t>
      </w:r>
      <w:r w:rsidRPr="008D6C3F">
        <w:rPr>
          <w:rFonts w:ascii="Tahoma" w:hAnsi="Tahoma" w:cs="Tahoma"/>
          <w:bCs/>
          <w:sz w:val="18"/>
          <w:szCs w:val="18"/>
        </w:rPr>
        <w:t xml:space="preserve"> reconhecem que receberão uma pesquisa na conclusão do compromisso para fins de controle de qualidade.</w:t>
      </w:r>
    </w:p>
    <w:p w:rsidR="0008036A" w:rsidRPr="008D6C3F" w:rsidRDefault="00F643B6" w:rsidP="00A1385C">
      <w:pPr>
        <w:pStyle w:val="AppendixBodyText"/>
        <w:numPr>
          <w:ilvl w:val="0"/>
          <w:numId w:val="70"/>
        </w:numPr>
        <w:rPr>
          <w:rFonts w:ascii="Tahoma" w:hAnsi="Tahoma" w:cs="Tahoma"/>
          <w:sz w:val="18"/>
          <w:szCs w:val="18"/>
        </w:rPr>
      </w:pPr>
      <w:r w:rsidRPr="008D6C3F">
        <w:rPr>
          <w:rFonts w:ascii="Tahoma" w:hAnsi="Tahoma" w:cs="Tahoma"/>
          <w:bCs/>
          <w:color w:val="000000"/>
          <w:sz w:val="18"/>
          <w:szCs w:val="18"/>
        </w:rPr>
        <w:t>As tabelas acima mostram os dias de serviço disponíveis com base em um registro ou contrato integral de 3 anos.</w:t>
      </w:r>
      <w:r w:rsidR="00172F11" w:rsidRPr="008D6C3F">
        <w:rPr>
          <w:rFonts w:ascii="Tahoma" w:hAnsi="Tahoma" w:cs="Tahoma"/>
          <w:bCs/>
          <w:color w:val="000000"/>
          <w:sz w:val="18"/>
          <w:szCs w:val="18"/>
        </w:rPr>
        <w:t xml:space="preserve"> </w:t>
      </w:r>
      <w:r w:rsidRPr="008D6C3F">
        <w:rPr>
          <w:rFonts w:ascii="Tahoma" w:hAnsi="Tahoma" w:cs="Tahoma"/>
          <w:bCs/>
          <w:color w:val="000000"/>
          <w:sz w:val="18"/>
          <w:szCs w:val="18"/>
        </w:rPr>
        <w:t>Os clientes que adquirirem a cobertura do Software Assurance por um ano r</w:t>
      </w:r>
      <w:r w:rsidRPr="008D6C3F">
        <w:rPr>
          <w:rFonts w:ascii="Tahoma" w:hAnsi="Tahoma" w:cs="Tahoma"/>
          <w:color w:val="000000"/>
          <w:sz w:val="18"/>
          <w:szCs w:val="18"/>
        </w:rPr>
        <w:t>eceberão um terço do número declarado de dias de serviço.</w:t>
      </w:r>
      <w:r w:rsidR="00172F11" w:rsidRPr="008D6C3F">
        <w:rPr>
          <w:rFonts w:ascii="Tahoma" w:hAnsi="Tahoma" w:cs="Tahoma"/>
          <w:color w:val="000000"/>
          <w:sz w:val="18"/>
          <w:szCs w:val="18"/>
        </w:rPr>
        <w:t xml:space="preserve"> </w:t>
      </w:r>
      <w:r w:rsidRPr="008D6C3F">
        <w:rPr>
          <w:rFonts w:ascii="Tahoma" w:hAnsi="Tahoma" w:cs="Tahoma"/>
          <w:color w:val="000000"/>
          <w:sz w:val="18"/>
          <w:szCs w:val="18"/>
        </w:rPr>
        <w:t>Os clientes que adquirirem a cobertura do Software Assurance por dois anos receberão dois terços do número declarado de</w:t>
      </w:r>
      <w:r w:rsidR="008D6C3F">
        <w:rPr>
          <w:rFonts w:ascii="Tahoma" w:hAnsi="Tahoma" w:cs="Tahoma"/>
          <w:color w:val="000000"/>
          <w:sz w:val="18"/>
          <w:szCs w:val="18"/>
        </w:rPr>
        <w:t> </w:t>
      </w:r>
      <w:r w:rsidRPr="008D6C3F">
        <w:rPr>
          <w:rFonts w:ascii="Tahoma" w:hAnsi="Tahoma" w:cs="Tahoma"/>
          <w:color w:val="000000"/>
          <w:sz w:val="18"/>
          <w:szCs w:val="18"/>
        </w:rPr>
        <w:t>dias</w:t>
      </w:r>
      <w:r w:rsidR="008D6C3F">
        <w:rPr>
          <w:rFonts w:ascii="Tahoma" w:hAnsi="Tahoma" w:cs="Tahoma"/>
          <w:color w:val="000000"/>
          <w:sz w:val="18"/>
          <w:szCs w:val="18"/>
        </w:rPr>
        <w:t> </w:t>
      </w:r>
      <w:r w:rsidRPr="008D6C3F">
        <w:rPr>
          <w:rFonts w:ascii="Tahoma" w:hAnsi="Tahoma" w:cs="Tahoma"/>
          <w:color w:val="000000"/>
          <w:sz w:val="18"/>
          <w:szCs w:val="18"/>
        </w:rPr>
        <w:t>de serviço.</w:t>
      </w:r>
      <w:r w:rsidR="00172F11" w:rsidRPr="008D6C3F">
        <w:rPr>
          <w:rFonts w:ascii="Tahoma" w:hAnsi="Tahoma" w:cs="Tahoma"/>
          <w:color w:val="000000"/>
          <w:sz w:val="18"/>
          <w:szCs w:val="18"/>
        </w:rPr>
        <w:t xml:space="preserve"> </w:t>
      </w:r>
    </w:p>
    <w:p w:rsidR="0008036A" w:rsidRPr="008D6C3F" w:rsidRDefault="0008036A" w:rsidP="005A141F">
      <w:pPr>
        <w:pStyle w:val="AppendixBodyText"/>
        <w:spacing w:after="0"/>
        <w:rPr>
          <w:rFonts w:ascii="Tahoma" w:hAnsi="Tahoma" w:cs="Tahoma"/>
          <w:sz w:val="18"/>
          <w:szCs w:val="18"/>
        </w:rPr>
      </w:pPr>
    </w:p>
    <w:p w:rsidR="00023FE7" w:rsidRPr="008D6C3F" w:rsidRDefault="00023FE7">
      <w:pPr>
        <w:pStyle w:val="AppendixBodyText"/>
        <w:rPr>
          <w:rFonts w:ascii="Tahoma" w:hAnsi="Tahoma" w:cs="Tahoma"/>
          <w:sz w:val="18"/>
          <w:szCs w:val="18"/>
        </w:rPr>
      </w:pPr>
      <w:r w:rsidRPr="008D6C3F">
        <w:rPr>
          <w:rFonts w:ascii="Tahoma" w:hAnsi="Tahoma" w:cs="Tahoma"/>
          <w:bCs/>
          <w:color w:val="000000"/>
          <w:sz w:val="18"/>
          <w:szCs w:val="18"/>
        </w:rPr>
        <w:t>Os resultados finais preenchidos enviados pelo Provedor Qualificado à Microsoft ao final do compromisso poderão ser</w:t>
      </w:r>
      <w:r w:rsidR="009869F4">
        <w:rPr>
          <w:rFonts w:ascii="Tahoma" w:hAnsi="Tahoma" w:cs="Tahoma"/>
          <w:bCs/>
          <w:color w:val="000000"/>
          <w:sz w:val="18"/>
          <w:szCs w:val="18"/>
        </w:rPr>
        <w:t> </w:t>
      </w:r>
      <w:r w:rsidRPr="008D6C3F">
        <w:rPr>
          <w:rFonts w:ascii="Tahoma" w:hAnsi="Tahoma" w:cs="Tahoma"/>
          <w:bCs/>
          <w:color w:val="000000"/>
          <w:sz w:val="18"/>
          <w:szCs w:val="18"/>
        </w:rPr>
        <w:t>usados para fins de controle de qualidade e compartilhados com a equipe de contas Microsoft do cliente para essa finalidade.</w:t>
      </w:r>
    </w:p>
    <w:p w:rsidR="00023FE7" w:rsidRPr="008D6C3F" w:rsidRDefault="00023FE7" w:rsidP="005A141F">
      <w:pPr>
        <w:pStyle w:val="AppendixBodyText"/>
        <w:spacing w:after="0"/>
        <w:rPr>
          <w:rFonts w:ascii="Tahoma" w:hAnsi="Tahoma" w:cs="Tahoma"/>
          <w:sz w:val="18"/>
          <w:szCs w:val="18"/>
        </w:rPr>
      </w:pPr>
    </w:p>
    <w:p w:rsidR="00023FE7" w:rsidRPr="004B208C" w:rsidRDefault="00023FE7">
      <w:pPr>
        <w:pStyle w:val="Heading3"/>
        <w:rPr>
          <w:rFonts w:ascii="Tahoma" w:hAnsi="Tahoma" w:cs="Tahoma"/>
        </w:rPr>
      </w:pPr>
      <w:bookmarkStart w:id="712" w:name="_Toc328145999"/>
      <w:bookmarkStart w:id="713" w:name="_Toc336338230"/>
      <w:bookmarkStart w:id="714" w:name="_Toc370981345"/>
      <w:r w:rsidRPr="004B208C">
        <w:rPr>
          <w:rFonts w:ascii="Tahoma" w:hAnsi="Tahoma" w:cs="Tahoma"/>
          <w:sz w:val="24"/>
        </w:rPr>
        <w:t>Windows 8 Enterprise</w:t>
      </w:r>
      <w:bookmarkEnd w:id="712"/>
      <w:bookmarkEnd w:id="713"/>
      <w:bookmarkEnd w:id="714"/>
      <w:r w:rsidRPr="004B208C">
        <w:rPr>
          <w:rFonts w:ascii="Tahoma" w:hAnsi="Tahoma" w:cs="Tahoma"/>
          <w:sz w:val="24"/>
        </w:rPr>
        <w:t xml:space="preserve"> </w:t>
      </w:r>
    </w:p>
    <w:p w:rsidR="00023FE7" w:rsidRPr="008D6C3F" w:rsidRDefault="00023FE7" w:rsidP="00077CE5">
      <w:pPr>
        <w:pStyle w:val="AppendixBodyText"/>
        <w:spacing w:after="0"/>
        <w:rPr>
          <w:rFonts w:ascii="Tahoma" w:hAnsi="Tahoma" w:cs="Tahoma"/>
          <w:sz w:val="18"/>
          <w:szCs w:val="18"/>
        </w:rPr>
      </w:pPr>
    </w:p>
    <w:p w:rsidR="005A141F" w:rsidRPr="004B208C" w:rsidRDefault="00324479" w:rsidP="005A141F">
      <w:pPr>
        <w:spacing w:after="60"/>
        <w:jc w:val="both"/>
        <w:rPr>
          <w:rFonts w:cs="Tahoma"/>
        </w:rPr>
      </w:pPr>
      <w:r w:rsidRPr="004B208C">
        <w:rPr>
          <w:rFonts w:cs="Tahoma"/>
          <w:b/>
          <w:szCs w:val="18"/>
        </w:rPr>
        <w:t>Clientes qualificados do Software Assurance</w:t>
      </w:r>
    </w:p>
    <w:p w:rsidR="00324479" w:rsidRPr="008D6C3F" w:rsidRDefault="00324479" w:rsidP="00324479">
      <w:pPr>
        <w:jc w:val="both"/>
        <w:rPr>
          <w:rFonts w:cs="Tahoma"/>
          <w:szCs w:val="18"/>
        </w:rPr>
      </w:pPr>
      <w:r w:rsidRPr="008D6C3F">
        <w:rPr>
          <w:rFonts w:cs="Tahoma"/>
          <w:szCs w:val="18"/>
        </w:rPr>
        <w:t>Os clientes com cobertura do Software Assurance ativa para o sistema operacional de desktop Windows estão qualificados para este benefício. A Cobertura do Software Assurance para o sistema operacional de desktop Windows em um dispositivo licenciado fornece aos clientes a opção de usar o Windows 8 Enterprise em vez do Windows 8 Pro nesse dispositivo.</w:t>
      </w:r>
    </w:p>
    <w:p w:rsidR="00324479" w:rsidRPr="004B208C" w:rsidRDefault="00324479" w:rsidP="00324479">
      <w:pPr>
        <w:jc w:val="both"/>
        <w:rPr>
          <w:rFonts w:cs="Tahoma"/>
        </w:rPr>
      </w:pPr>
    </w:p>
    <w:p w:rsidR="00324479" w:rsidRPr="004B208C" w:rsidRDefault="00324479" w:rsidP="00324479">
      <w:pPr>
        <w:jc w:val="both"/>
        <w:rPr>
          <w:rFonts w:cs="Tahoma"/>
        </w:rPr>
      </w:pPr>
      <w:r w:rsidRPr="004B208C">
        <w:rPr>
          <w:rFonts w:cs="Tahoma"/>
          <w:szCs w:val="18"/>
        </w:rPr>
        <w:t xml:space="preserve">Os clientes qualificados o Software Assurance têm direito de usar o Windows 8 Enterprise conforme descrito nos Direitos de Uso de Produto. Os clientes não podem mover o Windows 8 Enterprise do dispositivo licenciado para outro dispositivo, exceto em conjunção com a reatribuição permitida de sua cobertura do Software Assurance. </w:t>
      </w:r>
    </w:p>
    <w:p w:rsidR="00324479" w:rsidRPr="004B208C" w:rsidRDefault="00324479" w:rsidP="00324479">
      <w:pPr>
        <w:jc w:val="both"/>
        <w:rPr>
          <w:rFonts w:cs="Tahoma"/>
        </w:rPr>
      </w:pPr>
    </w:p>
    <w:p w:rsidR="005A141F" w:rsidRPr="004B208C" w:rsidRDefault="00324479" w:rsidP="00862623">
      <w:pPr>
        <w:keepNext/>
        <w:spacing w:after="60"/>
        <w:jc w:val="both"/>
        <w:rPr>
          <w:rFonts w:cs="Tahoma"/>
        </w:rPr>
      </w:pPr>
      <w:r w:rsidRPr="004B208C">
        <w:rPr>
          <w:rFonts w:cs="Tahoma"/>
          <w:b/>
          <w:szCs w:val="18"/>
        </w:rPr>
        <w:t>Clientes qualificados para os Benefícios de Serviços Online</w:t>
      </w:r>
    </w:p>
    <w:p w:rsidR="00324479" w:rsidRPr="004B208C" w:rsidRDefault="0071258F" w:rsidP="00324479">
      <w:pPr>
        <w:jc w:val="both"/>
        <w:rPr>
          <w:rFonts w:cs="Tahoma"/>
        </w:rPr>
      </w:pPr>
      <w:r w:rsidRPr="004B208C">
        <w:rPr>
          <w:rFonts w:cs="Tahoma"/>
          <w:szCs w:val="18"/>
        </w:rPr>
        <w:t>Os clientes do Windows Intune (Por Dispositivo) têm direito de usar o Windows 8 Enterprise conforme descrito nos Direitos de Uso de Produto. Consulte na seção Notas do Produto desta Lista de Produtos os termos aplicáveis à</w:t>
      </w:r>
      <w:r w:rsidR="009869F4">
        <w:rPr>
          <w:rFonts w:cs="Tahoma"/>
          <w:szCs w:val="18"/>
        </w:rPr>
        <w:t> </w:t>
      </w:r>
      <w:r w:rsidRPr="004B208C">
        <w:rPr>
          <w:rFonts w:cs="Tahoma"/>
          <w:szCs w:val="18"/>
        </w:rPr>
        <w:t>aquisição e reatribuição de licenças do Windows Intune (Por Dispositivo).</w:t>
      </w:r>
    </w:p>
    <w:p w:rsidR="005A141F" w:rsidRPr="004B208C" w:rsidDel="008900EB" w:rsidRDefault="005A141F" w:rsidP="00324479">
      <w:pPr>
        <w:jc w:val="both"/>
        <w:rPr>
          <w:rFonts w:cs="Tahoma"/>
        </w:rPr>
      </w:pPr>
    </w:p>
    <w:p w:rsidR="00324479" w:rsidRPr="004B208C" w:rsidRDefault="00324479" w:rsidP="00324479">
      <w:pPr>
        <w:spacing w:after="60"/>
        <w:rPr>
          <w:rFonts w:cs="Tahoma"/>
        </w:rPr>
      </w:pPr>
      <w:r w:rsidRPr="004B208C">
        <w:rPr>
          <w:rFonts w:cs="Tahoma"/>
          <w:szCs w:val="18"/>
        </w:rPr>
        <w:t>Os clientes do Software Assurance e do Windows Intune (Por Dispositivo) podem usar a edição MUI das versões anteriores do sistema operacional de desktop Windows em vez do Windows 8 Enterprise.</w:t>
      </w:r>
    </w:p>
    <w:p w:rsidR="00870095" w:rsidRPr="008D6C3F" w:rsidRDefault="00870095" w:rsidP="005A141F">
      <w:pPr>
        <w:pStyle w:val="Heading3"/>
        <w:spacing w:after="60"/>
        <w:rPr>
          <w:rFonts w:ascii="Tahoma" w:hAnsi="Tahoma" w:cs="Tahoma"/>
          <w:sz w:val="18"/>
          <w:szCs w:val="18"/>
        </w:rPr>
      </w:pPr>
    </w:p>
    <w:p w:rsidR="008D6C3F" w:rsidRPr="008D6C3F" w:rsidRDefault="008D6C3F" w:rsidP="008D6C3F"/>
    <w:p w:rsidR="00870095" w:rsidRPr="004B208C" w:rsidRDefault="00870095" w:rsidP="005A141F">
      <w:pPr>
        <w:pStyle w:val="Heading3"/>
        <w:spacing w:after="60"/>
        <w:rPr>
          <w:rFonts w:ascii="Tahoma" w:hAnsi="Tahoma" w:cs="Tahoma"/>
        </w:rPr>
      </w:pPr>
      <w:bookmarkStart w:id="715" w:name="_Toc336338231"/>
      <w:bookmarkStart w:id="716" w:name="_Toc370981346"/>
      <w:r w:rsidRPr="004B208C">
        <w:rPr>
          <w:rFonts w:ascii="Tahoma" w:hAnsi="Tahoma" w:cs="Tahoma"/>
          <w:sz w:val="18"/>
        </w:rPr>
        <w:t>Windows 8 Enterprise Sideloading</w:t>
      </w:r>
      <w:bookmarkEnd w:id="715"/>
      <w:bookmarkEnd w:id="716"/>
    </w:p>
    <w:p w:rsidR="00810479" w:rsidRPr="004B208C" w:rsidRDefault="00870095" w:rsidP="00991DD4">
      <w:pPr>
        <w:jc w:val="both"/>
        <w:rPr>
          <w:rFonts w:cs="Tahoma"/>
        </w:rPr>
      </w:pPr>
      <w:r w:rsidRPr="004B208C">
        <w:rPr>
          <w:rFonts w:cs="Tahoma"/>
          <w:szCs w:val="18"/>
        </w:rPr>
        <w:t>Consulte a nota do produto Windows 8 Enterprise Sideloading na seção “Notas do Produto” deste documento.</w:t>
      </w:r>
    </w:p>
    <w:p w:rsidR="00BD1A6A" w:rsidRPr="004B208C" w:rsidRDefault="00BD1A6A">
      <w:pPr>
        <w:rPr>
          <w:rFonts w:cs="Tahoma"/>
        </w:rPr>
      </w:pPr>
      <w:bookmarkStart w:id="717" w:name="_Toc336338232"/>
    </w:p>
    <w:p w:rsidR="00EA1BE9" w:rsidRPr="004B208C" w:rsidRDefault="00EA1BE9" w:rsidP="005A141F">
      <w:pPr>
        <w:pStyle w:val="Heading3"/>
        <w:spacing w:after="60"/>
        <w:rPr>
          <w:rFonts w:ascii="Tahoma" w:hAnsi="Tahoma" w:cs="Tahoma"/>
        </w:rPr>
      </w:pPr>
      <w:bookmarkStart w:id="718" w:name="_Toc370981347"/>
      <w:r w:rsidRPr="004B208C">
        <w:rPr>
          <w:rFonts w:ascii="Tahoma" w:hAnsi="Tahoma" w:cs="Tahoma"/>
          <w:sz w:val="18"/>
        </w:rPr>
        <w:t>Licença de Assinatura do Windows Companion</w:t>
      </w:r>
      <w:bookmarkEnd w:id="717"/>
      <w:bookmarkEnd w:id="718"/>
    </w:p>
    <w:p w:rsidR="00EA1BE9" w:rsidRPr="004B208C" w:rsidRDefault="00EA1BE9" w:rsidP="00870095">
      <w:pPr>
        <w:jc w:val="both"/>
        <w:rPr>
          <w:rFonts w:cs="Tahoma"/>
        </w:rPr>
      </w:pPr>
      <w:r w:rsidRPr="004B208C">
        <w:rPr>
          <w:rFonts w:cs="Tahoma"/>
          <w:szCs w:val="18"/>
        </w:rPr>
        <w:t>Consulte a nota da Licença de Assinatura do Windows Companion na seção “Notas do Produto” deste documento.</w:t>
      </w:r>
    </w:p>
    <w:p w:rsidR="00870095" w:rsidRPr="004B208C" w:rsidRDefault="00870095" w:rsidP="003C56F1">
      <w:pPr>
        <w:jc w:val="both"/>
        <w:rPr>
          <w:rFonts w:cs="Tahoma"/>
        </w:rPr>
      </w:pPr>
    </w:p>
    <w:p w:rsidR="00023FE7" w:rsidRPr="004B208C" w:rsidRDefault="00023FE7">
      <w:pPr>
        <w:pStyle w:val="Heading3"/>
        <w:rPr>
          <w:rFonts w:ascii="Tahoma" w:hAnsi="Tahoma" w:cs="Tahoma"/>
        </w:rPr>
      </w:pPr>
      <w:bookmarkStart w:id="719" w:name="_Toc328146000"/>
      <w:bookmarkStart w:id="720" w:name="_Toc336338233"/>
      <w:bookmarkStart w:id="721" w:name="_Toc370981348"/>
      <w:r w:rsidRPr="004B208C">
        <w:rPr>
          <w:rFonts w:ascii="Tahoma" w:hAnsi="Tahoma" w:cs="Tahoma"/>
          <w:sz w:val="24"/>
        </w:rPr>
        <w:t>Cupons de Treinamento</w:t>
      </w:r>
      <w:bookmarkEnd w:id="719"/>
      <w:bookmarkEnd w:id="720"/>
      <w:bookmarkEnd w:id="721"/>
    </w:p>
    <w:p w:rsidR="00023FE7" w:rsidRPr="008D6C3F" w:rsidRDefault="00023FE7" w:rsidP="003C56F1">
      <w:pPr>
        <w:pStyle w:val="AppendixBodyText"/>
        <w:spacing w:after="0"/>
        <w:rPr>
          <w:rFonts w:ascii="Tahoma" w:hAnsi="Tahoma" w:cs="Tahoma"/>
          <w:sz w:val="18"/>
          <w:szCs w:val="18"/>
        </w:rPr>
      </w:pPr>
    </w:p>
    <w:p w:rsidR="00023FE7" w:rsidRDefault="008A15A8" w:rsidP="00F528E5">
      <w:pPr>
        <w:pStyle w:val="AppendixBodyText"/>
        <w:spacing w:after="0"/>
        <w:rPr>
          <w:rFonts w:ascii="Tahoma" w:hAnsi="Tahoma" w:cs="Tahoma"/>
          <w:sz w:val="18"/>
          <w:szCs w:val="18"/>
        </w:rPr>
      </w:pPr>
      <w:r w:rsidRPr="008D6C3F">
        <w:rPr>
          <w:rFonts w:ascii="Tahoma" w:hAnsi="Tahoma" w:cs="Tahoma"/>
          <w:sz w:val="18"/>
          <w:szCs w:val="18"/>
        </w:rPr>
        <w:t>Os Clientes (que não forem Licença Academic Select, Select Plus para Academic, Open Value Subscription - Soluções Educacionais e Contrato para Campus e School) com Programa de Membros do Software Assurance nos pools de aplicativos ou produtos de sistemas estão qualificados para cupons de treinamento da Microsoft.</w:t>
      </w:r>
      <w:r w:rsidR="00172F11" w:rsidRPr="008D6C3F">
        <w:rPr>
          <w:rFonts w:ascii="Tahoma" w:hAnsi="Tahoma" w:cs="Tahoma"/>
          <w:sz w:val="18"/>
          <w:szCs w:val="18"/>
        </w:rPr>
        <w:t xml:space="preserve"> </w:t>
      </w:r>
      <w:r w:rsidRPr="008D6C3F">
        <w:rPr>
          <w:rFonts w:ascii="Tahoma" w:hAnsi="Tahoma" w:cs="Tahoma"/>
          <w:sz w:val="18"/>
          <w:szCs w:val="18"/>
        </w:rPr>
        <w:t>Esses cupons qualificam os clientes a receberem cursos de um Microsoft Partner com uma Competência em Aprendizagem (Microsoft Learning Partner) por um número específico de dias de treinamento.</w:t>
      </w:r>
      <w:r w:rsidR="00172F11" w:rsidRPr="008D6C3F">
        <w:rPr>
          <w:rFonts w:ascii="Tahoma" w:hAnsi="Tahoma" w:cs="Tahoma"/>
          <w:sz w:val="18"/>
          <w:szCs w:val="18"/>
        </w:rPr>
        <w:t xml:space="preserve"> </w:t>
      </w:r>
      <w:r w:rsidRPr="008D6C3F">
        <w:rPr>
          <w:rFonts w:ascii="Tahoma" w:hAnsi="Tahoma" w:cs="Tahoma"/>
          <w:sz w:val="18"/>
          <w:szCs w:val="18"/>
        </w:rPr>
        <w:t xml:space="preserve">O número de dias concedidos varia </w:t>
      </w:r>
      <w:r w:rsidRPr="008D6C3F">
        <w:rPr>
          <w:rFonts w:ascii="Tahoma" w:hAnsi="Tahoma" w:cs="Tahoma"/>
          <w:sz w:val="18"/>
          <w:szCs w:val="18"/>
        </w:rPr>
        <w:lastRenderedPageBreak/>
        <w:t>por programa e por número de licenças qualificadas para os quais o Software Assurance tiver sido adquirido.</w:t>
      </w:r>
      <w:r w:rsidR="00172F11" w:rsidRPr="008D6C3F">
        <w:rPr>
          <w:rFonts w:ascii="Tahoma" w:hAnsi="Tahoma" w:cs="Tahoma"/>
          <w:sz w:val="18"/>
          <w:szCs w:val="18"/>
        </w:rPr>
        <w:t xml:space="preserve"> </w:t>
      </w:r>
      <w:r w:rsidRPr="008D6C3F">
        <w:rPr>
          <w:rFonts w:ascii="Tahoma" w:hAnsi="Tahoma" w:cs="Tahoma"/>
          <w:sz w:val="18"/>
          <w:szCs w:val="18"/>
        </w:rPr>
        <w:t>Após o</w:t>
      </w:r>
      <w:r w:rsidR="008D6C3F">
        <w:rPr>
          <w:rFonts w:ascii="Tahoma" w:hAnsi="Tahoma" w:cs="Tahoma"/>
          <w:sz w:val="18"/>
          <w:szCs w:val="18"/>
        </w:rPr>
        <w:t> </w:t>
      </w:r>
      <w:r w:rsidRPr="008D6C3F">
        <w:rPr>
          <w:rFonts w:ascii="Tahoma" w:hAnsi="Tahoma" w:cs="Tahoma"/>
          <w:sz w:val="18"/>
          <w:szCs w:val="18"/>
        </w:rPr>
        <w:t>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rsidR="008D6C3F" w:rsidRPr="008D6C3F" w:rsidRDefault="008D6C3F" w:rsidP="00F528E5">
      <w:pPr>
        <w:pStyle w:val="AppendixBodyText"/>
        <w:spacing w:after="0"/>
        <w:rPr>
          <w:rFonts w:ascii="Tahoma" w:hAnsi="Tahoma" w:cs="Tahoma"/>
          <w:sz w:val="18"/>
          <w:szCs w:val="18"/>
        </w:rPr>
      </w:pPr>
    </w:p>
    <w:tbl>
      <w:tblPr>
        <w:tblW w:w="9360"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307"/>
      </w:tblGrid>
      <w:tr w:rsidR="00F76ED4" w:rsidRPr="004B208C" w:rsidTr="008D6C3F">
        <w:trPr>
          <w:cantSplit/>
          <w:trHeight w:val="531"/>
        </w:trPr>
        <w:tc>
          <w:tcPr>
            <w:tcW w:w="2903" w:type="dxa"/>
            <w:shd w:val="clear" w:color="auto" w:fill="FFCC99"/>
            <w:vAlign w:val="center"/>
          </w:tcPr>
          <w:p w:rsidR="00F76ED4" w:rsidRPr="004B208C" w:rsidRDefault="00F76ED4" w:rsidP="008D6C3F">
            <w:pPr>
              <w:pStyle w:val="AppendixTableHeadings"/>
              <w:keepNext/>
              <w:rPr>
                <w:rFonts w:ascii="Tahoma" w:hAnsi="Tahoma" w:cs="Tahoma"/>
                <w:sz w:val="20"/>
                <w:szCs w:val="20"/>
              </w:rPr>
            </w:pPr>
            <w:r w:rsidRPr="004B208C">
              <w:rPr>
                <w:rFonts w:ascii="Tahoma" w:hAnsi="Tahoma" w:cs="Tahoma"/>
                <w:sz w:val="20"/>
                <w:szCs w:val="20"/>
              </w:rPr>
              <w:t>Programa</w:t>
            </w:r>
          </w:p>
        </w:tc>
        <w:tc>
          <w:tcPr>
            <w:tcW w:w="3150" w:type="dxa"/>
            <w:shd w:val="clear" w:color="auto" w:fill="FFCC99"/>
            <w:vAlign w:val="center"/>
          </w:tcPr>
          <w:p w:rsidR="00F76ED4" w:rsidRPr="004B208C" w:rsidRDefault="00F76ED4" w:rsidP="008D6C3F">
            <w:pPr>
              <w:pStyle w:val="AppendixTableHeadings"/>
              <w:keepNext/>
              <w:rPr>
                <w:rFonts w:ascii="Tahoma" w:hAnsi="Tahoma" w:cs="Tahoma"/>
                <w:sz w:val="20"/>
                <w:szCs w:val="20"/>
              </w:rPr>
            </w:pPr>
            <w:r w:rsidRPr="004B208C">
              <w:rPr>
                <w:rFonts w:ascii="Tahoma" w:hAnsi="Tahoma" w:cs="Tahoma"/>
                <w:sz w:val="20"/>
                <w:szCs w:val="20"/>
              </w:rPr>
              <w:t>Produtos do Pool de Aplicativos do Office System</w:t>
            </w:r>
            <w:r w:rsidRPr="004B208C">
              <w:rPr>
                <w:rFonts w:ascii="Tahoma" w:hAnsi="Tahoma" w:cs="Tahoma"/>
                <w:b w:val="0"/>
                <w:i/>
                <w:sz w:val="20"/>
                <w:szCs w:val="20"/>
              </w:rPr>
              <w:t xml:space="preserve"> </w:t>
            </w:r>
          </w:p>
        </w:tc>
        <w:tc>
          <w:tcPr>
            <w:tcW w:w="3307" w:type="dxa"/>
            <w:shd w:val="clear" w:color="auto" w:fill="FFCC99"/>
            <w:vAlign w:val="center"/>
          </w:tcPr>
          <w:p w:rsidR="00F76ED4" w:rsidRPr="004B208C" w:rsidRDefault="00F76ED4" w:rsidP="008D6C3F">
            <w:pPr>
              <w:pStyle w:val="AppendixTableHeadings"/>
              <w:keepNext/>
              <w:rPr>
                <w:rFonts w:ascii="Tahoma" w:hAnsi="Tahoma" w:cs="Tahoma"/>
                <w:sz w:val="20"/>
                <w:szCs w:val="20"/>
              </w:rPr>
            </w:pPr>
            <w:r w:rsidRPr="004B208C">
              <w:rPr>
                <w:rFonts w:ascii="Tahoma" w:hAnsi="Tahoma" w:cs="Tahoma"/>
                <w:sz w:val="20"/>
                <w:szCs w:val="20"/>
              </w:rPr>
              <w:t>Pool de Sistemas</w:t>
            </w:r>
          </w:p>
        </w:tc>
      </w:tr>
      <w:tr w:rsidR="00F76ED4" w:rsidRPr="004B208C" w:rsidTr="008D6C3F">
        <w:trPr>
          <w:cantSplit/>
          <w:trHeight w:val="236"/>
        </w:trPr>
        <w:tc>
          <w:tcPr>
            <w:tcW w:w="2903"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Open Value</w:t>
            </w:r>
          </w:p>
        </w:tc>
        <w:tc>
          <w:tcPr>
            <w:tcW w:w="3150" w:type="dxa"/>
            <w:vAlign w:val="center"/>
          </w:tcPr>
          <w:p w:rsidR="00F76ED4" w:rsidRPr="004B208C" w:rsidRDefault="00F76ED4" w:rsidP="00AF0B14">
            <w:pPr>
              <w:pStyle w:val="AppendixTableText"/>
              <w:keepNext/>
              <w:rPr>
                <w:rFonts w:ascii="Tahoma" w:hAnsi="Tahoma" w:cs="Tahoma"/>
              </w:rPr>
            </w:pPr>
            <w:r w:rsidRPr="004B208C">
              <w:rPr>
                <w:rFonts w:ascii="Tahoma" w:hAnsi="Tahoma" w:cs="Tahoma"/>
              </w:rPr>
              <w:t>2 dias por 50 licenças (máximo</w:t>
            </w:r>
            <w:r w:rsidR="00AF0B14">
              <w:rPr>
                <w:rFonts w:ascii="Tahoma" w:hAnsi="Tahoma" w:cs="Tahoma"/>
              </w:rPr>
              <w:t> </w:t>
            </w:r>
            <w:r w:rsidRPr="004B208C">
              <w:rPr>
                <w:rFonts w:ascii="Tahoma" w:hAnsi="Tahoma" w:cs="Tahoma"/>
              </w:rPr>
              <w:t>de</w:t>
            </w:r>
            <w:r w:rsidR="00AF0B14">
              <w:rPr>
                <w:rFonts w:ascii="Tahoma" w:hAnsi="Tahoma" w:cs="Tahoma"/>
              </w:rPr>
              <w:t> </w:t>
            </w:r>
            <w:r w:rsidRPr="004B208C">
              <w:rPr>
                <w:rFonts w:ascii="Tahoma" w:hAnsi="Tahoma" w:cs="Tahoma"/>
              </w:rPr>
              <w:t>20 dias)</w:t>
            </w: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1 dia por 50 licenças</w:t>
            </w:r>
          </w:p>
          <w:p w:rsidR="00F76ED4" w:rsidRPr="004B208C" w:rsidRDefault="00F76ED4" w:rsidP="008D6C3F">
            <w:pPr>
              <w:pStyle w:val="AppendixTableText"/>
              <w:keepNext/>
              <w:rPr>
                <w:rFonts w:ascii="Tahoma" w:hAnsi="Tahoma" w:cs="Tahoma"/>
              </w:rPr>
            </w:pPr>
            <w:r w:rsidRPr="004B208C">
              <w:rPr>
                <w:rFonts w:ascii="Tahoma" w:hAnsi="Tahoma" w:cs="Tahoma"/>
              </w:rPr>
              <w:t>(máximo de 10 dias)</w:t>
            </w: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8D6C3F">
            <w:pPr>
              <w:pStyle w:val="AppendixTableHeadings"/>
              <w:keepNext/>
              <w:rPr>
                <w:rFonts w:ascii="Tahoma" w:hAnsi="Tahoma" w:cs="Tahoma"/>
                <w:b w:val="0"/>
              </w:rPr>
            </w:pPr>
            <w:r w:rsidRPr="004B208C">
              <w:rPr>
                <w:rFonts w:ascii="Tahoma" w:hAnsi="Tahoma" w:cs="Tahoma"/>
                <w:b w:val="0"/>
              </w:rPr>
              <w:t>1</w:t>
            </w:r>
            <w:r w:rsidR="007D3B3A">
              <w:rPr>
                <w:rFonts w:ascii="Tahoma" w:hAnsi="Tahoma" w:cs="Tahoma"/>
                <w:b w:val="0"/>
              </w:rPr>
              <w:t xml:space="preserve"> </w:t>
            </w:r>
            <w:r w:rsidR="007D3B3A" w:rsidRPr="004B208C">
              <w:rPr>
                <w:rFonts w:ascii="Tahoma" w:hAnsi="Tahoma" w:cs="Tahoma"/>
              </w:rPr>
              <w:t>–</w:t>
            </w:r>
            <w:r w:rsidR="007D3B3A">
              <w:rPr>
                <w:rFonts w:ascii="Tahoma" w:hAnsi="Tahoma" w:cs="Tahoma"/>
              </w:rPr>
              <w:t xml:space="preserve"> </w:t>
            </w:r>
            <w:r w:rsidRPr="004B208C">
              <w:rPr>
                <w:rFonts w:ascii="Tahoma" w:hAnsi="Tahoma" w:cs="Tahoma"/>
                <w:b w:val="0"/>
              </w:rPr>
              <w:t>249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2 dias por 50 licenças</w:t>
            </w: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1 dia por 50 licenças</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Text"/>
              <w:keepNext/>
              <w:rPr>
                <w:rFonts w:ascii="Tahoma" w:hAnsi="Tahoma" w:cs="Tahoma"/>
              </w:rPr>
            </w:pPr>
            <w:r w:rsidRPr="004B208C">
              <w:rPr>
                <w:rFonts w:ascii="Tahoma" w:hAnsi="Tahoma" w:cs="Tahoma"/>
              </w:rPr>
              <w:t>250</w:t>
            </w:r>
            <w:r w:rsidR="007D3B3A">
              <w:rPr>
                <w:rFonts w:ascii="Tahoma" w:hAnsi="Tahoma" w:cs="Tahoma"/>
              </w:rPr>
              <w:t xml:space="preserve"> </w:t>
            </w:r>
            <w:r w:rsidR="007D3B3A" w:rsidRPr="004B208C">
              <w:rPr>
                <w:rFonts w:ascii="Tahoma" w:hAnsi="Tahoma" w:cs="Tahoma"/>
              </w:rPr>
              <w:t>–</w:t>
            </w:r>
            <w:r w:rsidR="007D3B3A">
              <w:rPr>
                <w:rFonts w:ascii="Tahoma" w:hAnsi="Tahoma" w:cs="Tahoma"/>
              </w:rPr>
              <w:t xml:space="preserve"> </w:t>
            </w:r>
            <w:r w:rsidRPr="004B208C">
              <w:rPr>
                <w:rFonts w:ascii="Tahoma" w:hAnsi="Tahoma" w:cs="Tahoma"/>
              </w:rPr>
              <w:t>2</w:t>
            </w:r>
            <w:r w:rsidR="00AF0B14">
              <w:rPr>
                <w:rFonts w:ascii="Tahoma" w:hAnsi="Tahoma" w:cs="Tahoma"/>
              </w:rPr>
              <w:t>.</w:t>
            </w:r>
            <w:r w:rsidRPr="004B208C">
              <w:rPr>
                <w:rFonts w:ascii="Tahoma" w:hAnsi="Tahoma" w:cs="Tahoma"/>
              </w:rPr>
              <w:t xml:space="preserve">399 </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20 dias por</w:t>
            </w:r>
          </w:p>
          <w:p w:rsidR="00F76ED4" w:rsidRPr="004B208C" w:rsidRDefault="00F76ED4" w:rsidP="008D6C3F">
            <w:pPr>
              <w:pStyle w:val="AppendixTableText"/>
              <w:keepNext/>
              <w:rPr>
                <w:rFonts w:ascii="Tahoma" w:hAnsi="Tahoma" w:cs="Tahoma"/>
              </w:rPr>
            </w:pPr>
            <w:r w:rsidRPr="004B208C">
              <w:rPr>
                <w:rFonts w:ascii="Tahoma" w:hAnsi="Tahoma" w:cs="Tahoma"/>
              </w:rPr>
              <w:t>registro aplicável</w:t>
            </w: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10 dias por</w:t>
            </w:r>
          </w:p>
          <w:p w:rsidR="00F76ED4" w:rsidRPr="004B208C" w:rsidRDefault="00F76ED4" w:rsidP="008D6C3F">
            <w:pPr>
              <w:pStyle w:val="AppendixTableText"/>
              <w:keepNext/>
              <w:rPr>
                <w:rFonts w:ascii="Tahoma" w:hAnsi="Tahoma" w:cs="Tahoma"/>
              </w:rPr>
            </w:pPr>
            <w:r w:rsidRPr="004B208C">
              <w:rPr>
                <w:rFonts w:ascii="Tahoma" w:hAnsi="Tahoma" w:cs="Tahoma"/>
              </w:rPr>
              <w:t>registro aplicável</w:t>
            </w: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Text"/>
              <w:keepNext/>
              <w:rPr>
                <w:rFonts w:ascii="Tahoma" w:hAnsi="Tahoma" w:cs="Tahoma"/>
                <w:i/>
              </w:rPr>
            </w:pPr>
            <w:r w:rsidRPr="004B208C">
              <w:rPr>
                <w:rFonts w:ascii="Tahoma" w:hAnsi="Tahoma" w:cs="Tahoma"/>
              </w:rPr>
              <w:t>2</w:t>
            </w:r>
            <w:r w:rsidR="00AF0B14">
              <w:rPr>
                <w:rFonts w:ascii="Tahoma" w:hAnsi="Tahoma" w:cs="Tahoma"/>
              </w:rPr>
              <w:t>.</w:t>
            </w:r>
            <w:r w:rsidRPr="004B208C">
              <w:rPr>
                <w:rFonts w:ascii="Tahoma" w:hAnsi="Tahoma" w:cs="Tahoma"/>
              </w:rPr>
              <w:t>400</w:t>
            </w:r>
            <w:r w:rsidR="007D3B3A">
              <w:rPr>
                <w:rFonts w:ascii="Tahoma" w:hAnsi="Tahoma" w:cs="Tahoma"/>
              </w:rPr>
              <w:t xml:space="preserve"> </w:t>
            </w:r>
            <w:r w:rsidR="007D3B3A" w:rsidRPr="004B208C">
              <w:rPr>
                <w:rFonts w:ascii="Tahoma" w:hAnsi="Tahoma" w:cs="Tahoma"/>
              </w:rPr>
              <w:t>–</w:t>
            </w:r>
            <w:r w:rsidR="007D3B3A">
              <w:rPr>
                <w:rFonts w:ascii="Tahoma" w:hAnsi="Tahoma" w:cs="Tahoma"/>
              </w:rPr>
              <w:t xml:space="preserve"> </w:t>
            </w:r>
            <w:r w:rsidRPr="004B208C">
              <w:rPr>
                <w:rFonts w:ascii="Tahoma" w:hAnsi="Tahoma" w:cs="Tahoma"/>
              </w:rPr>
              <w:t>5</w:t>
            </w:r>
            <w:r w:rsidR="00AF0B14">
              <w:rPr>
                <w:rFonts w:ascii="Tahoma" w:hAnsi="Tahoma" w:cs="Tahoma"/>
              </w:rPr>
              <w:t>.</w:t>
            </w:r>
            <w:r w:rsidRPr="004B208C">
              <w:rPr>
                <w:rFonts w:ascii="Tahoma" w:hAnsi="Tahoma" w:cs="Tahoma"/>
              </w:rPr>
              <w:t>999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30 dias* </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15 dias* </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Text"/>
              <w:keepNext/>
              <w:rPr>
                <w:rFonts w:ascii="Tahoma" w:hAnsi="Tahoma" w:cs="Tahoma"/>
                <w:i/>
              </w:rPr>
            </w:pPr>
            <w:r w:rsidRPr="004B208C">
              <w:rPr>
                <w:rFonts w:ascii="Tahoma" w:hAnsi="Tahoma" w:cs="Tahoma"/>
              </w:rPr>
              <w:t>6</w:t>
            </w:r>
            <w:r w:rsidR="00AF0B14">
              <w:rPr>
                <w:rFonts w:ascii="Tahoma" w:hAnsi="Tahoma" w:cs="Tahoma"/>
              </w:rPr>
              <w:t>.</w:t>
            </w:r>
            <w:r w:rsidRPr="004B208C">
              <w:rPr>
                <w:rFonts w:ascii="Tahoma" w:hAnsi="Tahoma" w:cs="Tahoma"/>
              </w:rPr>
              <w:t>000</w:t>
            </w:r>
            <w:r w:rsidR="007D3B3A">
              <w:rPr>
                <w:rFonts w:ascii="Tahoma" w:hAnsi="Tahoma" w:cs="Tahoma"/>
              </w:rPr>
              <w:t xml:space="preserve"> </w:t>
            </w:r>
            <w:r w:rsidR="007D3B3A" w:rsidRPr="004B208C">
              <w:rPr>
                <w:rFonts w:ascii="Tahoma" w:hAnsi="Tahoma" w:cs="Tahoma"/>
              </w:rPr>
              <w:t>–</w:t>
            </w:r>
            <w:r w:rsidR="007D3B3A">
              <w:rPr>
                <w:rFonts w:ascii="Tahoma" w:hAnsi="Tahoma" w:cs="Tahoma"/>
              </w:rPr>
              <w:t xml:space="preserve"> </w:t>
            </w:r>
            <w:r w:rsidRPr="004B208C">
              <w:rPr>
                <w:rFonts w:ascii="Tahoma" w:hAnsi="Tahoma" w:cs="Tahoma"/>
              </w:rPr>
              <w:t>14</w:t>
            </w:r>
            <w:r w:rsidR="00AF0B14">
              <w:rPr>
                <w:rFonts w:ascii="Tahoma" w:hAnsi="Tahoma" w:cs="Tahoma"/>
              </w:rPr>
              <w:t>.</w:t>
            </w:r>
            <w:r w:rsidRPr="004B208C">
              <w:rPr>
                <w:rFonts w:ascii="Tahoma" w:hAnsi="Tahoma" w:cs="Tahoma"/>
              </w:rPr>
              <w:t>999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50 dias* </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25 dias* </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Text"/>
              <w:keepNext/>
              <w:rPr>
                <w:rFonts w:ascii="Tahoma" w:hAnsi="Tahoma" w:cs="Tahoma"/>
                <w:i/>
              </w:rPr>
            </w:pPr>
            <w:r w:rsidRPr="004B208C">
              <w:rPr>
                <w:rFonts w:ascii="Tahoma" w:hAnsi="Tahoma" w:cs="Tahoma"/>
              </w:rPr>
              <w:t>15</w:t>
            </w:r>
            <w:r w:rsidR="00AF0B14">
              <w:rPr>
                <w:rFonts w:ascii="Tahoma" w:hAnsi="Tahoma" w:cs="Tahoma"/>
              </w:rPr>
              <w:t>.</w:t>
            </w:r>
            <w:r w:rsidRPr="004B208C">
              <w:rPr>
                <w:rFonts w:ascii="Tahoma" w:hAnsi="Tahoma" w:cs="Tahoma"/>
              </w:rPr>
              <w:t>000 – 29</w:t>
            </w:r>
            <w:r w:rsidR="00AF0B14">
              <w:rPr>
                <w:rFonts w:ascii="Tahoma" w:hAnsi="Tahoma" w:cs="Tahoma"/>
              </w:rPr>
              <w:t>.</w:t>
            </w:r>
            <w:r w:rsidRPr="004B208C">
              <w:rPr>
                <w:rFonts w:ascii="Tahoma" w:hAnsi="Tahoma" w:cs="Tahoma"/>
              </w:rPr>
              <w:t>999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110 dias* </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55 dias* </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Text"/>
              <w:keepNext/>
              <w:rPr>
                <w:rFonts w:ascii="Tahoma" w:hAnsi="Tahoma" w:cs="Tahoma"/>
                <w:i/>
              </w:rPr>
            </w:pPr>
            <w:r w:rsidRPr="004B208C">
              <w:rPr>
                <w:rFonts w:ascii="Tahoma" w:hAnsi="Tahoma" w:cs="Tahoma"/>
              </w:rPr>
              <w:t>30</w:t>
            </w:r>
            <w:r w:rsidR="00AF0B14">
              <w:rPr>
                <w:rFonts w:ascii="Tahoma" w:hAnsi="Tahoma" w:cs="Tahoma"/>
              </w:rPr>
              <w:t>.</w:t>
            </w:r>
            <w:r w:rsidRPr="004B208C">
              <w:rPr>
                <w:rFonts w:ascii="Tahoma" w:hAnsi="Tahoma" w:cs="Tahoma"/>
              </w:rPr>
              <w:t>000 – 49</w:t>
            </w:r>
            <w:r w:rsidR="00AF0B14">
              <w:rPr>
                <w:rFonts w:ascii="Tahoma" w:hAnsi="Tahoma" w:cs="Tahoma"/>
              </w:rPr>
              <w:t>.</w:t>
            </w:r>
            <w:r w:rsidRPr="004B208C">
              <w:rPr>
                <w:rFonts w:ascii="Tahoma" w:hAnsi="Tahoma" w:cs="Tahoma"/>
              </w:rPr>
              <w:t>999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160 dias* </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80 dias*</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Text"/>
              <w:keepNext/>
              <w:rPr>
                <w:rFonts w:ascii="Tahoma" w:hAnsi="Tahoma" w:cs="Tahoma"/>
                <w:i/>
              </w:rPr>
            </w:pPr>
            <w:r w:rsidRPr="004B208C">
              <w:rPr>
                <w:rFonts w:ascii="Tahoma" w:hAnsi="Tahoma" w:cs="Tahoma"/>
              </w:rPr>
              <w:t>50</w:t>
            </w:r>
            <w:r w:rsidR="00AF0B14">
              <w:rPr>
                <w:rFonts w:ascii="Tahoma" w:hAnsi="Tahoma" w:cs="Tahoma"/>
              </w:rPr>
              <w:t>.</w:t>
            </w:r>
            <w:r w:rsidRPr="004B208C">
              <w:rPr>
                <w:rFonts w:ascii="Tahoma" w:hAnsi="Tahoma" w:cs="Tahoma"/>
              </w:rPr>
              <w:t>000 – 99</w:t>
            </w:r>
            <w:r w:rsidR="00AF0B14">
              <w:rPr>
                <w:rFonts w:ascii="Tahoma" w:hAnsi="Tahoma" w:cs="Tahoma"/>
              </w:rPr>
              <w:t>.</w:t>
            </w:r>
            <w:r w:rsidRPr="004B208C">
              <w:rPr>
                <w:rFonts w:ascii="Tahoma" w:hAnsi="Tahoma" w:cs="Tahoma"/>
              </w:rPr>
              <w:t>999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250 dias*</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125 dias* </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Headings"/>
              <w:keepNext/>
              <w:rPr>
                <w:rFonts w:ascii="Tahoma" w:hAnsi="Tahoma" w:cs="Tahoma"/>
                <w:b w:val="0"/>
              </w:rPr>
            </w:pPr>
            <w:r w:rsidRPr="004B208C">
              <w:rPr>
                <w:rFonts w:ascii="Tahoma" w:hAnsi="Tahoma" w:cs="Tahoma"/>
                <w:b w:val="0"/>
              </w:rPr>
              <w:t>100</w:t>
            </w:r>
            <w:r w:rsidR="00AF0B14">
              <w:rPr>
                <w:rFonts w:ascii="Tahoma" w:hAnsi="Tahoma" w:cs="Tahoma"/>
                <w:b w:val="0"/>
              </w:rPr>
              <w:t>.</w:t>
            </w:r>
            <w:r w:rsidRPr="004B208C">
              <w:rPr>
                <w:rFonts w:ascii="Tahoma" w:hAnsi="Tahoma" w:cs="Tahoma"/>
                <w:b w:val="0"/>
              </w:rPr>
              <w:t>000 – 199</w:t>
            </w:r>
            <w:r w:rsidR="00AF0B14">
              <w:rPr>
                <w:rFonts w:ascii="Tahoma" w:hAnsi="Tahoma" w:cs="Tahoma"/>
                <w:b w:val="0"/>
              </w:rPr>
              <w:t>.</w:t>
            </w:r>
            <w:r w:rsidRPr="004B208C">
              <w:rPr>
                <w:rFonts w:ascii="Tahoma" w:hAnsi="Tahoma" w:cs="Tahoma"/>
                <w:b w:val="0"/>
              </w:rPr>
              <w:t>999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400 dias*</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200 dias*</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Headings"/>
              <w:keepNext/>
              <w:rPr>
                <w:rFonts w:ascii="Tahoma" w:hAnsi="Tahoma" w:cs="Tahoma"/>
                <w:b w:val="0"/>
              </w:rPr>
            </w:pPr>
            <w:r w:rsidRPr="004B208C">
              <w:rPr>
                <w:rFonts w:ascii="Tahoma" w:hAnsi="Tahoma" w:cs="Tahoma"/>
                <w:b w:val="0"/>
              </w:rPr>
              <w:t>200</w:t>
            </w:r>
            <w:r w:rsidR="00AF0B14">
              <w:rPr>
                <w:rFonts w:ascii="Tahoma" w:hAnsi="Tahoma" w:cs="Tahoma"/>
                <w:b w:val="0"/>
              </w:rPr>
              <w:t>.</w:t>
            </w:r>
            <w:r w:rsidRPr="004B208C">
              <w:rPr>
                <w:rFonts w:ascii="Tahoma" w:hAnsi="Tahoma" w:cs="Tahoma"/>
                <w:b w:val="0"/>
              </w:rPr>
              <w:t>000 – 399</w:t>
            </w:r>
            <w:r w:rsidR="00AF0B14">
              <w:rPr>
                <w:rFonts w:ascii="Tahoma" w:hAnsi="Tahoma" w:cs="Tahoma"/>
                <w:b w:val="0"/>
              </w:rPr>
              <w:t>.</w:t>
            </w:r>
            <w:r w:rsidRPr="004B208C">
              <w:rPr>
                <w:rFonts w:ascii="Tahoma" w:hAnsi="Tahoma" w:cs="Tahoma"/>
                <w:b w:val="0"/>
              </w:rPr>
              <w:t>999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600 dias*</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300 dias*</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Headings"/>
              <w:keepNext/>
              <w:rPr>
                <w:rFonts w:ascii="Tahoma" w:hAnsi="Tahoma" w:cs="Tahoma"/>
                <w:b w:val="0"/>
              </w:rPr>
            </w:pPr>
            <w:r w:rsidRPr="004B208C">
              <w:rPr>
                <w:rFonts w:ascii="Tahoma" w:hAnsi="Tahoma" w:cs="Tahoma"/>
                <w:b w:val="0"/>
              </w:rPr>
              <w:t>400</w:t>
            </w:r>
            <w:r w:rsidR="00AF0B14">
              <w:rPr>
                <w:rFonts w:ascii="Tahoma" w:hAnsi="Tahoma" w:cs="Tahoma"/>
                <w:b w:val="0"/>
              </w:rPr>
              <w:t>.</w:t>
            </w:r>
            <w:r w:rsidRPr="004B208C">
              <w:rPr>
                <w:rFonts w:ascii="Tahoma" w:hAnsi="Tahoma" w:cs="Tahoma"/>
                <w:b w:val="0"/>
              </w:rPr>
              <w:t>000 – 599</w:t>
            </w:r>
            <w:r w:rsidR="00AF0B14">
              <w:rPr>
                <w:rFonts w:ascii="Tahoma" w:hAnsi="Tahoma" w:cs="Tahoma"/>
                <w:b w:val="0"/>
              </w:rPr>
              <w:t>.</w:t>
            </w:r>
            <w:r w:rsidRPr="004B208C">
              <w:rPr>
                <w:rFonts w:ascii="Tahoma" w:hAnsi="Tahoma" w:cs="Tahoma"/>
                <w:b w:val="0"/>
              </w:rPr>
              <w:t>999</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800 dias*</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400 dias*</w:t>
            </w:r>
          </w:p>
          <w:p w:rsidR="00F76ED4" w:rsidRPr="004B208C" w:rsidRDefault="00F76ED4" w:rsidP="008D6C3F">
            <w:pPr>
              <w:pStyle w:val="AppendixTableText"/>
              <w:keepNext/>
              <w:rPr>
                <w:rFonts w:ascii="Tahoma" w:hAnsi="Tahoma" w:cs="Tahoma"/>
              </w:rPr>
            </w:pPr>
          </w:p>
        </w:tc>
      </w:tr>
      <w:tr w:rsidR="00F76ED4" w:rsidRPr="004B208C" w:rsidTr="008D6C3F">
        <w:trPr>
          <w:cantSplit/>
          <w:trHeight w:val="236"/>
        </w:trPr>
        <w:tc>
          <w:tcPr>
            <w:tcW w:w="2903" w:type="dxa"/>
            <w:vAlign w:val="center"/>
          </w:tcPr>
          <w:p w:rsidR="00F76ED4" w:rsidRPr="004B208C" w:rsidRDefault="00F76ED4" w:rsidP="008D6C3F">
            <w:pPr>
              <w:pStyle w:val="AppendixTableHeadings"/>
              <w:keepNext/>
              <w:rPr>
                <w:rFonts w:ascii="Tahoma" w:hAnsi="Tahoma" w:cs="Tahoma"/>
              </w:rPr>
            </w:pPr>
            <w:r w:rsidRPr="004B208C">
              <w:rPr>
                <w:rFonts w:ascii="Tahoma" w:hAnsi="Tahoma" w:cs="Tahoma"/>
                <w:b w:val="0"/>
              </w:rPr>
              <w:t>SAM</w:t>
            </w:r>
          </w:p>
          <w:p w:rsidR="00F76ED4" w:rsidRPr="004B208C" w:rsidRDefault="00F76ED4" w:rsidP="00AF0B14">
            <w:pPr>
              <w:pStyle w:val="AppendixTableHeadings"/>
              <w:keepNext/>
              <w:rPr>
                <w:rFonts w:ascii="Tahoma" w:hAnsi="Tahoma" w:cs="Tahoma"/>
                <w:b w:val="0"/>
              </w:rPr>
            </w:pPr>
            <w:r w:rsidRPr="004B208C">
              <w:rPr>
                <w:rFonts w:ascii="Tahoma" w:hAnsi="Tahoma" w:cs="Tahoma"/>
                <w:b w:val="0"/>
              </w:rPr>
              <w:t>600</w:t>
            </w:r>
            <w:r w:rsidR="00AF0B14">
              <w:rPr>
                <w:rFonts w:ascii="Tahoma" w:hAnsi="Tahoma" w:cs="Tahoma"/>
                <w:b w:val="0"/>
              </w:rPr>
              <w:t>.</w:t>
            </w:r>
            <w:r w:rsidRPr="004B208C">
              <w:rPr>
                <w:rFonts w:ascii="Tahoma" w:hAnsi="Tahoma" w:cs="Tahoma"/>
                <w:b w:val="0"/>
              </w:rPr>
              <w:t>000 +</w:t>
            </w:r>
          </w:p>
        </w:tc>
        <w:tc>
          <w:tcPr>
            <w:tcW w:w="3150"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 xml:space="preserve">1400 dias* </w:t>
            </w:r>
          </w:p>
          <w:p w:rsidR="00F76ED4" w:rsidRPr="004B208C" w:rsidRDefault="00F76ED4" w:rsidP="008D6C3F">
            <w:pPr>
              <w:pStyle w:val="AppendixTableText"/>
              <w:keepNext/>
              <w:rPr>
                <w:rFonts w:ascii="Tahoma" w:hAnsi="Tahoma" w:cs="Tahoma"/>
              </w:rPr>
            </w:pPr>
          </w:p>
        </w:tc>
        <w:tc>
          <w:tcPr>
            <w:tcW w:w="3307" w:type="dxa"/>
            <w:vAlign w:val="center"/>
          </w:tcPr>
          <w:p w:rsidR="00F76ED4" w:rsidRPr="004B208C" w:rsidRDefault="00F76ED4" w:rsidP="008D6C3F">
            <w:pPr>
              <w:pStyle w:val="AppendixTableText"/>
              <w:keepNext/>
              <w:rPr>
                <w:rFonts w:ascii="Tahoma" w:hAnsi="Tahoma" w:cs="Tahoma"/>
              </w:rPr>
            </w:pPr>
            <w:r w:rsidRPr="004B208C">
              <w:rPr>
                <w:rFonts w:ascii="Tahoma" w:hAnsi="Tahoma" w:cs="Tahoma"/>
              </w:rPr>
              <w:t>700 dias*</w:t>
            </w:r>
          </w:p>
          <w:p w:rsidR="00F76ED4" w:rsidRPr="004B208C" w:rsidRDefault="00F76ED4" w:rsidP="008D6C3F">
            <w:pPr>
              <w:pStyle w:val="AppendixTableText"/>
              <w:keepNext/>
              <w:rPr>
                <w:rFonts w:ascii="Tahoma" w:hAnsi="Tahoma" w:cs="Tahoma"/>
              </w:rPr>
            </w:pPr>
          </w:p>
        </w:tc>
      </w:tr>
    </w:tbl>
    <w:p w:rsidR="00E762F8" w:rsidRPr="008D6C3F" w:rsidRDefault="00023FE7">
      <w:pPr>
        <w:pStyle w:val="AppendixFlushBulletedList"/>
        <w:tabs>
          <w:tab w:val="clear" w:pos="360"/>
          <w:tab w:val="num" w:pos="0"/>
        </w:tabs>
        <w:ind w:left="0" w:firstLine="0"/>
        <w:rPr>
          <w:rFonts w:ascii="Tahoma" w:hAnsi="Tahoma" w:cs="Tahoma"/>
          <w:sz w:val="18"/>
          <w:szCs w:val="18"/>
        </w:rPr>
      </w:pPr>
      <w:r w:rsidRPr="008D6C3F">
        <w:rPr>
          <w:rFonts w:ascii="Tahoma" w:hAnsi="Tahoma" w:cs="Tahoma"/>
          <w:sz w:val="18"/>
          <w:szCs w:val="18"/>
        </w:rPr>
        <w:t>O número mínimo de licenças com Software Assurance necessário para a qualificação do Cupom de Treinamento varia por programa.</w:t>
      </w:r>
    </w:p>
    <w:p w:rsidR="00C65D66" w:rsidRPr="004B208C" w:rsidRDefault="00C65D66" w:rsidP="00C65D66">
      <w:pPr>
        <w:tabs>
          <w:tab w:val="left" w:pos="10440"/>
        </w:tabs>
        <w:spacing w:before="120"/>
        <w:ind w:right="306"/>
        <w:rPr>
          <w:rFonts w:cs="Tahoma"/>
        </w:rPr>
      </w:pPr>
      <w:r w:rsidRPr="004B208C">
        <w:rPr>
          <w:rFonts w:eastAsia="Calibri" w:cs="Tahoma"/>
          <w:b/>
          <w:i/>
          <w:color w:val="000000"/>
          <w:sz w:val="16"/>
          <w:szCs w:val="16"/>
        </w:rPr>
        <w:t>Observação:</w:t>
      </w:r>
      <w:r w:rsidRPr="004B208C">
        <w:rPr>
          <w:rFonts w:eastAsia="Calibri" w:cs="Tahoma"/>
          <w:i/>
          <w:color w:val="000000"/>
          <w:sz w:val="16"/>
          <w:szCs w:val="16"/>
        </w:rPr>
        <w:t xml:space="preserve"> créditos de treinamento disponíveis com base em um registro ou contrato integral de 3 anos (consulte a seguir para obter detalhes).</w:t>
      </w:r>
      <w:r w:rsidR="00172F11">
        <w:rPr>
          <w:rFonts w:eastAsia="Calibri" w:cs="Tahoma"/>
          <w:i/>
          <w:color w:val="000000"/>
          <w:sz w:val="16"/>
          <w:szCs w:val="16"/>
        </w:rPr>
        <w:t xml:space="preserve"> </w:t>
      </w:r>
    </w:p>
    <w:p w:rsidR="00C65D66" w:rsidRPr="004B208C" w:rsidRDefault="00C65D66" w:rsidP="00C65D66">
      <w:pPr>
        <w:spacing w:after="60"/>
        <w:rPr>
          <w:rFonts w:cs="Tahoma"/>
        </w:rPr>
      </w:pPr>
      <w:r w:rsidRPr="004B208C">
        <w:rPr>
          <w:rFonts w:eastAsia="Calibri" w:cs="Tahoma"/>
          <w:i/>
          <w:color w:val="000000"/>
          <w:sz w:val="16"/>
          <w:szCs w:val="16"/>
        </w:rPr>
        <w:t>Consulte a tabela com o Aplicativo do Office System</w:t>
      </w:r>
    </w:p>
    <w:p w:rsidR="00EC05F0" w:rsidRPr="004B208C" w:rsidRDefault="00C65D66" w:rsidP="00F76ED4">
      <w:pPr>
        <w:tabs>
          <w:tab w:val="left" w:pos="10440"/>
        </w:tabs>
        <w:ind w:right="302"/>
        <w:rPr>
          <w:rFonts w:cs="Tahoma"/>
        </w:rPr>
      </w:pPr>
      <w:r w:rsidRPr="004B208C">
        <w:rPr>
          <w:rFonts w:eastAsia="Calibri" w:cs="Tahoma"/>
          <w:i/>
          <w:color w:val="000000"/>
          <w:sz w:val="16"/>
          <w:szCs w:val="16"/>
        </w:rPr>
        <w:t>*Número de dias por registro ou contrato aplicável.</w:t>
      </w:r>
    </w:p>
    <w:p w:rsidR="009D26EE" w:rsidRDefault="009D26EE" w:rsidP="003C56F1">
      <w:pPr>
        <w:pStyle w:val="AppendixBodyText"/>
        <w:spacing w:after="0"/>
        <w:rPr>
          <w:rFonts w:ascii="Tahoma" w:hAnsi="Tahoma" w:cs="Tahoma"/>
          <w:sz w:val="18"/>
          <w:szCs w:val="18"/>
        </w:rPr>
      </w:pPr>
    </w:p>
    <w:p w:rsidR="008D6C3F" w:rsidRDefault="008D6C3F" w:rsidP="003C56F1">
      <w:pPr>
        <w:pStyle w:val="AppendixBodyText"/>
        <w:spacing w:after="0"/>
        <w:rPr>
          <w:rFonts w:ascii="Tahoma" w:hAnsi="Tahoma" w:cs="Tahoma"/>
          <w:sz w:val="18"/>
          <w:szCs w:val="18"/>
        </w:rPr>
      </w:pPr>
    </w:p>
    <w:p w:rsidR="008D6C3F" w:rsidRPr="008D6C3F" w:rsidRDefault="008D6C3F" w:rsidP="003C56F1">
      <w:pPr>
        <w:pStyle w:val="AppendixBodyText"/>
        <w:spacing w:after="0"/>
        <w:rPr>
          <w:rFonts w:ascii="Tahoma" w:hAnsi="Tahoma" w:cs="Tahoma"/>
          <w:sz w:val="18"/>
          <w:szCs w:val="18"/>
        </w:rPr>
      </w:pP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Nem todos os cursos estão disponíveis em todos os idiomas.</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As políticas locais estabelecidas por Microsoft Learning Partner se aplicam.</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Gerentes de Benefícios podem revogar um cupom com status atribuído até a data de cancelamento da aula estabelecida pelo Microsoft Learning Partner.</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Todos os dias de curso não cobertos pelo cupom deverão ser pagos pela pessoa que receber o treinamento.</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Todos os dias do cupom em excesso quanto ao número de dias aplicados a uma aula em particular serão devolvidos ao pool de dias disponível para serem reatribuídos pelos Gerentes de Benefícios.</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cursos fornecidos em um formato acelerado exigem um cupom com número de dias equivalente ao número de dias do curso para uma entrega normal do curso.</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lastRenderedPageBreak/>
        <w:t>O cupom pode ser resgatado apenas pelos dias de treinamento ministrados por instrutor com</w:t>
      </w:r>
      <w:r w:rsidR="008D6C3F">
        <w:rPr>
          <w:rFonts w:ascii="Tahoma" w:hAnsi="Tahoma" w:cs="Tahoma"/>
          <w:bCs/>
          <w:sz w:val="18"/>
          <w:szCs w:val="18"/>
        </w:rPr>
        <w:t> </w:t>
      </w:r>
      <w:r w:rsidRPr="008D6C3F">
        <w:rPr>
          <w:rFonts w:ascii="Tahoma" w:hAnsi="Tahoma" w:cs="Tahoma"/>
          <w:bCs/>
          <w:sz w:val="18"/>
          <w:szCs w:val="18"/>
        </w:rPr>
        <w:t>Microsoft Learning Partners qualificados nos cursos aprovados.</w:t>
      </w:r>
      <w:r w:rsidR="00172F11" w:rsidRPr="008D6C3F">
        <w:rPr>
          <w:rFonts w:ascii="Tahoma" w:hAnsi="Tahoma" w:cs="Tahoma"/>
          <w:bCs/>
          <w:sz w:val="18"/>
          <w:szCs w:val="18"/>
        </w:rPr>
        <w:t xml:space="preserve"> </w:t>
      </w:r>
      <w:r w:rsidRPr="008D6C3F">
        <w:rPr>
          <w:rFonts w:ascii="Tahoma" w:hAnsi="Tahoma" w:cs="Tahoma"/>
          <w:bCs/>
          <w:sz w:val="18"/>
          <w:szCs w:val="18"/>
        </w:rPr>
        <w:t>Os cursos personalizados (diferentes da entrega acelerada de cursos aprovados) não estão qualificados para cobertura por</w:t>
      </w:r>
      <w:r w:rsidR="008D6C3F">
        <w:rPr>
          <w:rFonts w:ascii="Tahoma" w:hAnsi="Tahoma" w:cs="Tahoma"/>
          <w:bCs/>
          <w:sz w:val="18"/>
          <w:szCs w:val="18"/>
        </w:rPr>
        <w:t> </w:t>
      </w:r>
      <w:r w:rsidRPr="008D6C3F">
        <w:rPr>
          <w:rFonts w:ascii="Tahoma" w:hAnsi="Tahoma" w:cs="Tahoma"/>
          <w:bCs/>
          <w:sz w:val="18"/>
          <w:szCs w:val="18"/>
        </w:rPr>
        <w:t>esses cupons.</w:t>
      </w:r>
      <w:r w:rsidR="00172F11" w:rsidRPr="008D6C3F">
        <w:rPr>
          <w:rFonts w:ascii="Tahoma" w:hAnsi="Tahoma" w:cs="Tahoma"/>
          <w:bCs/>
          <w:sz w:val="18"/>
          <w:szCs w:val="18"/>
        </w:rPr>
        <w:t xml:space="preserve"> </w:t>
      </w:r>
      <w:r w:rsidRPr="008D6C3F">
        <w:rPr>
          <w:rFonts w:ascii="Tahoma" w:hAnsi="Tahoma" w:cs="Tahoma"/>
          <w:bCs/>
          <w:sz w:val="18"/>
          <w:szCs w:val="18"/>
        </w:rPr>
        <w:t xml:space="preserve">Para obter informações sobre cursos aprovados, visite o site </w:t>
      </w:r>
      <w:r w:rsidR="008D6C3F" w:rsidRPr="009D26EE">
        <w:rPr>
          <w:rFonts w:ascii="Tahoma" w:hAnsi="Tahoma" w:cs="Tahoma"/>
          <w:bCs/>
          <w:sz w:val="18"/>
          <w:szCs w:val="18"/>
        </w:rPr>
        <w:t>http://www.microsoft.com/learning/sa/training.mspx</w:t>
      </w:r>
      <w:r w:rsidRPr="008D6C3F">
        <w:rPr>
          <w:rFonts w:ascii="Tahoma" w:hAnsi="Tahoma" w:cs="Tahoma"/>
          <w:bCs/>
          <w:sz w:val="18"/>
          <w:szCs w:val="18"/>
        </w:rPr>
        <w:t>.</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cupons não podem ser usados para cobrir quaisquer taxas relacionadas a um cliente que não compareça em um curso reservado.</w:t>
      </w:r>
      <w:r w:rsidR="00172F11" w:rsidRPr="008D6C3F">
        <w:rPr>
          <w:rFonts w:ascii="Tahoma" w:hAnsi="Tahoma" w:cs="Tahoma"/>
          <w:bCs/>
          <w:sz w:val="18"/>
          <w:szCs w:val="18"/>
        </w:rPr>
        <w:t xml:space="preserve"> </w:t>
      </w:r>
      <w:r w:rsidRPr="008D6C3F">
        <w:rPr>
          <w:rFonts w:ascii="Tahoma" w:hAnsi="Tahoma" w:cs="Tahoma"/>
          <w:bCs/>
          <w:sz w:val="18"/>
          <w:szCs w:val="18"/>
        </w:rPr>
        <w:t>Todas as taxas relacionadas a “Não Comparecimentos” são de</w:t>
      </w:r>
      <w:r w:rsidR="008D6C3F">
        <w:rPr>
          <w:rFonts w:ascii="Tahoma" w:hAnsi="Tahoma" w:cs="Tahoma"/>
          <w:bCs/>
          <w:sz w:val="18"/>
          <w:szCs w:val="18"/>
        </w:rPr>
        <w:t> </w:t>
      </w:r>
      <w:r w:rsidRPr="008D6C3F">
        <w:rPr>
          <w:rFonts w:ascii="Tahoma" w:hAnsi="Tahoma" w:cs="Tahoma"/>
          <w:bCs/>
          <w:sz w:val="18"/>
          <w:szCs w:val="18"/>
        </w:rPr>
        <w:t xml:space="preserve">responsabilidade do cliente. </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 xml:space="preserve">Os cupons poderão ser resgatados apenas pelo indivíduo aprovado pelo cliente para usar o cupom. </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cupons não poderão ser trocados por dinheiro, valores ou outras considerações de valor.</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cupons devem ser atribuídos durante o período de cobertura do Software Assurance.</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cupons expiram após 180 dias da data de atribuição do cupom, independentemente da data de término da cobertura do Software Assurance. 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rsidR="00982A40" w:rsidRPr="008D6C3F" w:rsidRDefault="00982A40" w:rsidP="00A1385C">
      <w:pPr>
        <w:numPr>
          <w:ilvl w:val="0"/>
          <w:numId w:val="28"/>
        </w:numPr>
        <w:spacing w:afterLines="60" w:after="144"/>
        <w:rPr>
          <w:rFonts w:cs="Tahoma"/>
          <w:szCs w:val="18"/>
        </w:rPr>
      </w:pPr>
      <w:r w:rsidRPr="008D6C3F">
        <w:rPr>
          <w:rFonts w:cs="Tahoma"/>
          <w:bCs/>
          <w:szCs w:val="18"/>
        </w:rPr>
        <w:t>Com exceção das Sessões de Demonstração, um Voucher de um dia de Treinamento é igual ao equivalente a um dia de sessão de treinamento.</w:t>
      </w:r>
      <w:r w:rsidR="00172F11" w:rsidRPr="008D6C3F">
        <w:rPr>
          <w:rFonts w:cs="Tahoma"/>
          <w:bCs/>
          <w:szCs w:val="18"/>
        </w:rPr>
        <w:t xml:space="preserve"> </w:t>
      </w:r>
      <w:r w:rsidRPr="008D6C3F">
        <w:rPr>
          <w:rFonts w:cs="Tahoma"/>
          <w:bCs/>
          <w:szCs w:val="18"/>
        </w:rPr>
        <w:t>Para as Sessões de Demonstração, um dia de Voucher de Treinamento é igual a uma Sessão de Demonstração.</w:t>
      </w:r>
    </w:p>
    <w:p w:rsidR="00982A40" w:rsidRPr="008D6C3F" w:rsidRDefault="00982A40" w:rsidP="00A1385C">
      <w:pPr>
        <w:numPr>
          <w:ilvl w:val="0"/>
          <w:numId w:val="28"/>
        </w:numPr>
        <w:spacing w:afterLines="60" w:after="144"/>
        <w:rPr>
          <w:rFonts w:cs="Tahoma"/>
          <w:szCs w:val="18"/>
        </w:rPr>
      </w:pPr>
      <w:r w:rsidRPr="008D6C3F">
        <w:rPr>
          <w:rFonts w:cs="Tahoma"/>
          <w:bCs/>
          <w:szCs w:val="18"/>
        </w:rPr>
        <w:t>Os clientes devem resgatar os Vouchers de Treinamento para conjuntos de quatro ou mais Sessões de Demonstração</w:t>
      </w:r>
    </w:p>
    <w:p w:rsidR="00982A40" w:rsidRPr="008D6C3F" w:rsidRDefault="00982A40" w:rsidP="00A1385C">
      <w:pPr>
        <w:numPr>
          <w:ilvl w:val="0"/>
          <w:numId w:val="28"/>
        </w:numPr>
        <w:spacing w:afterLines="60" w:after="144"/>
        <w:rPr>
          <w:rFonts w:cs="Tahoma"/>
          <w:szCs w:val="18"/>
        </w:rPr>
      </w:pPr>
      <w:r w:rsidRPr="008D6C3F">
        <w:rPr>
          <w:rFonts w:cs="Tahoma"/>
          <w:bCs/>
          <w:szCs w:val="18"/>
        </w:rPr>
        <w:t>Os Vouchers de Treinamento resgatados para as Sessões de Treinamento, ao contrário dos Vouchers de Treinamento resgatados para outras sessões de treinamento, não se limitando a</w:t>
      </w:r>
      <w:r w:rsidR="008D6C3F">
        <w:rPr>
          <w:rFonts w:cs="Tahoma"/>
          <w:bCs/>
          <w:szCs w:val="18"/>
        </w:rPr>
        <w:t> </w:t>
      </w:r>
      <w:r w:rsidRPr="008D6C3F">
        <w:rPr>
          <w:rFonts w:cs="Tahoma"/>
          <w:bCs/>
          <w:szCs w:val="18"/>
        </w:rPr>
        <w:t>um</w:t>
      </w:r>
      <w:r w:rsidR="008D6C3F">
        <w:rPr>
          <w:rFonts w:cs="Tahoma"/>
          <w:bCs/>
          <w:szCs w:val="18"/>
        </w:rPr>
        <w:t> </w:t>
      </w:r>
      <w:r w:rsidRPr="008D6C3F">
        <w:rPr>
          <w:rFonts w:cs="Tahoma"/>
          <w:bCs/>
          <w:szCs w:val="18"/>
        </w:rPr>
        <w:t>único indivíduo.</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 xml:space="preserve">Os cupons poderão ser usados para reservar treinamentos com apenas um Microsoft Learning Partner qualificado de cada vez. </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 Microsoft Learning Partner reserva o direito de cancelar uma aula de acordo com a política de</w:t>
      </w:r>
      <w:r w:rsidR="008D6C3F">
        <w:rPr>
          <w:rFonts w:ascii="Tahoma" w:hAnsi="Tahoma" w:cs="Tahoma"/>
          <w:bCs/>
          <w:sz w:val="18"/>
          <w:szCs w:val="18"/>
        </w:rPr>
        <w:t> </w:t>
      </w:r>
      <w:r w:rsidRPr="008D6C3F">
        <w:rPr>
          <w:rFonts w:ascii="Tahoma" w:hAnsi="Tahoma" w:cs="Tahoma"/>
          <w:bCs/>
          <w:sz w:val="18"/>
          <w:szCs w:val="18"/>
        </w:rPr>
        <w:t>cancelamento local.</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cupons são válidos apenas com a participação de Microsoft Learning Partners. Eles podem ser usados com qualquer Microsoft Learning Partner qualificado de todo o mundo. A participação pode</w:t>
      </w:r>
      <w:r w:rsidR="008D6C3F">
        <w:rPr>
          <w:rFonts w:ascii="Tahoma" w:hAnsi="Tahoma" w:cs="Tahoma"/>
          <w:bCs/>
          <w:sz w:val="18"/>
          <w:szCs w:val="18"/>
        </w:rPr>
        <w:t> </w:t>
      </w:r>
      <w:r w:rsidRPr="008D6C3F">
        <w:rPr>
          <w:rFonts w:ascii="Tahoma" w:hAnsi="Tahoma" w:cs="Tahoma"/>
          <w:bCs/>
          <w:sz w:val="18"/>
          <w:szCs w:val="18"/>
        </w:rPr>
        <w:t>variar.</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clientes devem fornecer ao parceiro Microsoft Learning Partner as informações do cupom que gostariam de utilizar no curso antes do final do curso a fim de usá-lo como pagamento do curso.</w:t>
      </w:r>
      <w:r w:rsidR="00172F11" w:rsidRPr="008D6C3F">
        <w:rPr>
          <w:rFonts w:ascii="Tahoma" w:hAnsi="Tahoma" w:cs="Tahoma"/>
          <w:bCs/>
          <w:sz w:val="18"/>
          <w:szCs w:val="18"/>
        </w:rPr>
        <w:t xml:space="preserve"> </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A Microsoft não é responsável por cupons perdidos, roubados ou utilizados indevidamente.</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A redução do número de licenças qualificadas para as quais o Software Assurance foi adquirido como um resultado de devoluções e outros ajustes de cobrança, quando permitidos, pode diminuir a qualificação de nível de serviço dos Cupons de Treinamento do cliente.</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cupons podem ser resgatados apenas pelo cliente que estiver qualificado para o benefício.</w:t>
      </w:r>
    </w:p>
    <w:p w:rsidR="009D26EE" w:rsidRPr="008D6C3F" w:rsidRDefault="009D26EE" w:rsidP="00A1385C">
      <w:pPr>
        <w:pStyle w:val="AppendixBodyText"/>
        <w:numPr>
          <w:ilvl w:val="0"/>
          <w:numId w:val="28"/>
        </w:numPr>
        <w:spacing w:afterLines="60" w:after="144"/>
        <w:rPr>
          <w:rFonts w:ascii="Tahoma" w:hAnsi="Tahoma" w:cs="Tahoma"/>
          <w:sz w:val="18"/>
          <w:szCs w:val="18"/>
        </w:rPr>
      </w:pPr>
      <w:r w:rsidRPr="008D6C3F">
        <w:rPr>
          <w:rFonts w:ascii="Tahoma" w:hAnsi="Tahoma" w:cs="Tahoma"/>
          <w:bCs/>
          <w:sz w:val="18"/>
          <w:szCs w:val="18"/>
        </w:rPr>
        <w:t>Os serviços fornecidos sob cupons são oferecidos de acordo com um contrato entre o Cliente e</w:t>
      </w:r>
      <w:r w:rsidR="008D6C3F">
        <w:rPr>
          <w:rFonts w:ascii="Tahoma" w:hAnsi="Tahoma" w:cs="Tahoma"/>
          <w:bCs/>
          <w:sz w:val="18"/>
          <w:szCs w:val="18"/>
        </w:rPr>
        <w:t> </w:t>
      </w:r>
      <w:r w:rsidRPr="008D6C3F">
        <w:rPr>
          <w:rFonts w:ascii="Tahoma" w:hAnsi="Tahoma" w:cs="Tahoma"/>
          <w:bCs/>
          <w:sz w:val="18"/>
          <w:szCs w:val="18"/>
        </w:rPr>
        <w:t>o</w:t>
      </w:r>
      <w:r w:rsidR="008D6C3F">
        <w:rPr>
          <w:rFonts w:ascii="Tahoma" w:hAnsi="Tahoma" w:cs="Tahoma"/>
          <w:bCs/>
          <w:sz w:val="18"/>
          <w:szCs w:val="18"/>
        </w:rPr>
        <w:t> </w:t>
      </w:r>
      <w:r w:rsidRPr="008D6C3F">
        <w:rPr>
          <w:rFonts w:ascii="Tahoma" w:hAnsi="Tahoma" w:cs="Tahoma"/>
          <w:bCs/>
          <w:sz w:val="18"/>
          <w:szCs w:val="18"/>
        </w:rPr>
        <w:t>Provedor Qualificado. A Microsoft não é responsável por nenhum trabalho ou nenhuma falha da</w:t>
      </w:r>
      <w:r w:rsidR="008D6C3F">
        <w:rPr>
          <w:rFonts w:ascii="Tahoma" w:hAnsi="Tahoma" w:cs="Tahoma"/>
          <w:bCs/>
          <w:sz w:val="18"/>
          <w:szCs w:val="18"/>
        </w:rPr>
        <w:t> </w:t>
      </w:r>
      <w:r w:rsidRPr="008D6C3F">
        <w:rPr>
          <w:rFonts w:ascii="Tahoma" w:hAnsi="Tahoma" w:cs="Tahoma"/>
          <w:bCs/>
          <w:sz w:val="18"/>
          <w:szCs w:val="18"/>
        </w:rPr>
        <w:t>parte do Provedor Qualificado relacionado aos serviços.</w:t>
      </w:r>
    </w:p>
    <w:p w:rsidR="00973A93" w:rsidRPr="008D6C3F" w:rsidRDefault="009D26EE" w:rsidP="00A1385C">
      <w:pPr>
        <w:pStyle w:val="AppendixBodyText"/>
        <w:numPr>
          <w:ilvl w:val="0"/>
          <w:numId w:val="28"/>
        </w:numPr>
        <w:spacing w:after="0"/>
        <w:rPr>
          <w:rFonts w:ascii="Tahoma" w:hAnsi="Tahoma" w:cs="Tahoma"/>
          <w:sz w:val="18"/>
          <w:szCs w:val="18"/>
        </w:rPr>
      </w:pPr>
      <w:r w:rsidRPr="008D6C3F">
        <w:rPr>
          <w:rFonts w:ascii="Tahoma" w:hAnsi="Tahoma" w:cs="Tahoma"/>
          <w:bCs/>
          <w:sz w:val="18"/>
          <w:szCs w:val="18"/>
        </w:rPr>
        <w:t>A tabela acima mostra os créditos de treinamento disponíveis com base em um registro ou contrato integral de 3 anos.</w:t>
      </w:r>
      <w:r w:rsidR="00172F11" w:rsidRPr="008D6C3F">
        <w:rPr>
          <w:rFonts w:ascii="Tahoma" w:hAnsi="Tahoma" w:cs="Tahoma"/>
          <w:bCs/>
          <w:sz w:val="18"/>
          <w:szCs w:val="18"/>
        </w:rPr>
        <w:t xml:space="preserve"> </w:t>
      </w:r>
      <w:r w:rsidRPr="008D6C3F">
        <w:rPr>
          <w:rFonts w:ascii="Tahoma" w:hAnsi="Tahoma" w:cs="Tahoma"/>
          <w:bCs/>
          <w:sz w:val="18"/>
          <w:szCs w:val="18"/>
        </w:rPr>
        <w:t>Os clientes que comprarem a cobertura do Software Assurance por um</w:t>
      </w:r>
      <w:r w:rsidR="008D6C3F">
        <w:rPr>
          <w:rFonts w:ascii="Tahoma" w:hAnsi="Tahoma" w:cs="Tahoma"/>
          <w:bCs/>
          <w:sz w:val="18"/>
          <w:szCs w:val="18"/>
        </w:rPr>
        <w:t> </w:t>
      </w:r>
      <w:r w:rsidRPr="008D6C3F">
        <w:rPr>
          <w:rFonts w:ascii="Tahoma" w:hAnsi="Tahoma" w:cs="Tahoma"/>
          <w:bCs/>
          <w:sz w:val="18"/>
          <w:szCs w:val="18"/>
        </w:rPr>
        <w:t>ano receberão um terço do número declarado de créditos de treinamento.</w:t>
      </w:r>
      <w:r w:rsidR="00172F11" w:rsidRPr="008D6C3F">
        <w:rPr>
          <w:rFonts w:ascii="Tahoma" w:hAnsi="Tahoma" w:cs="Tahoma"/>
          <w:bCs/>
          <w:sz w:val="18"/>
          <w:szCs w:val="18"/>
        </w:rPr>
        <w:t xml:space="preserve"> </w:t>
      </w:r>
      <w:r w:rsidRPr="008D6C3F">
        <w:rPr>
          <w:rFonts w:ascii="Tahoma" w:hAnsi="Tahoma" w:cs="Tahoma"/>
          <w:bCs/>
          <w:sz w:val="18"/>
          <w:szCs w:val="18"/>
        </w:rPr>
        <w:t>Os clientes que adquirirem a cobertura do Software Assurance por dois anos receberão dois terços do número declarado de créditos de treinamento.</w:t>
      </w:r>
      <w:bookmarkStart w:id="722" w:name="_Toc336338234"/>
    </w:p>
    <w:p w:rsidR="005A141F" w:rsidRPr="008D6C3F" w:rsidRDefault="005A141F" w:rsidP="005A141F">
      <w:pPr>
        <w:pStyle w:val="AppendixBodyText"/>
        <w:spacing w:after="0"/>
        <w:rPr>
          <w:rFonts w:ascii="Tahoma" w:hAnsi="Tahoma" w:cs="Tahoma"/>
          <w:sz w:val="18"/>
          <w:szCs w:val="18"/>
        </w:rPr>
      </w:pPr>
    </w:p>
    <w:p w:rsidR="00023FE7" w:rsidRPr="004B208C" w:rsidRDefault="00023FE7">
      <w:pPr>
        <w:pStyle w:val="Heading3"/>
        <w:rPr>
          <w:rFonts w:ascii="Tahoma" w:hAnsi="Tahoma" w:cs="Tahoma"/>
        </w:rPr>
      </w:pPr>
      <w:bookmarkStart w:id="723" w:name="_Toc370981349"/>
      <w:r w:rsidRPr="004B208C">
        <w:rPr>
          <w:rFonts w:ascii="Tahoma" w:hAnsi="Tahoma" w:cs="Tahoma"/>
          <w:sz w:val="24"/>
        </w:rPr>
        <w:lastRenderedPageBreak/>
        <w:t>E-Learning</w:t>
      </w:r>
      <w:bookmarkEnd w:id="722"/>
      <w:bookmarkEnd w:id="723"/>
    </w:p>
    <w:p w:rsidR="00023FE7" w:rsidRPr="004B208C" w:rsidRDefault="00023FE7" w:rsidP="002D25C8">
      <w:pPr>
        <w:rPr>
          <w:rFonts w:cs="Tahoma"/>
        </w:rPr>
      </w:pPr>
    </w:p>
    <w:p w:rsidR="003C56F1" w:rsidRPr="004B208C" w:rsidRDefault="00324479" w:rsidP="008A7860">
      <w:pPr>
        <w:tabs>
          <w:tab w:val="num" w:pos="360"/>
        </w:tabs>
        <w:spacing w:after="60"/>
        <w:rPr>
          <w:rFonts w:cs="Tahoma"/>
        </w:rPr>
      </w:pPr>
      <w:r w:rsidRPr="004B208C">
        <w:rPr>
          <w:rFonts w:cs="Tahoma"/>
          <w:b/>
          <w:szCs w:val="18"/>
        </w:rPr>
        <w:t>Clientes qualificados do Software Assurance</w:t>
      </w:r>
    </w:p>
    <w:p w:rsidR="00324479" w:rsidRPr="004B208C" w:rsidRDefault="00324479" w:rsidP="002D25C8">
      <w:pPr>
        <w:tabs>
          <w:tab w:val="num" w:pos="360"/>
        </w:tabs>
        <w:rPr>
          <w:rFonts w:cs="Tahoma"/>
        </w:rPr>
      </w:pPr>
      <w:r w:rsidRPr="004B208C">
        <w:rPr>
          <w:rFonts w:cs="Tahoma"/>
          <w:szCs w:val="18"/>
        </w:rPr>
        <w:t xml:space="preserve">Os clientes com Software Assurance para produtos qualificados do pool de aplicativos, sistemas ou servidores estão qualificados a usar o respectivo benefício E-Learning de Aplicativos, Sistemas e Servidores durante o prazo da cobertura do Software Assurance. </w:t>
      </w:r>
    </w:p>
    <w:p w:rsidR="00324479" w:rsidRPr="004B208C" w:rsidRDefault="00324479" w:rsidP="002D25C8">
      <w:pPr>
        <w:tabs>
          <w:tab w:val="num" w:pos="360"/>
        </w:tabs>
        <w:rPr>
          <w:rFonts w:cs="Tahoma"/>
        </w:rPr>
      </w:pPr>
    </w:p>
    <w:p w:rsidR="008A7860" w:rsidRPr="004B208C" w:rsidRDefault="00324479" w:rsidP="008A7860">
      <w:pPr>
        <w:tabs>
          <w:tab w:val="num" w:pos="360"/>
        </w:tabs>
        <w:spacing w:after="60"/>
        <w:rPr>
          <w:rFonts w:cs="Tahoma"/>
        </w:rPr>
      </w:pPr>
      <w:r w:rsidRPr="004B208C">
        <w:rPr>
          <w:rFonts w:cs="Tahoma"/>
          <w:b/>
          <w:szCs w:val="18"/>
        </w:rPr>
        <w:t>Clientes qualificados para os Benefícios de Serviços Online</w:t>
      </w:r>
    </w:p>
    <w:p w:rsidR="00324479" w:rsidRPr="004B208C" w:rsidRDefault="00324479" w:rsidP="002D25C8">
      <w:pPr>
        <w:tabs>
          <w:tab w:val="num" w:pos="360"/>
        </w:tabs>
        <w:rPr>
          <w:rFonts w:cs="Tahoma"/>
        </w:rPr>
      </w:pPr>
      <w:r w:rsidRPr="004B208C">
        <w:rPr>
          <w:rFonts w:cs="Tahoma"/>
          <w:szCs w:val="18"/>
        </w:rPr>
        <w:t>Os clientes com Windows Intune (Por Dispositivo) estão qualificados para usar o benefício E-Learning dos Sistemas durante o prazo desse registro.</w:t>
      </w:r>
      <w:r w:rsidR="00172F11">
        <w:rPr>
          <w:rFonts w:cs="Tahoma"/>
          <w:szCs w:val="18"/>
        </w:rPr>
        <w:t xml:space="preserve"> </w:t>
      </w:r>
      <w:r w:rsidRPr="004B208C">
        <w:rPr>
          <w:rFonts w:cs="Tahoma"/>
          <w:szCs w:val="18"/>
        </w:rPr>
        <w:t xml:space="preserve">Da mesma forma, os clientes do Office 365 estão qualificados para usar o benefício E-Learning dos Aplicativos durante o prazo do seu respectivo registro. </w:t>
      </w:r>
    </w:p>
    <w:p w:rsidR="00324479" w:rsidRPr="004B208C" w:rsidRDefault="00324479" w:rsidP="002D25C8">
      <w:pPr>
        <w:tabs>
          <w:tab w:val="num" w:pos="360"/>
        </w:tabs>
        <w:rPr>
          <w:rFonts w:cs="Tahoma"/>
        </w:rPr>
      </w:pPr>
    </w:p>
    <w:p w:rsidR="00324479" w:rsidRPr="004B208C" w:rsidRDefault="00324479" w:rsidP="002D25C8">
      <w:pPr>
        <w:rPr>
          <w:rFonts w:cs="Tahoma"/>
        </w:rPr>
      </w:pPr>
      <w:r w:rsidRPr="004B208C">
        <w:rPr>
          <w:rFonts w:cs="Tahoma"/>
          <w:szCs w:val="18"/>
        </w:rPr>
        <w:t>Os clientes qualificados receberão um código de acesso (para Aplicativos, Sistemas, Servidores, Windows Intune (Por</w:t>
      </w:r>
      <w:r w:rsidR="008D6C3F">
        <w:rPr>
          <w:rFonts w:cs="Tahoma"/>
          <w:szCs w:val="18"/>
        </w:rPr>
        <w:t> </w:t>
      </w:r>
      <w:r w:rsidRPr="004B208C">
        <w:rPr>
          <w:rFonts w:cs="Tahoma"/>
          <w:szCs w:val="18"/>
        </w:rPr>
        <w:t>Dispositivo) e Office 365) por registro/contrato qualificado.</w:t>
      </w:r>
      <w:r w:rsidR="00172F11">
        <w:rPr>
          <w:rFonts w:cs="Tahoma"/>
          <w:szCs w:val="18"/>
        </w:rPr>
        <w:t xml:space="preserve"> </w:t>
      </w:r>
      <w:r w:rsidRPr="004B208C">
        <w:rPr>
          <w:rFonts w:cs="Tahoma"/>
          <w:szCs w:val="18"/>
        </w:rPr>
        <w:t xml:space="preserve">Os clientes também poderão baixar arquivos de </w:t>
      </w:r>
      <w:r w:rsidR="008D6C3F">
        <w:rPr>
          <w:rFonts w:cs="Tahoma"/>
          <w:szCs w:val="18"/>
        </w:rPr>
        <w:br/>
      </w:r>
      <w:r w:rsidRPr="004B208C">
        <w:rPr>
          <w:rFonts w:cs="Tahoma"/>
          <w:szCs w:val="18"/>
        </w:rPr>
        <w:t>E-Learning apenas de conteúdo e compatíveis com SCORM (para Aplicativos e Sistemas) a partir do VLSC para importar no LMS (Learning Management System - Sistema de Gerenciamento de Aprendizagem).</w:t>
      </w:r>
      <w:r w:rsidR="00172F11">
        <w:rPr>
          <w:rFonts w:cs="Tahoma"/>
          <w:szCs w:val="18"/>
        </w:rPr>
        <w:t xml:space="preserve"> </w:t>
      </w:r>
      <w:r w:rsidRPr="004B208C">
        <w:rPr>
          <w:rFonts w:cs="Tahoma"/>
          <w:szCs w:val="18"/>
        </w:rPr>
        <w:t>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rsidR="00324479" w:rsidRPr="004B208C" w:rsidRDefault="00324479" w:rsidP="002D25C8">
      <w:pPr>
        <w:rPr>
          <w:rFonts w:cs="Tahoma"/>
        </w:rPr>
      </w:pPr>
    </w:p>
    <w:p w:rsidR="00324479" w:rsidRPr="004B208C" w:rsidRDefault="00324479" w:rsidP="002D25C8">
      <w:pPr>
        <w:rPr>
          <w:rFonts w:cs="Tahoma"/>
        </w:rPr>
      </w:pPr>
      <w:r w:rsidRPr="004B208C">
        <w:rPr>
          <w:rFonts w:cs="Tahoma"/>
          <w:szCs w:val="18"/>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qualificada.</w:t>
      </w:r>
      <w:r w:rsidR="00172F11">
        <w:rPr>
          <w:rFonts w:cs="Tahoma"/>
          <w:szCs w:val="18"/>
        </w:rPr>
        <w:t xml:space="preserve"> </w:t>
      </w:r>
      <w:r w:rsidRPr="004B208C">
        <w:rPr>
          <w:rFonts w:cs="Tahoma"/>
          <w:szCs w:val="18"/>
        </w:rPr>
        <w:t>O acesso não pode ser transferido de um usuário para outro.</w:t>
      </w:r>
      <w:r w:rsidR="00172F11">
        <w:rPr>
          <w:rFonts w:cs="Tahoma"/>
          <w:szCs w:val="18"/>
        </w:rPr>
        <w:t xml:space="preserve"> </w:t>
      </w:r>
      <w:r w:rsidRPr="004B208C">
        <w:rPr>
          <w:rFonts w:cs="Tahoma"/>
          <w:szCs w:val="18"/>
        </w:rPr>
        <w:t>No início de um curso individual, cada usuário qualificado terá até 12 meses para concluir o curso antes do término do acesso, contanto que o curso seja iniciado antes do término da cobertura do Software Assurance ou licença de assinatura.</w:t>
      </w:r>
    </w:p>
    <w:p w:rsidR="00324479" w:rsidRPr="004B208C" w:rsidRDefault="00324479" w:rsidP="002D25C8">
      <w:pPr>
        <w:tabs>
          <w:tab w:val="num" w:pos="360"/>
        </w:tabs>
        <w:rPr>
          <w:rFonts w:cs="Tahoma"/>
        </w:rPr>
      </w:pPr>
    </w:p>
    <w:p w:rsidR="00324479" w:rsidRPr="004B208C" w:rsidRDefault="00324479" w:rsidP="002D25C8">
      <w:pPr>
        <w:tabs>
          <w:tab w:val="num" w:pos="0"/>
        </w:tabs>
        <w:rPr>
          <w:rFonts w:cs="Tahoma"/>
        </w:rPr>
      </w:pPr>
      <w:r w:rsidRPr="004B208C">
        <w:rPr>
          <w:rFonts w:cs="Tahoma"/>
          <w:szCs w:val="18"/>
        </w:rPr>
        <w:t xml:space="preserve">Os clientes qualificados poderão comprar kits de E-Learning em um centro de abastecimento regional se a opção online não for suficiente. </w:t>
      </w:r>
    </w:p>
    <w:p w:rsidR="00324479" w:rsidRPr="004B208C" w:rsidRDefault="00324479" w:rsidP="002D25C8">
      <w:pPr>
        <w:tabs>
          <w:tab w:val="num" w:pos="0"/>
        </w:tabs>
        <w:rPr>
          <w:rFonts w:cs="Tahoma"/>
        </w:rPr>
      </w:pPr>
      <w:r w:rsidRPr="004B208C">
        <w:rPr>
          <w:rFonts w:cs="Tahoma"/>
          <w:szCs w:val="18"/>
        </w:rPr>
        <w:t>A implantação e o uso dos cursos de E-Learning pelos clientes estão sujeitos aos termos e condições de seus contratos de licença.</w:t>
      </w:r>
      <w:r w:rsidR="00172F11">
        <w:rPr>
          <w:rFonts w:cs="Tahoma"/>
          <w:szCs w:val="18"/>
        </w:rPr>
        <w:t xml:space="preserve"> </w:t>
      </w:r>
    </w:p>
    <w:p w:rsidR="00324479" w:rsidRPr="004B208C" w:rsidRDefault="00324479" w:rsidP="002D25C8">
      <w:pPr>
        <w:tabs>
          <w:tab w:val="num" w:pos="0"/>
        </w:tabs>
        <w:rPr>
          <w:rFonts w:cs="Tahoma"/>
        </w:rPr>
      </w:pPr>
    </w:p>
    <w:p w:rsidR="008A7860" w:rsidRPr="004B208C" w:rsidRDefault="008A7860" w:rsidP="008A7860">
      <w:pPr>
        <w:spacing w:after="60"/>
        <w:rPr>
          <w:rFonts w:cs="Tahoma"/>
        </w:rPr>
      </w:pPr>
      <w:r w:rsidRPr="004B208C">
        <w:rPr>
          <w:rFonts w:cs="Tahoma"/>
          <w:b/>
          <w:szCs w:val="18"/>
        </w:rPr>
        <w:t>Aplicativos de E-Learning</w:t>
      </w:r>
    </w:p>
    <w:p w:rsidR="00324479" w:rsidRPr="004B208C" w:rsidRDefault="00324479" w:rsidP="002D25C8">
      <w:pPr>
        <w:rPr>
          <w:rFonts w:cs="Tahoma"/>
        </w:rPr>
      </w:pPr>
      <w:r w:rsidRPr="004B208C">
        <w:rPr>
          <w:rFonts w:cs="Tahoma"/>
          <w:szCs w:val="18"/>
        </w:rPr>
        <w:t xml:space="preserve">Os clientes </w:t>
      </w:r>
      <w:r w:rsidRPr="004B208C">
        <w:rPr>
          <w:rFonts w:cs="Tahoma"/>
          <w:color w:val="000000"/>
          <w:szCs w:val="18"/>
        </w:rPr>
        <w:t>com pacotes do Office Pro Plus para Office 365</w:t>
      </w:r>
      <w:r w:rsidRPr="004B208C">
        <w:rPr>
          <w:rFonts w:cs="Tahoma"/>
          <w:szCs w:val="18"/>
        </w:rPr>
        <w:t>, Office 365 e Software Assurance para produtos de</w:t>
      </w:r>
      <w:r w:rsidR="008D6C3F">
        <w:rPr>
          <w:rFonts w:cs="Tahoma"/>
          <w:szCs w:val="18"/>
        </w:rPr>
        <w:t> </w:t>
      </w:r>
      <w:r w:rsidRPr="004B208C">
        <w:rPr>
          <w:rFonts w:cs="Tahoma"/>
          <w:szCs w:val="18"/>
        </w:rPr>
        <w:t>Aplicativos qualificados estão qualificados a usar cursos de E-Learning hospedados e conteúdo compatível com</w:t>
      </w:r>
      <w:r w:rsidR="008D6C3F">
        <w:rPr>
          <w:rFonts w:cs="Tahoma"/>
          <w:szCs w:val="18"/>
        </w:rPr>
        <w:t> </w:t>
      </w:r>
      <w:r w:rsidRPr="004B208C">
        <w:rPr>
          <w:rFonts w:cs="Tahoma"/>
          <w:szCs w:val="18"/>
        </w:rPr>
        <w:t>SCORM.</w:t>
      </w:r>
      <w:r w:rsidR="00172F11">
        <w:rPr>
          <w:rFonts w:cs="Tahoma"/>
          <w:szCs w:val="18"/>
        </w:rPr>
        <w:t xml:space="preserve"> </w:t>
      </w:r>
    </w:p>
    <w:p w:rsidR="00324479" w:rsidRPr="004B208C" w:rsidRDefault="00324479" w:rsidP="002D25C8">
      <w:pPr>
        <w:rPr>
          <w:rFonts w:cs="Tahoma"/>
        </w:rPr>
      </w:pPr>
    </w:p>
    <w:p w:rsidR="008A7860" w:rsidRPr="004B208C" w:rsidRDefault="008A7860" w:rsidP="008A7860">
      <w:pPr>
        <w:spacing w:after="60"/>
        <w:rPr>
          <w:rFonts w:cs="Tahoma"/>
        </w:rPr>
      </w:pPr>
      <w:r w:rsidRPr="004B208C">
        <w:rPr>
          <w:rFonts w:cs="Tahoma"/>
          <w:b/>
          <w:szCs w:val="18"/>
        </w:rPr>
        <w:t>Sistemas de E-Learning</w:t>
      </w:r>
    </w:p>
    <w:p w:rsidR="00324479" w:rsidRPr="004B208C" w:rsidRDefault="00324479" w:rsidP="002D25C8">
      <w:pPr>
        <w:rPr>
          <w:rFonts w:cs="Tahoma"/>
        </w:rPr>
      </w:pPr>
      <w:r w:rsidRPr="004B208C">
        <w:rPr>
          <w:rFonts w:cs="Tahoma"/>
          <w:szCs w:val="18"/>
        </w:rPr>
        <w:t>os clientes com Windows Intune (Por Dispositivo) e Software Assurance para produtos de Sistema qualificados estão qualificados a usar os cursos de Cliente de E-Learning hospedados e o conteúdo compatível com SCORM.</w:t>
      </w:r>
      <w:r w:rsidR="00172F11">
        <w:rPr>
          <w:rFonts w:cs="Tahoma"/>
          <w:szCs w:val="18"/>
        </w:rPr>
        <w:t xml:space="preserve"> </w:t>
      </w:r>
    </w:p>
    <w:p w:rsidR="00F76ED4" w:rsidRPr="004B208C" w:rsidRDefault="00F76ED4">
      <w:pPr>
        <w:rPr>
          <w:rFonts w:cs="Tahoma"/>
        </w:rPr>
      </w:pPr>
    </w:p>
    <w:p w:rsidR="008A7860" w:rsidRPr="004B208C" w:rsidRDefault="008A7860" w:rsidP="008A7860">
      <w:pPr>
        <w:spacing w:after="60"/>
        <w:rPr>
          <w:rFonts w:cs="Tahoma"/>
        </w:rPr>
      </w:pPr>
      <w:r w:rsidRPr="004B208C">
        <w:rPr>
          <w:rFonts w:cs="Tahoma"/>
          <w:b/>
          <w:szCs w:val="18"/>
        </w:rPr>
        <w:t>Servidores de E-Learning</w:t>
      </w:r>
    </w:p>
    <w:p w:rsidR="00324479" w:rsidRPr="004B208C" w:rsidRDefault="00324479" w:rsidP="002D25C8">
      <w:pPr>
        <w:rPr>
          <w:rFonts w:cs="Tahoma"/>
        </w:rPr>
      </w:pPr>
      <w:r w:rsidRPr="004B208C">
        <w:rPr>
          <w:rFonts w:cs="Tahoma"/>
          <w:szCs w:val="18"/>
        </w:rPr>
        <w:t>os clientes com Software Assurance para produtos de Servidor qualificados estão qualificados a usar os cursos de</w:t>
      </w:r>
      <w:r w:rsidR="008D6C3F">
        <w:rPr>
          <w:rFonts w:cs="Tahoma"/>
          <w:szCs w:val="18"/>
        </w:rPr>
        <w:t> </w:t>
      </w:r>
      <w:r w:rsidRPr="004B208C">
        <w:rPr>
          <w:rFonts w:cs="Tahoma"/>
          <w:szCs w:val="18"/>
        </w:rPr>
        <w:t>Servidor de E-Learning hospedados.</w:t>
      </w:r>
      <w:r w:rsidR="00172F11">
        <w:rPr>
          <w:rFonts w:cs="Tahoma"/>
          <w:szCs w:val="18"/>
        </w:rPr>
        <w:t xml:space="preserve"> </w:t>
      </w:r>
    </w:p>
    <w:p w:rsidR="00023FE7" w:rsidRPr="004B208C" w:rsidRDefault="00023FE7" w:rsidP="002D25C8">
      <w:pPr>
        <w:rPr>
          <w:rFonts w:cs="Tahoma"/>
        </w:rPr>
      </w:pPr>
    </w:p>
    <w:p w:rsidR="00023FE7" w:rsidRPr="004B208C" w:rsidRDefault="00023FE7" w:rsidP="002D25C8">
      <w:pPr>
        <w:pStyle w:val="Heading3"/>
        <w:rPr>
          <w:rFonts w:ascii="Tahoma" w:hAnsi="Tahoma" w:cs="Tahoma"/>
        </w:rPr>
      </w:pPr>
      <w:bookmarkStart w:id="724" w:name="_Toc336338235"/>
      <w:bookmarkStart w:id="725" w:name="_Toc370981350"/>
      <w:r w:rsidRPr="004B208C">
        <w:rPr>
          <w:rFonts w:ascii="Tahoma" w:hAnsi="Tahoma" w:cs="Tahoma"/>
          <w:sz w:val="24"/>
        </w:rPr>
        <w:t>Home Use Program</w:t>
      </w:r>
      <w:bookmarkEnd w:id="724"/>
      <w:bookmarkEnd w:id="725"/>
    </w:p>
    <w:p w:rsidR="00023FE7" w:rsidRPr="004B208C" w:rsidRDefault="00023FE7" w:rsidP="002D25C8">
      <w:pPr>
        <w:rPr>
          <w:rFonts w:cs="Tahoma"/>
        </w:rPr>
      </w:pPr>
    </w:p>
    <w:p w:rsidR="00023FE7" w:rsidRPr="008D6C3F" w:rsidRDefault="00023FE7" w:rsidP="002D25C8">
      <w:pPr>
        <w:pStyle w:val="AppendixBodyText"/>
        <w:spacing w:after="0"/>
        <w:rPr>
          <w:rFonts w:ascii="Tahoma" w:hAnsi="Tahoma" w:cs="Tahoma"/>
          <w:sz w:val="18"/>
          <w:szCs w:val="18"/>
        </w:rPr>
      </w:pPr>
      <w:r w:rsidRPr="008D6C3F">
        <w:rPr>
          <w:rFonts w:ascii="Tahoma" w:hAnsi="Tahoma" w:cs="Tahoma"/>
          <w:sz w:val="18"/>
          <w:szCs w:val="18"/>
        </w:rPr>
        <w:t xml:space="preserve">Os clientes com cobertura de Software Assurance ativa para produtos de aplicativos de desktop qualificados estão qualificados </w:t>
      </w:r>
      <w:r w:rsidRPr="008D6C3F">
        <w:rPr>
          <w:rFonts w:ascii="Tahoma" w:hAnsi="Tahoma" w:cs="Tahoma"/>
          <w:color w:val="000000"/>
          <w:sz w:val="18"/>
          <w:szCs w:val="18"/>
        </w:rPr>
        <w:t>a participar do Home Use Program**.</w:t>
      </w:r>
      <w:r w:rsidR="00172F11" w:rsidRPr="008D6C3F">
        <w:rPr>
          <w:rFonts w:ascii="Tahoma" w:hAnsi="Tahoma" w:cs="Tahoma"/>
          <w:color w:val="000000"/>
          <w:sz w:val="18"/>
          <w:szCs w:val="18"/>
        </w:rPr>
        <w:t xml:space="preserve"> </w:t>
      </w:r>
      <w:r w:rsidRPr="008D6C3F">
        <w:rPr>
          <w:rFonts w:ascii="Tahoma" w:hAnsi="Tahoma" w:cs="Tahoma"/>
          <w:color w:val="000000"/>
          <w:sz w:val="18"/>
          <w:szCs w:val="18"/>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w:t>
      </w:r>
      <w:r w:rsidR="00172F11" w:rsidRPr="008D6C3F">
        <w:rPr>
          <w:rFonts w:ascii="Tahoma" w:hAnsi="Tahoma" w:cs="Tahoma"/>
          <w:color w:val="000000"/>
          <w:sz w:val="18"/>
          <w:szCs w:val="18"/>
        </w:rPr>
        <w:t xml:space="preserve"> </w:t>
      </w:r>
      <w:r w:rsidRPr="008D6C3F">
        <w:rPr>
          <w:rFonts w:ascii="Tahoma" w:hAnsi="Tahoma" w:cs="Tahoma"/>
          <w:color w:val="000000"/>
          <w:sz w:val="18"/>
          <w:szCs w:val="18"/>
        </w:rPr>
        <w:t>Contanto que os funcionários primeiro obtenham as chaves de produto apropriadas do Home Use Program com a</w:t>
      </w:r>
      <w:r w:rsidR="008D6C3F" w:rsidRPr="008D6C3F">
        <w:rPr>
          <w:rFonts w:ascii="Tahoma" w:hAnsi="Tahoma" w:cs="Tahoma"/>
          <w:color w:val="000000"/>
          <w:sz w:val="18"/>
          <w:szCs w:val="18"/>
        </w:rPr>
        <w:t> </w:t>
      </w:r>
      <w:r w:rsidRPr="008D6C3F">
        <w:rPr>
          <w:rFonts w:ascii="Tahoma" w:hAnsi="Tahoma" w:cs="Tahoma"/>
          <w:color w:val="000000"/>
          <w:sz w:val="18"/>
          <w:szCs w:val="18"/>
        </w:rPr>
        <w:t xml:space="preserve">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w:t>
      </w:r>
      <w:r w:rsidRPr="008D6C3F">
        <w:rPr>
          <w:rFonts w:ascii="Tahoma" w:hAnsi="Tahoma" w:cs="Tahoma"/>
          <w:color w:val="000000"/>
          <w:sz w:val="18"/>
          <w:szCs w:val="18"/>
        </w:rPr>
        <w:lastRenderedPageBreak/>
        <w:t>durante o período de uso qualificado, os usuários principais poderão adquirir a versão mais recente para substituir a</w:t>
      </w:r>
      <w:r w:rsidR="008D6C3F" w:rsidRPr="008D6C3F">
        <w:rPr>
          <w:rFonts w:ascii="Tahoma" w:hAnsi="Tahoma" w:cs="Tahoma"/>
          <w:color w:val="000000"/>
          <w:sz w:val="18"/>
          <w:szCs w:val="18"/>
        </w:rPr>
        <w:t> </w:t>
      </w:r>
      <w:r w:rsidRPr="008D6C3F">
        <w:rPr>
          <w:rFonts w:ascii="Tahoma" w:hAnsi="Tahoma" w:cs="Tahoma"/>
          <w:color w:val="000000"/>
          <w:sz w:val="18"/>
          <w:szCs w:val="18"/>
        </w:rPr>
        <w:t>versão atualmente instalada.</w:t>
      </w:r>
      <w:r w:rsidR="00172F11" w:rsidRPr="008D6C3F">
        <w:rPr>
          <w:rFonts w:ascii="Tahoma" w:hAnsi="Tahoma" w:cs="Tahoma"/>
          <w:color w:val="000000"/>
          <w:sz w:val="18"/>
          <w:szCs w:val="18"/>
        </w:rPr>
        <w:t xml:space="preserve"> </w:t>
      </w:r>
      <w:r w:rsidRPr="008D6C3F">
        <w:rPr>
          <w:rFonts w:ascii="Tahoma" w:hAnsi="Tahoma" w:cs="Tahoma"/>
          <w:color w:val="000000"/>
          <w:sz w:val="18"/>
          <w:szCs w:val="18"/>
        </w:rPr>
        <w:t>Consulte a tabela ou as seções de produtos individuais a seguir para verificar os aplicativos de desktop que qualificam os clientes a participar do Home Use Program.</w:t>
      </w:r>
      <w:r w:rsidR="00172F11" w:rsidRPr="008D6C3F">
        <w:rPr>
          <w:rFonts w:ascii="Tahoma" w:hAnsi="Tahoma" w:cs="Tahoma"/>
          <w:color w:val="000000"/>
          <w:sz w:val="18"/>
          <w:szCs w:val="18"/>
        </w:rPr>
        <w:t xml:space="preserve"> </w:t>
      </w:r>
      <w:r w:rsidRPr="008D6C3F">
        <w:rPr>
          <w:rFonts w:ascii="Tahoma" w:hAnsi="Tahoma" w:cs="Tahoma"/>
          <w:color w:val="000000"/>
          <w:sz w:val="18"/>
          <w:szCs w:val="18"/>
        </w:rPr>
        <w:t>Os aplicativos de desktop disponíveis no Home Use Program também estão identificados na tabela a seguir*.</w:t>
      </w:r>
    </w:p>
    <w:p w:rsidR="00023FE7" w:rsidRPr="008D6C3F" w:rsidRDefault="00023FE7" w:rsidP="002D25C8">
      <w:pPr>
        <w:pStyle w:val="AppendixBodyText"/>
        <w:spacing w:after="0"/>
        <w:rPr>
          <w:rFonts w:ascii="Tahoma" w:hAnsi="Tahoma" w:cs="Tahoma"/>
          <w:sz w:val="18"/>
          <w:szCs w:val="18"/>
        </w:rPr>
      </w:pPr>
    </w:p>
    <w:p w:rsidR="00023FE7" w:rsidRPr="008D6C3F" w:rsidRDefault="00023FE7" w:rsidP="002D25C8">
      <w:pPr>
        <w:pStyle w:val="AppendixFlushBulletedList"/>
        <w:tabs>
          <w:tab w:val="clear" w:pos="360"/>
        </w:tabs>
        <w:ind w:left="0" w:firstLine="0"/>
        <w:rPr>
          <w:rFonts w:ascii="Tahoma" w:hAnsi="Tahoma" w:cs="Tahoma"/>
          <w:sz w:val="18"/>
          <w:szCs w:val="18"/>
        </w:rPr>
      </w:pPr>
      <w:r w:rsidRPr="008D6C3F">
        <w:rPr>
          <w:rFonts w:ascii="Tahoma" w:hAnsi="Tahoma" w:cs="Tahoma"/>
          <w:sz w:val="18"/>
          <w:szCs w:val="18"/>
        </w:rPr>
        <w:t>A qualificação dos clientes para participar do Home Use Program se encerra com o término ou a rescisão da cobertura do Software Assurance dos aplicativos de desktop qualificados.</w:t>
      </w:r>
      <w:r w:rsidR="00172F11" w:rsidRPr="008D6C3F">
        <w:rPr>
          <w:rFonts w:ascii="Tahoma" w:hAnsi="Tahoma" w:cs="Tahoma"/>
          <w:sz w:val="18"/>
          <w:szCs w:val="18"/>
        </w:rPr>
        <w:t xml:space="preserve"> </w:t>
      </w:r>
      <w:r w:rsidRPr="008D6C3F">
        <w:rPr>
          <w:rFonts w:ascii="Tahoma" w:hAnsi="Tahoma" w:cs="Tahoma"/>
          <w:sz w:val="18"/>
          <w:szCs w:val="18"/>
        </w:rPr>
        <w:t>A Microsoft pode rescindir a participação de</w:t>
      </w:r>
      <w:r w:rsidR="008D6C3F">
        <w:rPr>
          <w:rFonts w:ascii="Tahoma" w:hAnsi="Tahoma" w:cs="Tahoma"/>
          <w:sz w:val="18"/>
          <w:szCs w:val="18"/>
        </w:rPr>
        <w:t> </w:t>
      </w:r>
      <w:r w:rsidRPr="008D6C3F">
        <w:rPr>
          <w:rFonts w:ascii="Tahoma" w:hAnsi="Tahoma" w:cs="Tahoma"/>
          <w:sz w:val="18"/>
          <w:szCs w:val="18"/>
        </w:rPr>
        <w:t xml:space="preserve">um cliente no Home Use Program, de maneira imediata e sem aviso, em razão de acesso a ou o licenciamento não autorizado por meio do site do Home Use Program com o código de programa do cliente. </w:t>
      </w:r>
    </w:p>
    <w:p w:rsidR="00023FE7" w:rsidRPr="008D6C3F" w:rsidRDefault="00023FE7" w:rsidP="002D25C8">
      <w:pPr>
        <w:pStyle w:val="AppendixFlushBulletedList"/>
        <w:tabs>
          <w:tab w:val="clear" w:pos="360"/>
        </w:tabs>
        <w:ind w:left="0" w:firstLine="0"/>
        <w:rPr>
          <w:rFonts w:ascii="Tahoma" w:hAnsi="Tahoma" w:cs="Tahoma"/>
          <w:sz w:val="18"/>
          <w:szCs w:val="18"/>
        </w:rPr>
      </w:pPr>
    </w:p>
    <w:p w:rsidR="00023FE7" w:rsidRPr="008D6C3F" w:rsidRDefault="00023FE7" w:rsidP="002D25C8">
      <w:pPr>
        <w:pStyle w:val="AppendixFlushBulletedList"/>
        <w:tabs>
          <w:tab w:val="clear" w:pos="360"/>
        </w:tabs>
        <w:ind w:left="0" w:firstLine="0"/>
        <w:rPr>
          <w:rFonts w:ascii="Tahoma" w:hAnsi="Tahoma" w:cs="Tahoma"/>
          <w:sz w:val="18"/>
          <w:szCs w:val="18"/>
        </w:rPr>
      </w:pPr>
      <w:r w:rsidRPr="008D6C3F">
        <w:rPr>
          <w:rFonts w:ascii="Tahoma" w:hAnsi="Tahoma" w:cs="Tahoma"/>
          <w:sz w:val="18"/>
          <w:szCs w:val="18"/>
        </w:rPr>
        <w:t>O número de licenças do Home Use Program que pode ser adquirido para qualquer aplicativo de desktop determinado é limitado ao número de licenças de aplicativos de desktop qualificados correspondentes para os quais o</w:t>
      </w:r>
      <w:r w:rsidR="008D6C3F">
        <w:rPr>
          <w:rFonts w:ascii="Tahoma" w:hAnsi="Tahoma" w:cs="Tahoma"/>
          <w:sz w:val="18"/>
          <w:szCs w:val="18"/>
        </w:rPr>
        <w:t> </w:t>
      </w:r>
      <w:r w:rsidRPr="008D6C3F">
        <w:rPr>
          <w:rFonts w:ascii="Tahoma" w:hAnsi="Tahoma" w:cs="Tahoma"/>
          <w:sz w:val="18"/>
          <w:szCs w:val="18"/>
        </w:rPr>
        <w:t>cliente adquirir o Software Assurance.</w:t>
      </w:r>
      <w:r w:rsidR="00172F11" w:rsidRPr="008D6C3F">
        <w:rPr>
          <w:rFonts w:ascii="Tahoma" w:hAnsi="Tahoma" w:cs="Tahoma"/>
          <w:sz w:val="18"/>
          <w:szCs w:val="18"/>
        </w:rPr>
        <w:t xml:space="preserve"> </w:t>
      </w:r>
      <w:r w:rsidRPr="008D6C3F">
        <w:rPr>
          <w:rFonts w:ascii="Tahoma" w:hAnsi="Tahoma" w:cs="Tahoma"/>
          <w:sz w:val="18"/>
          <w:szCs w:val="18"/>
        </w:rPr>
        <w:t>Sob o Home Use Program, os direitos de uso de um funcionário estão relacionados ao vínculo empregatício contínuo com o Cliente e eles se encerram com a rescisão do emprego, a</w:t>
      </w:r>
      <w:r w:rsidR="008D6C3F">
        <w:rPr>
          <w:rFonts w:ascii="Tahoma" w:hAnsi="Tahoma" w:cs="Tahoma"/>
          <w:sz w:val="18"/>
          <w:szCs w:val="18"/>
        </w:rPr>
        <w:t> </w:t>
      </w:r>
      <w:r w:rsidRPr="008D6C3F">
        <w:rPr>
          <w:rFonts w:ascii="Tahoma" w:hAnsi="Tahoma" w:cs="Tahoma"/>
          <w:sz w:val="18"/>
          <w:szCs w:val="18"/>
        </w:rPr>
        <w:t>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023FE7" w:rsidRPr="008D6C3F" w:rsidRDefault="00023FE7" w:rsidP="002D25C8">
      <w:pPr>
        <w:pStyle w:val="AppendixFlushBulletedList"/>
        <w:tabs>
          <w:tab w:val="clear" w:pos="360"/>
        </w:tabs>
        <w:ind w:left="0" w:firstLine="0"/>
        <w:rPr>
          <w:rFonts w:ascii="Tahoma" w:hAnsi="Tahoma" w:cs="Tahoma"/>
          <w:sz w:val="18"/>
          <w:szCs w:val="18"/>
        </w:rPr>
      </w:pPr>
    </w:p>
    <w:p w:rsidR="00023FE7" w:rsidRPr="008D6C3F" w:rsidRDefault="00023FE7" w:rsidP="002D25C8">
      <w:pPr>
        <w:pStyle w:val="AppendixFlushBulletedList"/>
        <w:tabs>
          <w:tab w:val="clear" w:pos="360"/>
        </w:tabs>
        <w:ind w:left="0" w:firstLine="0"/>
        <w:rPr>
          <w:rFonts w:ascii="Tahoma" w:hAnsi="Tahoma" w:cs="Tahoma"/>
          <w:sz w:val="18"/>
          <w:szCs w:val="18"/>
        </w:rPr>
      </w:pPr>
      <w:r w:rsidRPr="008D6C3F">
        <w:rPr>
          <w:rFonts w:ascii="Tahoma" w:hAnsi="Tahoma" w:cs="Tahoma"/>
          <w:sz w:val="18"/>
          <w:szCs w:val="18"/>
        </w:rPr>
        <w:t>Os clientes não são responsáveis pela conformidade de seus funcionários individuais com os termos de licença de usuário final do Home Use Program.</w:t>
      </w:r>
      <w:r w:rsidR="00172F11" w:rsidRPr="008D6C3F">
        <w:rPr>
          <w:rFonts w:ascii="Tahoma" w:hAnsi="Tahoma" w:cs="Tahoma"/>
          <w:sz w:val="18"/>
          <w:szCs w:val="18"/>
        </w:rPr>
        <w:t xml:space="preserve"> </w:t>
      </w:r>
      <w:r w:rsidRPr="008D6C3F">
        <w:rPr>
          <w:rFonts w:ascii="Tahoma" w:hAnsi="Tahoma" w:cs="Tahoma"/>
          <w:sz w:val="18"/>
          <w:szCs w:val="18"/>
        </w:rPr>
        <w:t>Esses termos são firmados entre a Microsoft e o funcionário do cliente e são diferentes dos direitos fornecidos sob as Licenças de Volume do cliente (por exemplo, o funcionário pode instalar apenas uma cópia do software do HUP). Solicitamos que os clientes limitem o acesso ao Home Use Program a funcionários e os informem sobre quando eles devem descontinuar o uso do software do Home Use Program juntamente com um lapso na cobertura do Software Assurance ou na rescisão do emprego.</w:t>
      </w:r>
    </w:p>
    <w:p w:rsidR="00023FE7" w:rsidRPr="008D6C3F" w:rsidRDefault="00023FE7" w:rsidP="002D25C8">
      <w:pPr>
        <w:pStyle w:val="AppendixFlushBulletedList"/>
        <w:tabs>
          <w:tab w:val="clear" w:pos="360"/>
        </w:tabs>
        <w:ind w:left="0" w:firstLine="0"/>
        <w:rPr>
          <w:rFonts w:ascii="Tahoma" w:hAnsi="Tahoma" w:cs="Tahoma"/>
          <w:sz w:val="18"/>
          <w:szCs w:val="18"/>
        </w:rPr>
      </w:pPr>
    </w:p>
    <w:p w:rsidR="00023FE7" w:rsidRPr="008D6C3F" w:rsidRDefault="00023FE7" w:rsidP="002D25C8">
      <w:pPr>
        <w:rPr>
          <w:rFonts w:cs="Tahoma"/>
          <w:szCs w:val="18"/>
        </w:rPr>
      </w:pPr>
      <w:r w:rsidRPr="008D6C3F">
        <w:rPr>
          <w:rFonts w:cs="Tahoma"/>
          <w:color w:val="000000"/>
          <w:szCs w:val="18"/>
        </w:rPr>
        <w:t>A participação nesse programa pode ter implicações de tributos para o cliente e seus funcionários.</w:t>
      </w:r>
      <w:r w:rsidR="00172F11" w:rsidRPr="008D6C3F">
        <w:rPr>
          <w:rFonts w:cs="Tahoma"/>
          <w:color w:val="000000"/>
          <w:szCs w:val="18"/>
        </w:rPr>
        <w:t xml:space="preserve"> </w:t>
      </w:r>
      <w:r w:rsidRPr="008D6C3F">
        <w:rPr>
          <w:rFonts w:cs="Tahoma"/>
          <w:color w:val="000000"/>
          <w:szCs w:val="18"/>
        </w:rPr>
        <w:t xml:space="preserve">O cliente pode desejar contatar um consultor tributarista antes de usar esse benefício. A Microsoft não assume nenhuma responsabilidade pela conformidade com qualquer obrigação de benefício de trabalho, tributo ou relatório que o cliente ou seus funcionários possam ter. </w:t>
      </w:r>
      <w:r w:rsidRPr="008D6C3F">
        <w:rPr>
          <w:rFonts w:cs="Tahoma"/>
          <w:szCs w:val="18"/>
        </w:rPr>
        <w:t>Os termos adicionais que se aplicam aos funcionários na Nova Zelândia estão definidos a seguir:</w:t>
      </w:r>
    </w:p>
    <w:p w:rsidR="00023FE7" w:rsidRPr="008D6C3F" w:rsidRDefault="00023FE7" w:rsidP="00F93617">
      <w:pPr>
        <w:rPr>
          <w:rFonts w:cs="Tahoma"/>
          <w:szCs w:val="18"/>
        </w:rPr>
      </w:pPr>
    </w:p>
    <w:p w:rsidR="00023FE7" w:rsidRPr="004B208C" w:rsidRDefault="00023FE7" w:rsidP="002378E5">
      <w:pPr>
        <w:numPr>
          <w:ilvl w:val="0"/>
          <w:numId w:val="12"/>
        </w:numPr>
        <w:tabs>
          <w:tab w:val="left" w:pos="1440"/>
        </w:tabs>
        <w:spacing w:afterLines="60" w:after="144"/>
        <w:ind w:left="1440"/>
        <w:rPr>
          <w:rFonts w:cs="Tahoma"/>
        </w:rPr>
      </w:pPr>
      <w:r w:rsidRPr="004B208C">
        <w:rPr>
          <w:rFonts w:cs="Tahoma"/>
        </w:rPr>
        <w:t xml:space="preserve">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 </w:t>
      </w:r>
    </w:p>
    <w:p w:rsidR="00023FE7" w:rsidRPr="004B208C" w:rsidRDefault="00023FE7" w:rsidP="00F93617">
      <w:pPr>
        <w:numPr>
          <w:ilvl w:val="0"/>
          <w:numId w:val="12"/>
        </w:numPr>
        <w:tabs>
          <w:tab w:val="left" w:pos="1440"/>
        </w:tabs>
        <w:ind w:left="1440"/>
        <w:rPr>
          <w:rFonts w:cs="Tahoma"/>
        </w:rPr>
      </w:pPr>
      <w:r w:rsidRPr="004B208C">
        <w:rPr>
          <w:rFonts w:cs="Tahoma"/>
        </w:rPr>
        <w:t xml:space="preserve">Os clientes devem indenizar a Microsoft e suas afiliadas, além de mantê-las livres e isentas de quaisquer custos, despesas, perdas ou danos incorridos pela Microsoft ou suas afiliadas como resultado de uma falha do cliente em cumprir com as obrigações contidas nesta seção. </w:t>
      </w:r>
    </w:p>
    <w:p w:rsidR="00023FE7" w:rsidRPr="004B208C" w:rsidRDefault="00023FE7" w:rsidP="00F93617">
      <w:pPr>
        <w:rPr>
          <w:rFonts w:cs="Tahoma"/>
        </w:rPr>
      </w:pPr>
    </w:p>
    <w:p w:rsidR="00023FE7" w:rsidRPr="004B208C" w:rsidRDefault="00023FE7" w:rsidP="002D25C8">
      <w:pPr>
        <w:rPr>
          <w:rFonts w:cs="Tahoma"/>
        </w:rPr>
      </w:pPr>
      <w:r w:rsidRPr="004B208C">
        <w:rPr>
          <w:rFonts w:cs="Tahoma"/>
          <w:szCs w:val="18"/>
        </w:rPr>
        <w:t>A lista de aplicativos de desktop qualificados está sujeita a alterações a qualquer momento, sem aviso prévio, e varia por região ou oferta. A disponibilidade do software do Home Use Program está sujeita a alterações a qualquer momento, sem aviso, e varia por região, oferta, aplicativo, versão e idioma.</w:t>
      </w:r>
    </w:p>
    <w:p w:rsidR="00023FE7" w:rsidRPr="004B208C" w:rsidRDefault="00502827" w:rsidP="00EC05F0">
      <w:pPr>
        <w:keepNext/>
        <w:keepLines/>
        <w:rPr>
          <w:rFonts w:cs="Tahoma"/>
        </w:rPr>
      </w:pPr>
      <w:r w:rsidRPr="004B208C">
        <w:rPr>
          <w:rFonts w:cs="Tahoma"/>
          <w:szCs w:val="18"/>
        </w:rPr>
        <w:lastRenderedPageBreak/>
        <w:t>O HUP do Microsoft Office Professional Plus contém os seguintes programas do Microsoft Office:</w:t>
      </w:r>
    </w:p>
    <w:p w:rsidR="00023FE7" w:rsidRPr="004B208C"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4B208C" w:rsidTr="00BF1889">
        <w:trPr>
          <w:trHeight w:val="60"/>
        </w:trPr>
        <w:tc>
          <w:tcPr>
            <w:tcW w:w="4437" w:type="dxa"/>
            <w:shd w:val="clear" w:color="auto" w:fill="FABF8F"/>
            <w:tcMar>
              <w:top w:w="0" w:type="dxa"/>
              <w:left w:w="108" w:type="dxa"/>
              <w:bottom w:w="0" w:type="dxa"/>
              <w:right w:w="108" w:type="dxa"/>
            </w:tcMar>
            <w:vAlign w:val="center"/>
          </w:tcPr>
          <w:p w:rsidR="00CA6072" w:rsidRPr="004B208C" w:rsidRDefault="00CA6072" w:rsidP="00EC05F0">
            <w:pPr>
              <w:pStyle w:val="appendixtableheadings0"/>
              <w:keepNext/>
              <w:keepLines/>
              <w:rPr>
                <w:rFonts w:ascii="Tahoma" w:hAnsi="Tahoma" w:cs="Tahoma"/>
              </w:rPr>
            </w:pPr>
            <w:r w:rsidRPr="004B208C">
              <w:rPr>
                <w:rFonts w:ascii="Tahoma" w:hAnsi="Tahoma" w:cs="Tahoma"/>
                <w:color w:val="000000"/>
                <w:sz w:val="20"/>
                <w:szCs w:val="20"/>
              </w:rPr>
              <w:t>Componentes do Office Professional Plus</w:t>
            </w:r>
            <w:r w:rsidR="008D6C3F">
              <w:rPr>
                <w:rFonts w:ascii="Tahoma" w:hAnsi="Tahoma" w:cs="Tahoma"/>
                <w:color w:val="000000"/>
                <w:sz w:val="20"/>
                <w:szCs w:val="20"/>
              </w:rPr>
              <w:t> </w:t>
            </w:r>
            <w:r w:rsidRPr="004B208C">
              <w:rPr>
                <w:rFonts w:ascii="Tahoma" w:hAnsi="Tahoma" w:cs="Tahoma"/>
                <w:color w:val="000000"/>
                <w:sz w:val="20"/>
                <w:szCs w:val="20"/>
              </w:rPr>
              <w:t xml:space="preserve">para HUP </w:t>
            </w:r>
          </w:p>
          <w:p w:rsidR="00023FE7" w:rsidRPr="004B208C" w:rsidRDefault="00023FE7" w:rsidP="00EC05F0">
            <w:pPr>
              <w:pStyle w:val="appendixtableheadings0"/>
              <w:keepNext/>
              <w:keepLines/>
              <w:rPr>
                <w:rFonts w:ascii="Tahoma" w:hAnsi="Tahoma" w:cs="Tahoma"/>
                <w:color w:val="000000"/>
                <w:sz w:val="20"/>
                <w:szCs w:val="20"/>
              </w:rPr>
            </w:pPr>
          </w:p>
        </w:tc>
      </w:tr>
      <w:tr w:rsidR="00023FE7" w:rsidRPr="004B208C" w:rsidTr="00BF1889">
        <w:trPr>
          <w:trHeight w:val="438"/>
        </w:trPr>
        <w:tc>
          <w:tcPr>
            <w:tcW w:w="4437" w:type="dxa"/>
            <w:tcMar>
              <w:top w:w="0" w:type="dxa"/>
              <w:left w:w="108" w:type="dxa"/>
              <w:bottom w:w="0" w:type="dxa"/>
              <w:right w:w="108" w:type="dxa"/>
            </w:tcMar>
            <w:vAlign w:val="center"/>
          </w:tcPr>
          <w:p w:rsidR="00CA6072" w:rsidRPr="004B208C" w:rsidRDefault="00CA6072" w:rsidP="00EC05F0">
            <w:pPr>
              <w:pStyle w:val="appendixtabletext0"/>
              <w:keepNext/>
              <w:keepLines/>
              <w:rPr>
                <w:rFonts w:ascii="Tahoma" w:hAnsi="Tahoma" w:cs="Tahoma"/>
              </w:rPr>
            </w:pPr>
            <w:r w:rsidRPr="004B208C">
              <w:rPr>
                <w:rFonts w:ascii="Tahoma" w:hAnsi="Tahoma" w:cs="Tahoma"/>
                <w:color w:val="000000"/>
              </w:rPr>
              <w:t>Word 2013</w:t>
            </w:r>
          </w:p>
          <w:p w:rsidR="00CA6072" w:rsidRPr="004B208C" w:rsidRDefault="00CA6072" w:rsidP="00EC05F0">
            <w:pPr>
              <w:pStyle w:val="appendixtabletext0"/>
              <w:keepNext/>
              <w:keepLines/>
              <w:rPr>
                <w:rFonts w:ascii="Tahoma" w:hAnsi="Tahoma" w:cs="Tahoma"/>
              </w:rPr>
            </w:pPr>
            <w:r w:rsidRPr="004B208C">
              <w:rPr>
                <w:rFonts w:ascii="Tahoma" w:hAnsi="Tahoma" w:cs="Tahoma"/>
                <w:color w:val="000000"/>
              </w:rPr>
              <w:t>Excel</w:t>
            </w:r>
            <w:r w:rsidR="00172F11" w:rsidRPr="00172F11">
              <w:rPr>
                <w:rFonts w:ascii="Tahoma" w:hAnsi="Tahoma" w:cs="Tahoma"/>
                <w:color w:val="000000"/>
                <w:vertAlign w:val="superscript"/>
              </w:rPr>
              <w:t>®</w:t>
            </w:r>
            <w:r w:rsidRPr="004B208C">
              <w:rPr>
                <w:rFonts w:ascii="Tahoma" w:hAnsi="Tahoma" w:cs="Tahoma"/>
                <w:color w:val="000000"/>
              </w:rPr>
              <w:t xml:space="preserve"> 2013</w:t>
            </w:r>
          </w:p>
          <w:p w:rsidR="00CA6072" w:rsidRPr="004B208C" w:rsidRDefault="00CA6072" w:rsidP="00EC05F0">
            <w:pPr>
              <w:pStyle w:val="appendixtabletext0"/>
              <w:keepNext/>
              <w:keepLines/>
              <w:rPr>
                <w:rFonts w:ascii="Tahoma" w:hAnsi="Tahoma" w:cs="Tahoma"/>
              </w:rPr>
            </w:pPr>
            <w:r w:rsidRPr="004B208C">
              <w:rPr>
                <w:rFonts w:ascii="Tahoma" w:hAnsi="Tahoma" w:cs="Tahoma"/>
                <w:color w:val="000000"/>
              </w:rPr>
              <w:t>PowerPoint</w:t>
            </w:r>
            <w:r w:rsidR="00172F11" w:rsidRPr="00172F11">
              <w:rPr>
                <w:rFonts w:ascii="Tahoma" w:hAnsi="Tahoma" w:cs="Tahoma"/>
                <w:color w:val="000000"/>
                <w:vertAlign w:val="superscript"/>
              </w:rPr>
              <w:t>®</w:t>
            </w:r>
            <w:r w:rsidRPr="004B208C">
              <w:rPr>
                <w:rFonts w:ascii="Tahoma" w:hAnsi="Tahoma" w:cs="Tahoma"/>
                <w:color w:val="000000"/>
              </w:rPr>
              <w:t xml:space="preserve"> 2013</w:t>
            </w:r>
          </w:p>
          <w:p w:rsidR="00CA6072" w:rsidRPr="004B208C" w:rsidRDefault="00CA6072" w:rsidP="00EC05F0">
            <w:pPr>
              <w:pStyle w:val="appendixtabletext0"/>
              <w:keepNext/>
              <w:keepLines/>
              <w:rPr>
                <w:rFonts w:ascii="Tahoma" w:hAnsi="Tahoma" w:cs="Tahoma"/>
              </w:rPr>
            </w:pPr>
            <w:r w:rsidRPr="004B208C">
              <w:rPr>
                <w:rFonts w:ascii="Tahoma" w:hAnsi="Tahoma" w:cs="Tahoma"/>
                <w:color w:val="000000"/>
              </w:rPr>
              <w:t>Outlook</w:t>
            </w:r>
            <w:r w:rsidR="00172F11" w:rsidRPr="00172F11">
              <w:rPr>
                <w:rFonts w:ascii="Tahoma" w:hAnsi="Tahoma" w:cs="Tahoma"/>
                <w:color w:val="000000"/>
                <w:vertAlign w:val="superscript"/>
              </w:rPr>
              <w:t>®</w:t>
            </w:r>
            <w:r w:rsidRPr="004B208C">
              <w:rPr>
                <w:rFonts w:ascii="Tahoma" w:hAnsi="Tahoma" w:cs="Tahoma"/>
                <w:color w:val="000000"/>
              </w:rPr>
              <w:t xml:space="preserve"> 2013</w:t>
            </w:r>
          </w:p>
          <w:p w:rsidR="00CA6072" w:rsidRPr="004B208C" w:rsidRDefault="00CA6072" w:rsidP="00EC05F0">
            <w:pPr>
              <w:pStyle w:val="appendixtabletext0"/>
              <w:keepNext/>
              <w:keepLines/>
              <w:rPr>
                <w:rFonts w:ascii="Tahoma" w:hAnsi="Tahoma" w:cs="Tahoma"/>
              </w:rPr>
            </w:pPr>
            <w:r w:rsidRPr="004B208C">
              <w:rPr>
                <w:rFonts w:ascii="Tahoma" w:hAnsi="Tahoma" w:cs="Tahoma"/>
                <w:color w:val="000000"/>
              </w:rPr>
              <w:t>Publisher 2013</w:t>
            </w:r>
          </w:p>
          <w:p w:rsidR="00CA6072" w:rsidRPr="004B208C" w:rsidRDefault="00CA6072" w:rsidP="00EC05F0">
            <w:pPr>
              <w:pStyle w:val="appendixtabletext0"/>
              <w:keepNext/>
              <w:keepLines/>
              <w:rPr>
                <w:rFonts w:ascii="Tahoma" w:hAnsi="Tahoma" w:cs="Tahoma"/>
              </w:rPr>
            </w:pPr>
            <w:r w:rsidRPr="004B208C">
              <w:rPr>
                <w:rFonts w:ascii="Tahoma" w:hAnsi="Tahoma" w:cs="Tahoma"/>
                <w:color w:val="000000"/>
              </w:rPr>
              <w:t>Access</w:t>
            </w:r>
            <w:r w:rsidR="00172F11" w:rsidRPr="00172F11">
              <w:rPr>
                <w:rFonts w:ascii="Tahoma" w:hAnsi="Tahoma" w:cs="Tahoma"/>
                <w:color w:val="000000"/>
                <w:vertAlign w:val="superscript"/>
              </w:rPr>
              <w:t>®</w:t>
            </w:r>
            <w:r w:rsidRPr="004B208C">
              <w:rPr>
                <w:rFonts w:ascii="Tahoma" w:hAnsi="Tahoma" w:cs="Tahoma"/>
                <w:color w:val="000000"/>
              </w:rPr>
              <w:t xml:space="preserve"> 2013</w:t>
            </w:r>
          </w:p>
          <w:p w:rsidR="00CA6072" w:rsidRPr="004B208C" w:rsidRDefault="00CA6072" w:rsidP="00EC05F0">
            <w:pPr>
              <w:pStyle w:val="appendixtabletext0"/>
              <w:keepNext/>
              <w:keepLines/>
              <w:rPr>
                <w:rFonts w:ascii="Tahoma" w:hAnsi="Tahoma" w:cs="Tahoma"/>
              </w:rPr>
            </w:pPr>
            <w:r w:rsidRPr="004B208C">
              <w:rPr>
                <w:rFonts w:ascii="Tahoma" w:hAnsi="Tahoma" w:cs="Tahoma"/>
                <w:color w:val="000000"/>
              </w:rPr>
              <w:t>OneNote</w:t>
            </w:r>
            <w:r w:rsidR="00172F11" w:rsidRPr="00172F11">
              <w:rPr>
                <w:rFonts w:ascii="Tahoma" w:hAnsi="Tahoma" w:cs="Tahoma"/>
                <w:color w:val="000000"/>
                <w:vertAlign w:val="superscript"/>
              </w:rPr>
              <w:t>®</w:t>
            </w:r>
            <w:r w:rsidRPr="004B208C">
              <w:rPr>
                <w:rFonts w:ascii="Tahoma" w:hAnsi="Tahoma" w:cs="Tahoma"/>
                <w:color w:val="000000"/>
              </w:rPr>
              <w:t xml:space="preserve"> 2013</w:t>
            </w:r>
          </w:p>
          <w:p w:rsidR="00CA6072" w:rsidRPr="004B208C" w:rsidRDefault="00CA6072" w:rsidP="00EC05F0">
            <w:pPr>
              <w:pStyle w:val="appendixtabletext0"/>
              <w:keepNext/>
              <w:keepLines/>
              <w:rPr>
                <w:rFonts w:ascii="Tahoma" w:hAnsi="Tahoma" w:cs="Tahoma"/>
              </w:rPr>
            </w:pPr>
            <w:r w:rsidRPr="004B208C">
              <w:rPr>
                <w:rFonts w:ascii="Tahoma" w:hAnsi="Tahoma" w:cs="Tahoma"/>
                <w:color w:val="000000"/>
              </w:rPr>
              <w:t>InfoPath</w:t>
            </w:r>
            <w:r w:rsidR="00172F11" w:rsidRPr="00172F11">
              <w:rPr>
                <w:rFonts w:ascii="Tahoma" w:hAnsi="Tahoma" w:cs="Tahoma"/>
                <w:color w:val="000000"/>
                <w:vertAlign w:val="superscript"/>
              </w:rPr>
              <w:t>®</w:t>
            </w:r>
            <w:r w:rsidRPr="004B208C">
              <w:rPr>
                <w:rFonts w:ascii="Tahoma" w:hAnsi="Tahoma" w:cs="Tahoma"/>
                <w:color w:val="000000"/>
              </w:rPr>
              <w:t xml:space="preserve"> 2013</w:t>
            </w:r>
          </w:p>
          <w:p w:rsidR="00502827" w:rsidRPr="004B208C" w:rsidRDefault="00B9674D" w:rsidP="00EC05F0">
            <w:pPr>
              <w:pStyle w:val="appendixtabletext0"/>
              <w:keepNext/>
              <w:keepLines/>
              <w:rPr>
                <w:rFonts w:ascii="Tahoma" w:hAnsi="Tahoma" w:cs="Tahoma"/>
              </w:rPr>
            </w:pPr>
            <w:r w:rsidRPr="004B208C">
              <w:rPr>
                <w:rFonts w:ascii="Tahoma" w:hAnsi="Tahoma" w:cs="Tahoma"/>
                <w:color w:val="000000"/>
              </w:rPr>
              <w:t>Lync 2013</w:t>
            </w:r>
          </w:p>
          <w:p w:rsidR="002D25C8" w:rsidRPr="004B208C" w:rsidRDefault="002D25C8" w:rsidP="00EC05F0">
            <w:pPr>
              <w:pStyle w:val="appendixtabletext0"/>
              <w:keepNext/>
              <w:keepLines/>
              <w:rPr>
                <w:rFonts w:ascii="Tahoma" w:hAnsi="Tahoma" w:cs="Tahoma"/>
                <w:color w:val="000000"/>
              </w:rPr>
            </w:pPr>
          </w:p>
        </w:tc>
      </w:tr>
    </w:tbl>
    <w:p w:rsidR="001C1727" w:rsidRPr="004B208C" w:rsidRDefault="001C1727" w:rsidP="001C1727">
      <w:pPr>
        <w:rPr>
          <w:rFonts w:cs="Tahoma"/>
        </w:rPr>
      </w:pPr>
    </w:p>
    <w:p w:rsidR="00023FE7" w:rsidRPr="004B208C"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4B208C"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B208C" w:rsidRDefault="00CA6072" w:rsidP="001B035A">
            <w:pPr>
              <w:pStyle w:val="appendixtableheadings0"/>
              <w:rPr>
                <w:rFonts w:ascii="Tahoma" w:hAnsi="Tahoma" w:cs="Tahoma"/>
                <w:color w:val="000000"/>
                <w:sz w:val="20"/>
                <w:szCs w:val="20"/>
              </w:rPr>
            </w:pPr>
            <w:r w:rsidRPr="004B208C">
              <w:rPr>
                <w:rFonts w:ascii="Tahoma" w:hAnsi="Tahoma" w:cs="Tahoma"/>
                <w:color w:val="000000"/>
                <w:sz w:val="20"/>
                <w:szCs w:val="20"/>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4B208C" w:rsidRDefault="00CA6072" w:rsidP="001B035A">
            <w:pPr>
              <w:pStyle w:val="appendixtableheadings0"/>
              <w:rPr>
                <w:rFonts w:ascii="Tahoma" w:hAnsi="Tahoma" w:cs="Tahoma"/>
                <w:color w:val="000000"/>
                <w:sz w:val="20"/>
                <w:szCs w:val="20"/>
              </w:rPr>
            </w:pPr>
            <w:r w:rsidRPr="004B208C">
              <w:rPr>
                <w:rFonts w:ascii="Tahoma" w:hAnsi="Tahoma" w:cs="Tahoma"/>
                <w:color w:val="000000"/>
                <w:sz w:val="20"/>
                <w:szCs w:val="20"/>
              </w:rPr>
              <w:t xml:space="preserve">Licença do Home Use Program </w:t>
            </w:r>
            <w:r w:rsidRPr="004B208C">
              <w:rPr>
                <w:rFonts w:ascii="Tahoma" w:hAnsi="Tahoma" w:cs="Tahoma"/>
                <w:color w:val="000000"/>
                <w:sz w:val="20"/>
                <w:szCs w:val="20"/>
              </w:rPr>
              <w:br/>
              <w:t>Correspondente</w:t>
            </w:r>
          </w:p>
        </w:tc>
      </w:tr>
      <w:tr w:rsidR="004D700D" w:rsidRPr="004B208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B208C" w:rsidRDefault="004D700D" w:rsidP="001B035A">
            <w:pPr>
              <w:pStyle w:val="appendixtabletext0"/>
              <w:rPr>
                <w:rFonts w:ascii="Tahoma" w:hAnsi="Tahoma" w:cs="Tahoma"/>
              </w:rPr>
            </w:pPr>
            <w:r w:rsidRPr="004B208C">
              <w:rPr>
                <w:rFonts w:ascii="Tahoma" w:hAnsi="Tahoma" w:cs="Tahoma"/>
                <w:color w:val="000000"/>
              </w:rPr>
              <w:t>Office Standard 2010/2013</w:t>
            </w:r>
          </w:p>
          <w:p w:rsidR="004D700D" w:rsidRPr="004B208C" w:rsidRDefault="004D700D" w:rsidP="001B035A">
            <w:pPr>
              <w:pStyle w:val="appendixtabletext0"/>
              <w:rPr>
                <w:rFonts w:ascii="Tahoma" w:hAnsi="Tahoma" w:cs="Tahoma"/>
              </w:rPr>
            </w:pPr>
            <w:r w:rsidRPr="004B208C">
              <w:rPr>
                <w:rFonts w:ascii="Tahoma" w:hAnsi="Tahoma" w:cs="Tahoma"/>
                <w:color w:val="000000"/>
              </w:rPr>
              <w:t>Office Professional Plus 2010/2013</w:t>
            </w:r>
          </w:p>
          <w:p w:rsidR="004D700D" w:rsidRPr="004B208C" w:rsidRDefault="004D700D" w:rsidP="008D6C3F">
            <w:pPr>
              <w:pStyle w:val="appendixtabletext0"/>
              <w:rPr>
                <w:rFonts w:ascii="Tahoma" w:hAnsi="Tahoma" w:cs="Tahoma"/>
                <w:color w:val="000000"/>
              </w:rPr>
            </w:pPr>
            <w:r w:rsidRPr="004B208C">
              <w:rPr>
                <w:rFonts w:ascii="Tahoma" w:hAnsi="Tahoma" w:cs="Tahoma"/>
                <w:color w:val="000000"/>
              </w:rPr>
              <w:t>Office para Mac 2008 / Office for Mac</w:t>
            </w:r>
            <w:r w:rsidR="008D6C3F">
              <w:rPr>
                <w:rFonts w:ascii="Tahoma" w:hAnsi="Tahoma" w:cs="Tahoma"/>
                <w:color w:val="000000"/>
              </w:rPr>
              <w:t> </w:t>
            </w:r>
            <w:r w:rsidRPr="004B208C">
              <w:rPr>
                <w:rFonts w:ascii="Tahoma" w:hAnsi="Tahoma" w:cs="Tahoma"/>
                <w:color w:val="000000"/>
              </w:rPr>
              <w:t>Standard</w:t>
            </w:r>
            <w:r w:rsidR="008D6C3F">
              <w:rPr>
                <w:rFonts w:ascii="Tahoma" w:hAnsi="Tahoma" w:cs="Tahoma"/>
                <w:color w:val="000000"/>
              </w:rPr>
              <w:t> </w:t>
            </w:r>
            <w:r w:rsidRPr="004B208C">
              <w:rPr>
                <w:rFonts w:ascii="Tahoma" w:hAnsi="Tahoma" w:cs="Tahoma"/>
                <w:color w:val="000000"/>
              </w:rPr>
              <w:t xml:space="preserve">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B208C" w:rsidRDefault="004D700D" w:rsidP="00735622">
            <w:pPr>
              <w:pStyle w:val="appendixtabletext0"/>
              <w:rPr>
                <w:rFonts w:ascii="Tahoma" w:hAnsi="Tahoma" w:cs="Tahoma"/>
              </w:rPr>
            </w:pPr>
            <w:r w:rsidRPr="004B208C">
              <w:rPr>
                <w:rFonts w:ascii="Tahoma" w:hAnsi="Tahoma" w:cs="Tahoma"/>
                <w:color w:val="000000"/>
              </w:rPr>
              <w:t>Office Professional Plus 2013 HUP</w:t>
            </w:r>
          </w:p>
          <w:p w:rsidR="004D700D" w:rsidRPr="004B208C" w:rsidRDefault="004D700D" w:rsidP="00735622">
            <w:pPr>
              <w:pStyle w:val="appendixtabletext0"/>
              <w:rPr>
                <w:rFonts w:ascii="Tahoma" w:hAnsi="Tahoma" w:cs="Tahoma"/>
              </w:rPr>
            </w:pPr>
            <w:r w:rsidRPr="004B208C">
              <w:rPr>
                <w:rFonts w:ascii="Tahoma" w:hAnsi="Tahoma" w:cs="Tahoma"/>
                <w:color w:val="000000"/>
              </w:rPr>
              <w:t>ou</w:t>
            </w:r>
          </w:p>
          <w:p w:rsidR="004D700D" w:rsidRPr="004B208C" w:rsidRDefault="00E316C2" w:rsidP="00C37E9D">
            <w:pPr>
              <w:pStyle w:val="appendixtabletext0"/>
              <w:rPr>
                <w:rFonts w:ascii="Tahoma" w:hAnsi="Tahoma" w:cs="Tahoma"/>
                <w:color w:val="000000"/>
              </w:rPr>
            </w:pPr>
            <w:r w:rsidRPr="004B208C">
              <w:rPr>
                <w:rFonts w:ascii="Tahoma" w:hAnsi="Tahoma" w:cs="Tahoma"/>
                <w:color w:val="000000"/>
              </w:rPr>
              <w:t>HUP do Office para Mac Home &amp; Business 2011</w:t>
            </w:r>
          </w:p>
        </w:tc>
      </w:tr>
      <w:tr w:rsidR="004D700D" w:rsidRPr="004B208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4B208C" w:rsidRDefault="004D700D" w:rsidP="001B035A">
            <w:pPr>
              <w:pStyle w:val="appendixtabletext0"/>
              <w:rPr>
                <w:rFonts w:ascii="Tahoma" w:hAnsi="Tahoma" w:cs="Tahoma"/>
              </w:rPr>
            </w:pPr>
            <w:r w:rsidRPr="004B208C">
              <w:rPr>
                <w:rFonts w:ascii="Tahoma" w:hAnsi="Tahoma" w:cs="Tahoma"/>
                <w:color w:val="000000"/>
              </w:rPr>
              <w:t>Access 2010/2013</w:t>
            </w:r>
          </w:p>
          <w:p w:rsidR="004D700D" w:rsidRPr="004B208C" w:rsidRDefault="004D700D" w:rsidP="001B035A">
            <w:pPr>
              <w:pStyle w:val="appendixtabletext0"/>
              <w:rPr>
                <w:rFonts w:ascii="Tahoma" w:hAnsi="Tahoma" w:cs="Tahoma"/>
              </w:rPr>
            </w:pPr>
            <w:r w:rsidRPr="004B208C">
              <w:rPr>
                <w:rFonts w:ascii="Tahoma" w:hAnsi="Tahoma" w:cs="Tahoma"/>
                <w:color w:val="000000"/>
              </w:rPr>
              <w:t>Excel 2010/2013</w:t>
            </w:r>
          </w:p>
          <w:p w:rsidR="004D700D" w:rsidRPr="004B208C" w:rsidRDefault="004D700D" w:rsidP="001B035A">
            <w:pPr>
              <w:pStyle w:val="appendixtabletext0"/>
              <w:rPr>
                <w:rFonts w:ascii="Tahoma" w:hAnsi="Tahoma" w:cs="Tahoma"/>
              </w:rPr>
            </w:pPr>
            <w:r w:rsidRPr="004B208C">
              <w:rPr>
                <w:rFonts w:ascii="Tahoma" w:hAnsi="Tahoma" w:cs="Tahoma"/>
                <w:color w:val="000000"/>
              </w:rPr>
              <w:t>PowerPoint 2010/2013</w:t>
            </w:r>
          </w:p>
          <w:p w:rsidR="004D700D" w:rsidRPr="004B208C" w:rsidRDefault="004D700D" w:rsidP="001B035A">
            <w:pPr>
              <w:pStyle w:val="appendixtabletext0"/>
              <w:rPr>
                <w:rFonts w:ascii="Tahoma" w:hAnsi="Tahoma" w:cs="Tahoma"/>
              </w:rPr>
            </w:pPr>
            <w:r w:rsidRPr="004B208C">
              <w:rPr>
                <w:rFonts w:ascii="Tahoma" w:hAnsi="Tahoma" w:cs="Tahoma"/>
                <w:color w:val="000000"/>
              </w:rPr>
              <w:t>InfoPath 2010/2013</w:t>
            </w:r>
          </w:p>
          <w:p w:rsidR="004D700D" w:rsidRPr="004B208C" w:rsidRDefault="004D700D" w:rsidP="001B035A">
            <w:pPr>
              <w:pStyle w:val="appendixtabletext0"/>
              <w:rPr>
                <w:rFonts w:ascii="Tahoma" w:hAnsi="Tahoma" w:cs="Tahoma"/>
              </w:rPr>
            </w:pPr>
            <w:r w:rsidRPr="004B208C">
              <w:rPr>
                <w:rFonts w:ascii="Tahoma" w:hAnsi="Tahoma" w:cs="Tahoma"/>
                <w:color w:val="000000"/>
              </w:rPr>
              <w:t>OneNote 2010/2013</w:t>
            </w:r>
          </w:p>
          <w:p w:rsidR="004D700D" w:rsidRPr="004B208C" w:rsidRDefault="004D700D" w:rsidP="001B035A">
            <w:pPr>
              <w:pStyle w:val="appendixtabletext0"/>
              <w:rPr>
                <w:rFonts w:ascii="Tahoma" w:hAnsi="Tahoma" w:cs="Tahoma"/>
              </w:rPr>
            </w:pPr>
            <w:r w:rsidRPr="004B208C">
              <w:rPr>
                <w:rFonts w:ascii="Tahoma" w:hAnsi="Tahoma" w:cs="Tahoma"/>
                <w:color w:val="000000"/>
              </w:rPr>
              <w:t>Outlook 2010/2013</w:t>
            </w:r>
          </w:p>
          <w:p w:rsidR="004D700D" w:rsidRPr="004B208C" w:rsidRDefault="004D700D" w:rsidP="001B035A">
            <w:pPr>
              <w:pStyle w:val="appendixtabletext0"/>
              <w:rPr>
                <w:rFonts w:ascii="Tahoma" w:hAnsi="Tahoma" w:cs="Tahoma"/>
              </w:rPr>
            </w:pPr>
            <w:r w:rsidRPr="004B208C">
              <w:rPr>
                <w:rFonts w:ascii="Tahoma" w:hAnsi="Tahoma" w:cs="Tahoma"/>
                <w:color w:val="000000"/>
              </w:rPr>
              <w:t>Publisher 2010/2013</w:t>
            </w:r>
          </w:p>
          <w:p w:rsidR="004D700D" w:rsidRPr="004B208C" w:rsidRDefault="004D700D" w:rsidP="00737AED">
            <w:pPr>
              <w:pStyle w:val="appendixtabletext0"/>
              <w:rPr>
                <w:rFonts w:ascii="Tahoma" w:hAnsi="Tahoma" w:cs="Tahoma"/>
              </w:rPr>
            </w:pPr>
            <w:r w:rsidRPr="004B208C">
              <w:rPr>
                <w:rFonts w:ascii="Tahoma" w:hAnsi="Tahoma" w:cs="Tahoma"/>
                <w:color w:val="000000"/>
              </w:rPr>
              <w:t>Word 2010/2013</w:t>
            </w:r>
          </w:p>
          <w:p w:rsidR="00737AED" w:rsidRPr="004B208C"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4B208C" w:rsidRDefault="004D700D" w:rsidP="00735622">
            <w:pPr>
              <w:pStyle w:val="appendixtabletext0"/>
              <w:rPr>
                <w:rFonts w:ascii="Tahoma" w:hAnsi="Tahoma" w:cs="Tahoma"/>
              </w:rPr>
            </w:pPr>
            <w:r w:rsidRPr="004B208C">
              <w:rPr>
                <w:rFonts w:ascii="Tahoma" w:hAnsi="Tahoma" w:cs="Tahoma"/>
                <w:color w:val="000000"/>
              </w:rPr>
              <w:t>Office Professional Plus 2013 HUP</w:t>
            </w:r>
          </w:p>
          <w:p w:rsidR="004D700D" w:rsidRPr="004B208C" w:rsidRDefault="004D700D" w:rsidP="00735622">
            <w:pPr>
              <w:pStyle w:val="appendixtabletext0"/>
              <w:rPr>
                <w:rFonts w:ascii="Tahoma" w:hAnsi="Tahoma" w:cs="Tahoma"/>
              </w:rPr>
            </w:pPr>
            <w:r w:rsidRPr="004B208C">
              <w:rPr>
                <w:rFonts w:ascii="Tahoma" w:hAnsi="Tahoma" w:cs="Tahoma"/>
                <w:color w:val="000000"/>
              </w:rPr>
              <w:t>ou</w:t>
            </w:r>
          </w:p>
          <w:p w:rsidR="004D700D" w:rsidRPr="004B208C" w:rsidRDefault="00E316C2" w:rsidP="00C37E9D">
            <w:pPr>
              <w:pStyle w:val="appendixtabletext0"/>
              <w:rPr>
                <w:rFonts w:ascii="Tahoma" w:hAnsi="Tahoma" w:cs="Tahoma"/>
                <w:color w:val="000000"/>
              </w:rPr>
            </w:pPr>
            <w:r w:rsidRPr="004B208C">
              <w:rPr>
                <w:rFonts w:ascii="Tahoma" w:hAnsi="Tahoma" w:cs="Tahoma"/>
                <w:color w:val="000000"/>
              </w:rPr>
              <w:t>HUP do Office para Mac Home &amp; Business 2011</w:t>
            </w:r>
          </w:p>
        </w:tc>
      </w:tr>
      <w:tr w:rsidR="00CA6072" w:rsidRPr="004B208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B208C" w:rsidRDefault="00CA6072" w:rsidP="001B035A">
            <w:pPr>
              <w:pStyle w:val="appendixtabletext0"/>
              <w:rPr>
                <w:rFonts w:ascii="Tahoma" w:hAnsi="Tahoma" w:cs="Tahoma"/>
              </w:rPr>
            </w:pPr>
            <w:r w:rsidRPr="004B208C">
              <w:rPr>
                <w:rFonts w:ascii="Tahoma" w:hAnsi="Tahoma" w:cs="Tahoma"/>
                <w:color w:val="000000"/>
              </w:rPr>
              <w:t xml:space="preserve">Visio Standard 2010/2013 </w:t>
            </w:r>
          </w:p>
          <w:p w:rsidR="00502827" w:rsidRPr="004B208C" w:rsidRDefault="00CA6072" w:rsidP="00502827">
            <w:pPr>
              <w:pStyle w:val="appendixtabletext0"/>
              <w:rPr>
                <w:rFonts w:ascii="Tahoma" w:hAnsi="Tahoma" w:cs="Tahoma"/>
              </w:rPr>
            </w:pPr>
            <w:r w:rsidRPr="004B208C">
              <w:rPr>
                <w:rFonts w:ascii="Tahoma" w:hAnsi="Tahoma" w:cs="Tahoma"/>
                <w:color w:val="000000"/>
              </w:rPr>
              <w:t>Visio Professional 2010/2013</w:t>
            </w:r>
            <w:r w:rsidRPr="004B208C">
              <w:rPr>
                <w:rFonts w:ascii="Tahoma" w:hAnsi="Tahoma" w:cs="Tahoma"/>
                <w:strike/>
                <w:color w:val="000000"/>
              </w:rPr>
              <w:t xml:space="preserve"> </w:t>
            </w:r>
          </w:p>
          <w:p w:rsidR="00502827" w:rsidRPr="004B208C"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B208C" w:rsidRDefault="00CA6072" w:rsidP="001B035A">
            <w:pPr>
              <w:pStyle w:val="appendixtabletext0"/>
              <w:rPr>
                <w:rFonts w:ascii="Tahoma" w:hAnsi="Tahoma" w:cs="Tahoma"/>
              </w:rPr>
            </w:pPr>
            <w:r w:rsidRPr="004B208C">
              <w:rPr>
                <w:rFonts w:ascii="Tahoma" w:hAnsi="Tahoma" w:cs="Tahoma"/>
                <w:color w:val="000000"/>
              </w:rPr>
              <w:t>HUP do Visio Professional 2013</w:t>
            </w:r>
          </w:p>
          <w:p w:rsidR="00CA6072" w:rsidRPr="004B208C" w:rsidRDefault="00CA6072" w:rsidP="001B035A">
            <w:pPr>
              <w:pStyle w:val="appendixtabletext0"/>
              <w:rPr>
                <w:rFonts w:ascii="Tahoma" w:hAnsi="Tahoma" w:cs="Tahoma"/>
                <w:color w:val="000000"/>
              </w:rPr>
            </w:pPr>
          </w:p>
        </w:tc>
      </w:tr>
      <w:tr w:rsidR="00CA6072" w:rsidRPr="004B208C"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4B208C" w:rsidRDefault="00CA6072" w:rsidP="001B035A">
            <w:pPr>
              <w:pStyle w:val="appendixtabletext0"/>
              <w:rPr>
                <w:rFonts w:ascii="Tahoma" w:hAnsi="Tahoma" w:cs="Tahoma"/>
              </w:rPr>
            </w:pPr>
            <w:r w:rsidRPr="004B208C">
              <w:rPr>
                <w:rFonts w:ascii="Tahoma" w:hAnsi="Tahoma" w:cs="Tahoma"/>
                <w:color w:val="000000"/>
              </w:rPr>
              <w:t>Project Standard 2010/2013</w:t>
            </w:r>
          </w:p>
          <w:p w:rsidR="00CA6072" w:rsidRPr="004B208C" w:rsidRDefault="00CA6072" w:rsidP="001E3357">
            <w:pPr>
              <w:pStyle w:val="appendixtabletext0"/>
              <w:rPr>
                <w:rFonts w:ascii="Tahoma" w:hAnsi="Tahoma" w:cs="Tahoma"/>
              </w:rPr>
            </w:pPr>
            <w:r w:rsidRPr="004B208C">
              <w:rPr>
                <w:rFonts w:ascii="Tahoma" w:hAnsi="Tahoma" w:cs="Tahoma"/>
                <w:color w:val="000000"/>
              </w:rPr>
              <w:t>Project Professional 2010/2013</w:t>
            </w:r>
          </w:p>
          <w:p w:rsidR="00737AED" w:rsidRPr="004B208C"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4B208C" w:rsidRDefault="00CA6072" w:rsidP="001B035A">
            <w:pPr>
              <w:pStyle w:val="appendixtabletext0"/>
              <w:rPr>
                <w:rFonts w:ascii="Tahoma" w:hAnsi="Tahoma" w:cs="Tahoma"/>
              </w:rPr>
            </w:pPr>
            <w:r w:rsidRPr="004B208C">
              <w:rPr>
                <w:rFonts w:ascii="Tahoma" w:hAnsi="Tahoma" w:cs="Tahoma"/>
                <w:color w:val="000000"/>
              </w:rPr>
              <w:t>HUP do Project Standard 2013</w:t>
            </w:r>
          </w:p>
          <w:p w:rsidR="00CA6072" w:rsidRPr="004B208C" w:rsidRDefault="00CA6072" w:rsidP="001B035A">
            <w:pPr>
              <w:pStyle w:val="appendixtabletext0"/>
              <w:rPr>
                <w:rFonts w:ascii="Tahoma" w:hAnsi="Tahoma" w:cs="Tahoma"/>
                <w:color w:val="000000"/>
              </w:rPr>
            </w:pPr>
            <w:r w:rsidRPr="004B208C">
              <w:rPr>
                <w:rFonts w:ascii="Tahoma" w:hAnsi="Tahoma" w:cs="Tahoma"/>
                <w:color w:val="000000"/>
              </w:rPr>
              <w:t xml:space="preserve"> </w:t>
            </w:r>
          </w:p>
        </w:tc>
      </w:tr>
    </w:tbl>
    <w:p w:rsidR="00023FE7" w:rsidRPr="008D6C3F" w:rsidRDefault="00023FE7">
      <w:pPr>
        <w:pStyle w:val="AppendixBodyText"/>
        <w:ind w:left="630"/>
        <w:rPr>
          <w:rFonts w:ascii="Tahoma" w:hAnsi="Tahoma" w:cs="Tahoma"/>
          <w:sz w:val="16"/>
          <w:szCs w:val="16"/>
        </w:rPr>
      </w:pPr>
      <w:r w:rsidRPr="008D6C3F">
        <w:rPr>
          <w:rFonts w:ascii="Tahoma" w:hAnsi="Tahoma" w:cs="Tahoma"/>
          <w:b/>
          <w:i/>
          <w:sz w:val="16"/>
          <w:szCs w:val="16"/>
        </w:rPr>
        <w:t>*</w:t>
      </w:r>
      <w:r w:rsidRPr="008D6C3F">
        <w:rPr>
          <w:rFonts w:ascii="Tahoma" w:hAnsi="Tahoma" w:cs="Tahoma"/>
          <w:i/>
          <w:sz w:val="16"/>
          <w:szCs w:val="16"/>
        </w:rPr>
        <w:t xml:space="preserve">A disponibilidade do software do Home Use Program varia por região, oferta e idioma. </w:t>
      </w:r>
    </w:p>
    <w:p w:rsidR="00023FE7" w:rsidRPr="008D6C3F" w:rsidRDefault="00023FE7">
      <w:pPr>
        <w:pStyle w:val="AppendixBodyText"/>
        <w:ind w:left="630"/>
        <w:rPr>
          <w:rFonts w:ascii="Tahoma" w:hAnsi="Tahoma" w:cs="Tahoma"/>
          <w:sz w:val="16"/>
          <w:szCs w:val="16"/>
        </w:rPr>
      </w:pPr>
      <w:r w:rsidRPr="008D6C3F">
        <w:rPr>
          <w:rFonts w:ascii="Tahoma" w:hAnsi="Tahoma" w:cs="Tahoma"/>
          <w:i/>
          <w:sz w:val="16"/>
          <w:szCs w:val="16"/>
        </w:rPr>
        <w:t xml:space="preserve">Para obter mais informações, incluindo informações sobre a disponibilidade futura de software do Home Use Program adicional, consulte o site </w:t>
      </w:r>
      <w:hyperlink r:id="rId22" w:history="1">
        <w:r w:rsidR="008D6C3F">
          <w:rPr>
            <w:rStyle w:val="Hyperlink"/>
            <w:rFonts w:ascii="Tahoma" w:hAnsi="Tahoma" w:cs="Tahoma"/>
            <w:i/>
            <w:sz w:val="16"/>
            <w:szCs w:val="16"/>
          </w:rPr>
          <w:t>http://www.microsoft.com/licensing</w:t>
        </w:r>
      </w:hyperlink>
      <w:r w:rsidRPr="008D6C3F">
        <w:rPr>
          <w:rFonts w:ascii="Tahoma" w:hAnsi="Tahoma" w:cs="Tahoma"/>
          <w:i/>
          <w:sz w:val="16"/>
          <w:szCs w:val="16"/>
        </w:rPr>
        <w:t>.</w:t>
      </w:r>
    </w:p>
    <w:p w:rsidR="00023FE7" w:rsidRPr="008D6C3F" w:rsidRDefault="00023FE7">
      <w:pPr>
        <w:pStyle w:val="AppendixBodyText"/>
        <w:ind w:left="630"/>
        <w:rPr>
          <w:rFonts w:ascii="Tahoma" w:hAnsi="Tahoma" w:cs="Tahoma"/>
          <w:sz w:val="16"/>
          <w:szCs w:val="16"/>
        </w:rPr>
      </w:pPr>
      <w:r w:rsidRPr="008D6C3F">
        <w:rPr>
          <w:rFonts w:ascii="Tahoma" w:hAnsi="Tahoma" w:cs="Tahoma"/>
          <w:i/>
          <w:sz w:val="16"/>
          <w:szCs w:val="16"/>
        </w:rPr>
        <w:t>** Observação para clientes de Contrato para Campus e Contrato School e Open Value Subscription - Soluções Educacionais: consulte o contrato CASA (3.5 ou posterior) ou o contrato OVS-ES para obter regras adicionais específicas do programa.</w:t>
      </w:r>
    </w:p>
    <w:p w:rsidR="00023FE7" w:rsidRPr="008D6C3F" w:rsidRDefault="00023FE7" w:rsidP="00BD1A6A">
      <w:pPr>
        <w:ind w:left="630"/>
        <w:rPr>
          <w:rFonts w:cs="Tahoma"/>
          <w:sz w:val="16"/>
          <w:szCs w:val="16"/>
        </w:rPr>
      </w:pPr>
      <w:r w:rsidRPr="008D6C3F">
        <w:rPr>
          <w:rFonts w:cs="Tahoma"/>
          <w:i/>
          <w:sz w:val="16"/>
          <w:szCs w:val="16"/>
        </w:rPr>
        <w:t xml:space="preserve">*** Observe que o SharePoint Designer agora é um produto gratuito disponível para download neste link </w:t>
      </w:r>
      <w:hyperlink r:id="rId23" w:history="1">
        <w:r w:rsidR="008D6C3F">
          <w:rPr>
            <w:rStyle w:val="Hyperlink"/>
            <w:rFonts w:cs="Tahoma"/>
            <w:i/>
            <w:sz w:val="16"/>
            <w:szCs w:val="16"/>
          </w:rPr>
          <w:t>http://www.microsoft.com/spd</w:t>
        </w:r>
      </w:hyperlink>
    </w:p>
    <w:p w:rsidR="00CA395A" w:rsidRPr="004B208C" w:rsidRDefault="00CA395A" w:rsidP="008A15A8">
      <w:pPr>
        <w:outlineLvl w:val="2"/>
        <w:rPr>
          <w:rFonts w:cs="Tahoma"/>
        </w:rPr>
      </w:pPr>
      <w:bookmarkStart w:id="726" w:name="_Toc281378922"/>
    </w:p>
    <w:p w:rsidR="008A15A8" w:rsidRPr="004B208C" w:rsidRDefault="008A15A8" w:rsidP="002D25C8">
      <w:pPr>
        <w:outlineLvl w:val="2"/>
        <w:rPr>
          <w:rFonts w:cs="Tahoma"/>
        </w:rPr>
      </w:pPr>
      <w:r w:rsidRPr="004B208C">
        <w:rPr>
          <w:rFonts w:eastAsia="Calibri" w:cs="Tahoma"/>
          <w:b/>
          <w:bCs/>
          <w:sz w:val="24"/>
          <w:szCs w:val="20"/>
        </w:rPr>
        <w:t>Enterprise Source Licensing Program</w:t>
      </w:r>
      <w:bookmarkEnd w:id="726"/>
      <w:r w:rsidRPr="004B208C">
        <w:rPr>
          <w:rFonts w:eastAsia="Calibri" w:cs="Tahoma"/>
          <w:b/>
          <w:bCs/>
          <w:sz w:val="24"/>
          <w:szCs w:val="20"/>
        </w:rPr>
        <w:t xml:space="preserve"> </w:t>
      </w:r>
    </w:p>
    <w:p w:rsidR="001C20C9" w:rsidRPr="004B208C" w:rsidRDefault="001C20C9" w:rsidP="002D25C8">
      <w:pPr>
        <w:outlineLvl w:val="2"/>
        <w:rPr>
          <w:rFonts w:cs="Tahoma"/>
        </w:rPr>
      </w:pPr>
    </w:p>
    <w:p w:rsidR="008A15A8" w:rsidRPr="004B208C" w:rsidRDefault="008A15A8" w:rsidP="002D25C8">
      <w:pPr>
        <w:rPr>
          <w:rFonts w:cs="Tahoma"/>
        </w:rPr>
      </w:pPr>
      <w:r w:rsidRPr="004B208C">
        <w:rPr>
          <w:rFonts w:eastAsia="Calibri" w:cs="Tahoma"/>
          <w:szCs w:val="18"/>
        </w:rPr>
        <w:t>Os clientes no Programa de Membros do Software Assurance e com 10.000 ou mais desktops licenciados no pool de</w:t>
      </w:r>
      <w:r w:rsidR="009869F4">
        <w:rPr>
          <w:rFonts w:eastAsia="Calibri" w:cs="Tahoma"/>
          <w:szCs w:val="18"/>
        </w:rPr>
        <w:t> </w:t>
      </w:r>
      <w:r w:rsidRPr="004B208C">
        <w:rPr>
          <w:rFonts w:eastAsia="Calibri" w:cs="Tahoma"/>
          <w:szCs w:val="18"/>
        </w:rPr>
        <w:t>sistemas podem ser qualificados a participar do ESLP (Enterprise Source Licensing Program) durante o prazo de</w:t>
      </w:r>
      <w:r w:rsidR="009869F4">
        <w:rPr>
          <w:rFonts w:eastAsia="Calibri" w:cs="Tahoma"/>
          <w:szCs w:val="18"/>
        </w:rPr>
        <w:t> </w:t>
      </w:r>
      <w:r w:rsidRPr="004B208C">
        <w:rPr>
          <w:rFonts w:eastAsia="Calibri" w:cs="Tahoma"/>
          <w:szCs w:val="18"/>
        </w:rPr>
        <w:t>suas coberturas do Software Assurance.</w:t>
      </w:r>
      <w:r w:rsidR="00172F11">
        <w:rPr>
          <w:rFonts w:eastAsia="Calibri" w:cs="Tahoma"/>
          <w:szCs w:val="18"/>
        </w:rPr>
        <w:t xml:space="preserve"> </w:t>
      </w:r>
      <w:r w:rsidRPr="004B208C">
        <w:rPr>
          <w:rFonts w:eastAsia="Calibri" w:cs="Tahoma"/>
          <w:szCs w:val="18"/>
        </w:rPr>
        <w:t>O ESLP fornece acesso ao código-fonte do Microsoft Windows para desenvolvimento interno e suporte.</w:t>
      </w:r>
      <w:r w:rsidR="00172F11">
        <w:rPr>
          <w:rFonts w:eastAsia="Calibri" w:cs="Tahoma"/>
          <w:szCs w:val="18"/>
        </w:rPr>
        <w:t xml:space="preserve"> </w:t>
      </w:r>
      <w:r w:rsidRPr="004B208C">
        <w:rPr>
          <w:rFonts w:eastAsia="Calibri" w:cs="Tahoma"/>
          <w:szCs w:val="18"/>
        </w:rPr>
        <w:t>O ESLP não está disponível em todos os países e o benefício é concedido por</w:t>
      </w:r>
      <w:r w:rsidR="009869F4">
        <w:rPr>
          <w:rFonts w:eastAsia="Calibri" w:cs="Tahoma"/>
          <w:szCs w:val="18"/>
        </w:rPr>
        <w:t> </w:t>
      </w:r>
      <w:r w:rsidRPr="004B208C">
        <w:rPr>
          <w:rFonts w:eastAsia="Calibri" w:cs="Tahoma"/>
          <w:szCs w:val="18"/>
        </w:rPr>
        <w:t>contrato/registro.</w:t>
      </w:r>
    </w:p>
    <w:p w:rsidR="008A15A8" w:rsidRPr="004B208C" w:rsidRDefault="008A15A8" w:rsidP="002D25C8">
      <w:pPr>
        <w:rPr>
          <w:rFonts w:cs="Tahoma"/>
        </w:rPr>
      </w:pPr>
      <w:r w:rsidRPr="004B208C">
        <w:rPr>
          <w:rFonts w:eastAsia="Calibri" w:cs="Tahoma"/>
          <w:szCs w:val="18"/>
        </w:rPr>
        <w:lastRenderedPageBreak/>
        <w:t>O formulário de inscrição pode ser baixado no VLSC (Volume Licensing Service Center - Centro de Atendimento de Licenciamento por Volume). A qualificação e as áreas de disponibilidade estão sujeitas aos termos e às condições da</w:t>
      </w:r>
      <w:r w:rsidR="00DD7188">
        <w:rPr>
          <w:rFonts w:eastAsia="Calibri" w:cs="Tahoma"/>
          <w:szCs w:val="18"/>
        </w:rPr>
        <w:t> </w:t>
      </w:r>
      <w:r w:rsidRPr="004B208C">
        <w:rPr>
          <w:rFonts w:eastAsia="Calibri" w:cs="Tahoma"/>
          <w:szCs w:val="18"/>
        </w:rPr>
        <w:t xml:space="preserve">Microsoft (consulte </w:t>
      </w:r>
      <w:hyperlink r:id="rId24" w:history="1">
        <w:r w:rsidR="00DD7188" w:rsidRPr="002D25C8">
          <w:rPr>
            <w:rFonts w:eastAsia="Calibri" w:cs="Tahoma"/>
            <w:color w:val="0000FF"/>
            <w:szCs w:val="18"/>
            <w:u w:val="single"/>
          </w:rPr>
          <w:t>www.microsoft.com/resources/sharedsource/Licensing/Enterprise.mspx</w:t>
        </w:r>
      </w:hyperlink>
      <w:r w:rsidRPr="004B208C">
        <w:rPr>
          <w:rFonts w:eastAsia="Calibri" w:cs="Tahoma"/>
          <w:szCs w:val="18"/>
        </w:rPr>
        <w:t xml:space="preserve"> para obter detalhes). Os</w:t>
      </w:r>
      <w:r w:rsidR="00DD7188">
        <w:rPr>
          <w:rFonts w:eastAsia="Calibri" w:cs="Tahoma"/>
          <w:szCs w:val="18"/>
        </w:rPr>
        <w:t> </w:t>
      </w:r>
      <w:r w:rsidRPr="004B208C">
        <w:rPr>
          <w:rFonts w:eastAsia="Calibri" w:cs="Tahoma"/>
          <w:szCs w:val="18"/>
        </w:rPr>
        <w:t>programas Academic estão qualificados para o Microsoft Research Source Licensing Program.</w:t>
      </w:r>
    </w:p>
    <w:p w:rsidR="008A15A8" w:rsidRPr="00DD7188" w:rsidRDefault="008A15A8" w:rsidP="002D25C8">
      <w:pPr>
        <w:pStyle w:val="Heading3"/>
        <w:rPr>
          <w:rFonts w:ascii="Tahoma" w:hAnsi="Tahoma" w:cs="Tahoma"/>
          <w:b w:val="0"/>
          <w:sz w:val="18"/>
          <w:szCs w:val="18"/>
        </w:rPr>
      </w:pPr>
    </w:p>
    <w:p w:rsidR="00023FE7" w:rsidRPr="004B208C" w:rsidRDefault="00023FE7" w:rsidP="002D25C8">
      <w:pPr>
        <w:pStyle w:val="Heading3"/>
        <w:rPr>
          <w:rFonts w:ascii="Tahoma" w:hAnsi="Tahoma" w:cs="Tahoma"/>
        </w:rPr>
      </w:pPr>
      <w:bookmarkStart w:id="727" w:name="_Toc336338236"/>
      <w:bookmarkStart w:id="728" w:name="_Toc370981351"/>
      <w:r w:rsidRPr="004B208C">
        <w:rPr>
          <w:rFonts w:ascii="Tahoma" w:hAnsi="Tahoma" w:cs="Tahoma"/>
          <w:sz w:val="24"/>
        </w:rPr>
        <w:t>Suporte para Resolução de Problemas 24x7</w:t>
      </w:r>
      <w:bookmarkEnd w:id="727"/>
      <w:bookmarkEnd w:id="728"/>
    </w:p>
    <w:p w:rsidR="00023FE7" w:rsidRPr="004B208C" w:rsidRDefault="00023FE7" w:rsidP="002D25C8">
      <w:pPr>
        <w:rPr>
          <w:rFonts w:cs="Tahoma"/>
        </w:rPr>
      </w:pPr>
    </w:p>
    <w:p w:rsidR="00324479" w:rsidRPr="004B208C" w:rsidRDefault="00324479" w:rsidP="002D25C8">
      <w:pPr>
        <w:rPr>
          <w:rFonts w:cs="Tahoma"/>
        </w:rPr>
      </w:pPr>
      <w:r w:rsidRPr="004B208C">
        <w:rPr>
          <w:rFonts w:cs="Tahoma"/>
          <w:szCs w:val="18"/>
        </w:rPr>
        <w:t>Os clientes (que não forem de Licença Academic Select, Select Plus para Academic, Licença Academic Open, Contratos Campus e School e Open Value Subscription – Soluções Educacionais) com cobertura do Software Assurance estão qualificados ao Suporte para Resolução de Problemas 24 horas por dia, 7 dias por semana durante o</w:t>
      </w:r>
      <w:r w:rsidR="00DD7188">
        <w:rPr>
          <w:rFonts w:cs="Tahoma"/>
          <w:szCs w:val="18"/>
        </w:rPr>
        <w:t> </w:t>
      </w:r>
      <w:r w:rsidRPr="004B208C">
        <w:rPr>
          <w:rFonts w:cs="Tahoma"/>
          <w:szCs w:val="18"/>
        </w:rPr>
        <w:t>prazo de suas coberturas do Software Assurance.</w:t>
      </w:r>
      <w:r w:rsidR="00172F11">
        <w:rPr>
          <w:rFonts w:cs="Tahoma"/>
          <w:szCs w:val="18"/>
        </w:rPr>
        <w:t xml:space="preserve"> </w:t>
      </w:r>
    </w:p>
    <w:p w:rsidR="00023FE7" w:rsidRPr="00DD7188" w:rsidRDefault="00023FE7" w:rsidP="002D25C8">
      <w:pPr>
        <w:pStyle w:val="AppendixBodyText"/>
        <w:spacing w:after="0"/>
        <w:rPr>
          <w:rFonts w:ascii="Tahoma" w:hAnsi="Tahoma" w:cs="Tahoma"/>
          <w:sz w:val="18"/>
          <w:szCs w:val="18"/>
        </w:rPr>
      </w:pPr>
    </w:p>
    <w:p w:rsidR="00023FE7" w:rsidRPr="00DD7188" w:rsidRDefault="00023FE7" w:rsidP="002D25C8">
      <w:pPr>
        <w:pStyle w:val="AppendixBodyText"/>
        <w:spacing w:after="0"/>
        <w:rPr>
          <w:rFonts w:ascii="Tahoma" w:hAnsi="Tahoma" w:cs="Tahoma"/>
          <w:sz w:val="18"/>
          <w:szCs w:val="18"/>
        </w:rPr>
      </w:pPr>
      <w:r w:rsidRPr="00DD7188">
        <w:rPr>
          <w:rFonts w:ascii="Tahoma" w:hAnsi="Tahoma" w:cs="Tahoma"/>
          <w:sz w:val="18"/>
          <w:szCs w:val="18"/>
        </w:rPr>
        <w:t>O Suporte para Resolução de Problemas 24x7 fornece assistência aos problemas com sintomas específicos enfrentados durante o uso de produtos da Microsoft, onde haja uma expectativa razoável de que o problema tenha sido causado por produtos da Microsoft.</w:t>
      </w:r>
      <w:r w:rsidR="00172F11" w:rsidRPr="00DD7188">
        <w:rPr>
          <w:rFonts w:ascii="Tahoma" w:hAnsi="Tahoma" w:cs="Tahoma"/>
          <w:sz w:val="18"/>
          <w:szCs w:val="18"/>
        </w:rPr>
        <w:t xml:space="preserve"> </w:t>
      </w:r>
      <w:r w:rsidRPr="00DD7188">
        <w:rPr>
          <w:rFonts w:ascii="Tahoma" w:hAnsi="Tahoma" w:cs="Tahoma"/>
          <w:sz w:val="18"/>
          <w:szCs w:val="18"/>
        </w:rPr>
        <w:t>A Microsoft fará esforços razoáveis para auxiliar os clientes com solicitações de suporte de maneira consistente com as políticas de Suporte a Produtos da Microsoft.</w:t>
      </w:r>
      <w:r w:rsidR="00172F11" w:rsidRPr="00DD7188">
        <w:rPr>
          <w:rFonts w:ascii="Tahoma" w:hAnsi="Tahoma" w:cs="Tahoma"/>
          <w:sz w:val="18"/>
          <w:szCs w:val="18"/>
        </w:rPr>
        <w:t xml:space="preserve"> </w:t>
      </w:r>
      <w:r w:rsidRPr="00DD7188">
        <w:rPr>
          <w:rFonts w:ascii="Tahoma" w:hAnsi="Tahoma" w:cs="Tahoma"/>
          <w:sz w:val="18"/>
          <w:szCs w:val="18"/>
        </w:rPr>
        <w:t>A Microsoft se reserva o</w:t>
      </w:r>
      <w:r w:rsidR="00DD7188">
        <w:rPr>
          <w:rFonts w:ascii="Tahoma" w:hAnsi="Tahoma" w:cs="Tahoma"/>
          <w:sz w:val="18"/>
          <w:szCs w:val="18"/>
        </w:rPr>
        <w:t> </w:t>
      </w:r>
      <w:r w:rsidRPr="00DD7188">
        <w:rPr>
          <w:rFonts w:ascii="Tahoma" w:hAnsi="Tahoma" w:cs="Tahoma"/>
          <w:sz w:val="18"/>
          <w:szCs w:val="18"/>
        </w:rPr>
        <w:t>direito de recusar solicitações não razoáveis de serviços de suporte e, às vezes, poderá indicar aos clientes um</w:t>
      </w:r>
      <w:r w:rsidR="00DD7188">
        <w:rPr>
          <w:rFonts w:ascii="Tahoma" w:hAnsi="Tahoma" w:cs="Tahoma"/>
          <w:sz w:val="18"/>
          <w:szCs w:val="18"/>
        </w:rPr>
        <w:t> </w:t>
      </w:r>
      <w:r w:rsidRPr="00DD7188">
        <w:rPr>
          <w:rFonts w:ascii="Tahoma" w:hAnsi="Tahoma" w:cs="Tahoma"/>
          <w:sz w:val="18"/>
          <w:szCs w:val="18"/>
        </w:rPr>
        <w:t xml:space="preserve">contrato de nível de serviço adicional que poderá exigir um custo adicional. </w:t>
      </w:r>
    </w:p>
    <w:p w:rsidR="00023FE7" w:rsidRPr="00DD7188" w:rsidRDefault="00023FE7" w:rsidP="002D25C8">
      <w:pPr>
        <w:pStyle w:val="AppendixBodyText"/>
        <w:spacing w:after="0"/>
        <w:rPr>
          <w:rFonts w:ascii="Tahoma" w:hAnsi="Tahoma" w:cs="Tahoma"/>
          <w:sz w:val="18"/>
          <w:szCs w:val="18"/>
        </w:rPr>
      </w:pPr>
    </w:p>
    <w:p w:rsidR="00023FE7" w:rsidRPr="00DD7188" w:rsidRDefault="00023FE7" w:rsidP="002D25C8">
      <w:pPr>
        <w:pStyle w:val="AppendixBodyText"/>
        <w:spacing w:after="0"/>
        <w:rPr>
          <w:rFonts w:ascii="Tahoma" w:hAnsi="Tahoma" w:cs="Tahoma"/>
          <w:sz w:val="18"/>
          <w:szCs w:val="18"/>
        </w:rPr>
      </w:pPr>
      <w:r w:rsidRPr="00DD7188">
        <w:rPr>
          <w:rFonts w:ascii="Tahoma" w:hAnsi="Tahoma" w:cs="Tahoma"/>
          <w:sz w:val="18"/>
          <w:szCs w:val="18"/>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w:t>
      </w:r>
      <w:r w:rsidR="00DD7188">
        <w:rPr>
          <w:rFonts w:ascii="Tahoma" w:hAnsi="Tahoma" w:cs="Tahoma"/>
          <w:sz w:val="18"/>
          <w:szCs w:val="18"/>
        </w:rPr>
        <w:t> </w:t>
      </w:r>
      <w:r w:rsidRPr="00DD7188">
        <w:rPr>
          <w:rFonts w:ascii="Tahoma" w:hAnsi="Tahoma" w:cs="Tahoma"/>
          <w:sz w:val="18"/>
          <w:szCs w:val="18"/>
        </w:rPr>
        <w:t xml:space="preserve">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 </w:t>
      </w:r>
    </w:p>
    <w:p w:rsidR="00DF400D" w:rsidRPr="00DD7188" w:rsidRDefault="00DF400D" w:rsidP="002D25C8">
      <w:pPr>
        <w:pStyle w:val="AppendixBodyText"/>
        <w:spacing w:after="0"/>
        <w:rPr>
          <w:rFonts w:ascii="Tahoma" w:hAnsi="Tahoma" w:cs="Tahoma"/>
          <w:sz w:val="18"/>
          <w:szCs w:val="18"/>
        </w:rPr>
      </w:pPr>
    </w:p>
    <w:p w:rsidR="00023FE7" w:rsidRPr="00DD7188" w:rsidRDefault="00023FE7" w:rsidP="002D25C8">
      <w:pPr>
        <w:pStyle w:val="AppendixBodyText"/>
        <w:spacing w:after="0"/>
        <w:rPr>
          <w:rFonts w:ascii="Tahoma" w:hAnsi="Tahoma" w:cs="Tahoma"/>
          <w:sz w:val="18"/>
          <w:szCs w:val="18"/>
        </w:rPr>
      </w:pPr>
      <w:r w:rsidRPr="00DD7188">
        <w:rPr>
          <w:rFonts w:ascii="Tahoma" w:hAnsi="Tahoma" w:cs="Tahoma"/>
          <w:sz w:val="18"/>
          <w:szCs w:val="18"/>
        </w:rPr>
        <w:t>Uma solicitação de suporte de reparo assistido, também conhecida como um incidente, é definida como um problema único de suporte e o esforço razoável necessário para solucioná-lo.</w:t>
      </w:r>
      <w:r w:rsidR="00172F11" w:rsidRPr="00DD7188">
        <w:rPr>
          <w:rFonts w:ascii="Tahoma" w:hAnsi="Tahoma" w:cs="Tahoma"/>
          <w:sz w:val="18"/>
          <w:szCs w:val="18"/>
        </w:rPr>
        <w:t xml:space="preserve"> </w:t>
      </w:r>
      <w:r w:rsidRPr="00DD7188">
        <w:rPr>
          <w:rFonts w:ascii="Tahoma" w:hAnsi="Tahoma" w:cs="Tahoma"/>
          <w:sz w:val="18"/>
          <w:szCs w:val="18"/>
        </w:rPr>
        <w:t>Um problema único de suporte é um problema que não pode ser subdividido em problemas subordinados.</w:t>
      </w:r>
      <w:r w:rsidR="00172F11" w:rsidRPr="00DD7188">
        <w:rPr>
          <w:rFonts w:ascii="Tahoma" w:hAnsi="Tahoma" w:cs="Tahoma"/>
          <w:sz w:val="18"/>
          <w:szCs w:val="18"/>
        </w:rPr>
        <w:t xml:space="preserve"> </w:t>
      </w:r>
      <w:r w:rsidRPr="00DD7188">
        <w:rPr>
          <w:rFonts w:ascii="Tahoma" w:hAnsi="Tahoma" w:cs="Tahoma"/>
          <w:sz w:val="18"/>
          <w:szCs w:val="18"/>
        </w:rPr>
        <w:t>Se o problema consistir em problemas subordinados, cada um será considerado um incidente separado.</w:t>
      </w:r>
      <w:r w:rsidR="00172F11" w:rsidRPr="00DD7188">
        <w:rPr>
          <w:rFonts w:ascii="Tahoma" w:hAnsi="Tahoma" w:cs="Tahoma"/>
          <w:sz w:val="18"/>
          <w:szCs w:val="18"/>
        </w:rPr>
        <w:t xml:space="preserve"> </w:t>
      </w:r>
      <w:r w:rsidRPr="00DD7188">
        <w:rPr>
          <w:rFonts w:ascii="Tahoma" w:hAnsi="Tahoma" w:cs="Tahoma"/>
          <w:sz w:val="18"/>
          <w:szCs w:val="18"/>
        </w:rPr>
        <w:t>Em determinadas situações, poderemos fornecer aos clientes uma</w:t>
      </w:r>
      <w:r w:rsidR="00DD7188">
        <w:rPr>
          <w:rFonts w:ascii="Tahoma" w:hAnsi="Tahoma" w:cs="Tahoma"/>
          <w:sz w:val="18"/>
          <w:szCs w:val="18"/>
        </w:rPr>
        <w:t> </w:t>
      </w:r>
      <w:r w:rsidRPr="00DD7188">
        <w:rPr>
          <w:rFonts w:ascii="Tahoma" w:hAnsi="Tahoma" w:cs="Tahoma"/>
          <w:sz w:val="18"/>
          <w:szCs w:val="18"/>
        </w:rPr>
        <w:t>modificação do código de software do produto da Microsoft comercialmente disponível a fim de solucionar os problemas críticos específicos (“Hotfixes”) em resposta a uma solicitação de suporte de reparo assistido.</w:t>
      </w:r>
      <w:r w:rsidR="00172F11" w:rsidRPr="00DD7188">
        <w:rPr>
          <w:rFonts w:ascii="Tahoma" w:hAnsi="Tahoma" w:cs="Tahoma"/>
          <w:sz w:val="18"/>
          <w:szCs w:val="18"/>
        </w:rPr>
        <w:t xml:space="preserve"> </w:t>
      </w:r>
      <w:r w:rsidRPr="00DD7188">
        <w:rPr>
          <w:rFonts w:ascii="Tahoma" w:hAnsi="Tahoma" w:cs="Tahoma"/>
          <w:sz w:val="18"/>
          <w:szCs w:val="18"/>
        </w:rPr>
        <w:t>Os hotfixes são designados para solucionar problemas específicos dos clientes e não são testados quanto à regressão.</w:t>
      </w:r>
      <w:r w:rsidR="00172F11" w:rsidRPr="00DD7188">
        <w:rPr>
          <w:rFonts w:ascii="Tahoma" w:hAnsi="Tahoma" w:cs="Tahoma"/>
          <w:sz w:val="18"/>
          <w:szCs w:val="18"/>
        </w:rPr>
        <w:t xml:space="preserve"> </w:t>
      </w:r>
      <w:r w:rsidRPr="00DD7188">
        <w:rPr>
          <w:rFonts w:ascii="Tahoma" w:hAnsi="Tahoma" w:cs="Tahoma"/>
          <w:sz w:val="18"/>
          <w:szCs w:val="18"/>
        </w:rPr>
        <w:t>Salvo definição em contrário neste documento, os Hotfixes não podem ser distribuídos a terceiros não afiliados sem a autorização por escrito da Microsoft.</w:t>
      </w:r>
    </w:p>
    <w:p w:rsidR="00023FE7" w:rsidRPr="00DD7188" w:rsidRDefault="00023FE7" w:rsidP="002D25C8">
      <w:pPr>
        <w:pStyle w:val="AppendixBodyText"/>
        <w:spacing w:after="0"/>
        <w:rPr>
          <w:rFonts w:ascii="Tahoma" w:hAnsi="Tahoma" w:cs="Tahoma"/>
          <w:sz w:val="18"/>
          <w:szCs w:val="18"/>
        </w:rPr>
      </w:pPr>
    </w:p>
    <w:p w:rsidR="00023FE7" w:rsidRPr="00DD7188" w:rsidRDefault="00023FE7" w:rsidP="002D25C8">
      <w:pPr>
        <w:pStyle w:val="AppendixBodyText"/>
        <w:spacing w:after="0"/>
        <w:rPr>
          <w:rFonts w:ascii="Tahoma" w:hAnsi="Tahoma" w:cs="Tahoma"/>
          <w:sz w:val="18"/>
          <w:szCs w:val="18"/>
        </w:rPr>
      </w:pPr>
      <w:r w:rsidRPr="00DD7188">
        <w:rPr>
          <w:rFonts w:ascii="Tahoma" w:hAnsi="Tahoma" w:cs="Tahoma"/>
          <w:sz w:val="18"/>
          <w:szCs w:val="18"/>
        </w:rPr>
        <w:t xml:space="preserve">Os produtos disponibilizados por meio de Licenciamento por Volume e que estejam atualmente no Suporte Base, conforme estabelecido no site </w:t>
      </w:r>
      <w:hyperlink r:id="rId25" w:history="1">
        <w:r w:rsidRPr="00DD7188">
          <w:rPr>
            <w:rStyle w:val="Hyperlink"/>
            <w:rFonts w:ascii="Tahoma" w:hAnsi="Tahoma" w:cs="Tahoma"/>
            <w:sz w:val="18"/>
            <w:szCs w:val="18"/>
          </w:rPr>
          <w:t>Política de Ciclo de Vida de Suporte da Microsoft</w:t>
        </w:r>
      </w:hyperlink>
      <w:r w:rsidR="00172F11" w:rsidRPr="00DD7188">
        <w:rPr>
          <w:rFonts w:ascii="Tahoma" w:hAnsi="Tahoma" w:cs="Tahoma"/>
          <w:sz w:val="18"/>
          <w:szCs w:val="18"/>
        </w:rPr>
        <w:t>,</w:t>
      </w:r>
      <w:r w:rsidRPr="00DD7188">
        <w:rPr>
          <w:rFonts w:ascii="Tahoma" w:hAnsi="Tahoma" w:cs="Tahoma"/>
          <w:color w:val="000000"/>
          <w:sz w:val="18"/>
          <w:szCs w:val="18"/>
        </w:rPr>
        <w:t xml:space="preserve"> estão qualificados ao Suporte para Resolução de Problemas 24 horas por dia, 7 dias por semana.</w:t>
      </w:r>
      <w:r w:rsidR="00172F11" w:rsidRPr="00DD7188">
        <w:rPr>
          <w:rFonts w:ascii="Tahoma" w:hAnsi="Tahoma" w:cs="Tahoma"/>
          <w:color w:val="000000"/>
          <w:sz w:val="18"/>
          <w:szCs w:val="18"/>
        </w:rPr>
        <w:t xml:space="preserve"> </w:t>
      </w:r>
      <w:r w:rsidRPr="00DD7188">
        <w:rPr>
          <w:rFonts w:ascii="Tahoma" w:hAnsi="Tahoma" w:cs="Tahoma"/>
          <w:color w:val="000000"/>
          <w:sz w:val="18"/>
          <w:szCs w:val="18"/>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w:t>
      </w:r>
      <w:r w:rsidR="00DD7188">
        <w:rPr>
          <w:rFonts w:ascii="Tahoma" w:hAnsi="Tahoma" w:cs="Tahoma"/>
          <w:color w:val="000000"/>
          <w:sz w:val="18"/>
          <w:szCs w:val="18"/>
        </w:rPr>
        <w:t> </w:t>
      </w:r>
      <w:r w:rsidRPr="00DD7188">
        <w:rPr>
          <w:rFonts w:ascii="Tahoma" w:hAnsi="Tahoma" w:cs="Tahoma"/>
          <w:color w:val="000000"/>
          <w:sz w:val="18"/>
          <w:szCs w:val="18"/>
        </w:rPr>
        <w:t>seção Prêmios de Incidentes de Suporte pelo Telefone.</w:t>
      </w:r>
      <w:r w:rsidR="00172F11" w:rsidRPr="00DD7188">
        <w:rPr>
          <w:rFonts w:ascii="Tahoma" w:hAnsi="Tahoma" w:cs="Tahoma"/>
          <w:color w:val="000000"/>
          <w:sz w:val="18"/>
          <w:szCs w:val="18"/>
        </w:rPr>
        <w:t xml:space="preserve"> </w:t>
      </w:r>
      <w:r w:rsidRPr="00DD7188">
        <w:rPr>
          <w:rFonts w:ascii="Tahoma" w:hAnsi="Tahoma" w:cs="Tahoma"/>
          <w:color w:val="000000"/>
          <w:sz w:val="18"/>
          <w:szCs w:val="18"/>
        </w:rPr>
        <w:t>Consulte a seção específica do produto neste documento para verificar a política de serviço e suporte.</w:t>
      </w:r>
      <w:r w:rsidR="00172F11" w:rsidRPr="00DD7188">
        <w:rPr>
          <w:rFonts w:ascii="Tahoma" w:hAnsi="Tahoma" w:cs="Tahoma"/>
          <w:color w:val="000000"/>
          <w:sz w:val="18"/>
          <w:szCs w:val="18"/>
        </w:rPr>
        <w:t xml:space="preserve"> </w:t>
      </w:r>
      <w:r w:rsidRPr="00DD7188">
        <w:rPr>
          <w:rFonts w:ascii="Tahoma" w:hAnsi="Tahoma" w:cs="Tahoma"/>
          <w:color w:val="000000"/>
          <w:sz w:val="18"/>
          <w:szCs w:val="18"/>
        </w:rPr>
        <w:t>Versões anteriores de produtos atualmente no Suporte Base que foram escolhidos pelos clientes para serem usados em vez da versão licenciada atual também estão qualificadas.</w:t>
      </w:r>
      <w:r w:rsidR="00172F11" w:rsidRPr="00DD7188">
        <w:rPr>
          <w:rFonts w:ascii="Tahoma" w:hAnsi="Tahoma" w:cs="Tahoma"/>
          <w:color w:val="000000"/>
          <w:sz w:val="18"/>
          <w:szCs w:val="18"/>
        </w:rPr>
        <w:t xml:space="preserve"> </w:t>
      </w:r>
      <w:r w:rsidRPr="00DD7188">
        <w:rPr>
          <w:rFonts w:ascii="Tahoma" w:hAnsi="Tahoma" w:cs="Tahoma"/>
          <w:color w:val="000000"/>
          <w:sz w:val="18"/>
          <w:szCs w:val="18"/>
        </w:rPr>
        <w:t>A edição Developer Edition de todos os servidores, os produtos HED e as Assinaturas do MSDN estão excluídos.</w:t>
      </w:r>
    </w:p>
    <w:p w:rsidR="00023FE7" w:rsidRPr="00DD7188" w:rsidRDefault="00023FE7" w:rsidP="002D25C8">
      <w:pPr>
        <w:pStyle w:val="AppendixBodyText"/>
        <w:spacing w:after="0"/>
        <w:rPr>
          <w:rFonts w:ascii="Tahoma" w:hAnsi="Tahoma" w:cs="Tahoma"/>
          <w:sz w:val="18"/>
          <w:szCs w:val="18"/>
        </w:rPr>
      </w:pPr>
    </w:p>
    <w:p w:rsidR="00023FE7" w:rsidRPr="00DD7188" w:rsidRDefault="00023FE7" w:rsidP="002D25C8">
      <w:pPr>
        <w:pStyle w:val="AppendixBodyText"/>
        <w:spacing w:after="0"/>
        <w:rPr>
          <w:rFonts w:ascii="Tahoma" w:hAnsi="Tahoma" w:cs="Tahoma"/>
          <w:sz w:val="18"/>
          <w:szCs w:val="18"/>
        </w:rPr>
      </w:pPr>
      <w:r w:rsidRPr="00DD7188">
        <w:rPr>
          <w:rFonts w:ascii="Tahoma" w:hAnsi="Tahoma" w:cs="Tahoma"/>
          <w:sz w:val="18"/>
          <w:szCs w:val="18"/>
        </w:rPr>
        <w:t>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023FE7" w:rsidRDefault="00023FE7" w:rsidP="002D25C8">
      <w:pPr>
        <w:pStyle w:val="AppendixBodyText"/>
        <w:spacing w:after="0"/>
        <w:rPr>
          <w:rFonts w:ascii="Tahoma" w:hAnsi="Tahoma" w:cs="Tahoma"/>
          <w:sz w:val="18"/>
          <w:szCs w:val="18"/>
        </w:rPr>
      </w:pPr>
    </w:p>
    <w:p w:rsidR="00DD7188" w:rsidRPr="00DD7188" w:rsidRDefault="00DD7188" w:rsidP="002D25C8">
      <w:pPr>
        <w:pStyle w:val="AppendixBodyText"/>
        <w:spacing w:after="0"/>
        <w:rPr>
          <w:rFonts w:ascii="Tahoma" w:hAnsi="Tahoma" w:cs="Tahoma"/>
          <w:sz w:val="18"/>
          <w:szCs w:val="18"/>
        </w:rPr>
      </w:pPr>
    </w:p>
    <w:p w:rsidR="00023FE7" w:rsidRPr="00DD7188" w:rsidRDefault="00023FE7" w:rsidP="002D25C8">
      <w:pPr>
        <w:pStyle w:val="AppendixBodyText"/>
        <w:spacing w:after="0"/>
        <w:rPr>
          <w:rFonts w:ascii="Tahoma" w:hAnsi="Tahoma" w:cs="Tahoma"/>
          <w:sz w:val="18"/>
          <w:szCs w:val="18"/>
        </w:rPr>
      </w:pPr>
      <w:r w:rsidRPr="00DD7188">
        <w:rPr>
          <w:rFonts w:ascii="Tahoma" w:hAnsi="Tahoma" w:cs="Tahoma"/>
          <w:sz w:val="18"/>
          <w:szCs w:val="18"/>
        </w:rPr>
        <w:lastRenderedPageBreak/>
        <w:t>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Todas as correções fornecidas são licenciadas para</w:t>
      </w:r>
      <w:r w:rsidR="00DD7188">
        <w:rPr>
          <w:rFonts w:ascii="Tahoma" w:hAnsi="Tahoma" w:cs="Tahoma"/>
          <w:sz w:val="18"/>
          <w:szCs w:val="18"/>
        </w:rPr>
        <w:t> </w:t>
      </w:r>
      <w:r w:rsidRPr="00DD7188">
        <w:rPr>
          <w:rFonts w:ascii="Tahoma" w:hAnsi="Tahoma" w:cs="Tahoma"/>
          <w:sz w:val="18"/>
          <w:szCs w:val="18"/>
        </w:rPr>
        <w:t>o</w:t>
      </w:r>
      <w:r w:rsidR="00DD7188">
        <w:rPr>
          <w:rFonts w:ascii="Tahoma" w:hAnsi="Tahoma" w:cs="Tahoma"/>
          <w:sz w:val="18"/>
          <w:szCs w:val="18"/>
        </w:rPr>
        <w:t> </w:t>
      </w:r>
      <w:r w:rsidRPr="00DD7188">
        <w:rPr>
          <w:rFonts w:ascii="Tahoma" w:hAnsi="Tahoma" w:cs="Tahoma"/>
          <w:sz w:val="18"/>
          <w:szCs w:val="18"/>
        </w:rPr>
        <w:t>cliente.</w:t>
      </w:r>
    </w:p>
    <w:p w:rsidR="00023FE7" w:rsidRPr="00DD7188" w:rsidRDefault="00023FE7" w:rsidP="002D25C8">
      <w:pPr>
        <w:pStyle w:val="AppendixBodyText"/>
        <w:spacing w:after="0"/>
        <w:rPr>
          <w:rFonts w:ascii="Tahoma" w:hAnsi="Tahoma" w:cs="Tahoma"/>
          <w:sz w:val="18"/>
          <w:szCs w:val="18"/>
        </w:rPr>
      </w:pPr>
    </w:p>
    <w:p w:rsidR="00023FE7" w:rsidRPr="00DD7188" w:rsidRDefault="00023FE7" w:rsidP="002D25C8">
      <w:pPr>
        <w:pStyle w:val="AppendixBodyText"/>
        <w:spacing w:after="0"/>
        <w:rPr>
          <w:rFonts w:ascii="Tahoma" w:hAnsi="Tahoma" w:cs="Tahoma"/>
          <w:sz w:val="18"/>
          <w:szCs w:val="18"/>
        </w:rPr>
      </w:pPr>
      <w:r w:rsidRPr="00DD7188">
        <w:rPr>
          <w:rFonts w:ascii="Tahoma" w:hAnsi="Tahoma" w:cs="Tahoma"/>
          <w:sz w:val="18"/>
          <w:szCs w:val="18"/>
        </w:rPr>
        <w:t>O suporte pode ser iniciado por meio do envio de incidentes de maneira eletrônica via Web ou por telefone. Cláusulas diferentes aplicam-se a cada tipo de meio.</w:t>
      </w:r>
      <w:r w:rsidR="00172F11" w:rsidRPr="00DD7188">
        <w:rPr>
          <w:rFonts w:ascii="Tahoma" w:hAnsi="Tahoma" w:cs="Tahoma"/>
          <w:sz w:val="18"/>
          <w:szCs w:val="18"/>
        </w:rPr>
        <w:t xml:space="preserve"> </w:t>
      </w:r>
      <w:r w:rsidRPr="00DD7188">
        <w:rPr>
          <w:rFonts w:ascii="Tahoma" w:hAnsi="Tahoma" w:cs="Tahoma"/>
          <w:sz w:val="18"/>
          <w:szCs w:val="18"/>
        </w:rPr>
        <w:t>O Suporte para Resolução de Problemas 24x7 premia os clientes</w:t>
      </w:r>
      <w:r w:rsidR="00DD7188">
        <w:rPr>
          <w:rFonts w:ascii="Tahoma" w:hAnsi="Tahoma" w:cs="Tahoma"/>
          <w:sz w:val="18"/>
          <w:szCs w:val="18"/>
        </w:rPr>
        <w:t> </w:t>
      </w:r>
      <w:r w:rsidRPr="00DD7188">
        <w:rPr>
          <w:rFonts w:ascii="Tahoma" w:hAnsi="Tahoma" w:cs="Tahoma"/>
          <w:sz w:val="18"/>
          <w:szCs w:val="18"/>
        </w:rPr>
        <w:t>com uma quantidade de incidentes e contatos para iniciar tais incidentes, conforme descrito a seguir.</w:t>
      </w:r>
    </w:p>
    <w:p w:rsidR="00023FE7" w:rsidRPr="00DD7188" w:rsidRDefault="00023FE7" w:rsidP="002D25C8">
      <w:pPr>
        <w:pStyle w:val="AppendixBodyText"/>
        <w:spacing w:after="0"/>
        <w:rPr>
          <w:rFonts w:ascii="Tahoma" w:hAnsi="Tahoma" w:cs="Tahoma"/>
          <w:sz w:val="18"/>
          <w:szCs w:val="18"/>
        </w:rPr>
      </w:pPr>
    </w:p>
    <w:p w:rsidR="00023FE7" w:rsidRPr="004B208C" w:rsidRDefault="00023FE7" w:rsidP="0047054A">
      <w:pPr>
        <w:keepNext/>
        <w:spacing w:after="60"/>
        <w:rPr>
          <w:rFonts w:cs="Tahoma"/>
        </w:rPr>
      </w:pPr>
      <w:bookmarkStart w:id="729" w:name="_Toc240899163"/>
      <w:r w:rsidRPr="004B208C">
        <w:rPr>
          <w:rFonts w:cs="Tahoma"/>
          <w:b/>
          <w:szCs w:val="20"/>
        </w:rPr>
        <w:t>Prêmios de Incidentes de Suporte pelo Telefone</w:t>
      </w:r>
      <w:bookmarkEnd w:id="729"/>
    </w:p>
    <w:p w:rsidR="00023FE7" w:rsidRPr="00DD7188" w:rsidRDefault="00023FE7" w:rsidP="002D25C8">
      <w:pPr>
        <w:pStyle w:val="AppendixBodyText"/>
        <w:spacing w:after="0"/>
        <w:rPr>
          <w:rFonts w:ascii="Tahoma" w:hAnsi="Tahoma" w:cs="Tahoma"/>
          <w:sz w:val="18"/>
          <w:szCs w:val="18"/>
        </w:rPr>
      </w:pPr>
      <w:r w:rsidRPr="00DD7188">
        <w:rPr>
          <w:rFonts w:ascii="Tahoma" w:hAnsi="Tahoma" w:cs="Tahoma"/>
          <w:sz w:val="18"/>
          <w:szCs w:val="18"/>
        </w:rPr>
        <w:t>O número de incidentes de suporte por telefone permitidos varia por cliente com base em seus gastos de SA e sua forma de pagamento.</w:t>
      </w:r>
      <w:r w:rsidR="00172F11" w:rsidRPr="00DD7188">
        <w:rPr>
          <w:rFonts w:ascii="Tahoma" w:hAnsi="Tahoma" w:cs="Tahoma"/>
          <w:sz w:val="18"/>
          <w:szCs w:val="18"/>
        </w:rPr>
        <w:t xml:space="preserve"> </w:t>
      </w:r>
      <w:r w:rsidRPr="00DD7188">
        <w:rPr>
          <w:rFonts w:ascii="Tahoma" w:hAnsi="Tahoma" w:cs="Tahoma"/>
          <w:sz w:val="18"/>
          <w:szCs w:val="18"/>
        </w:rPr>
        <w:t>Para esses fins, “gastos de SA” não são literalmente os gastos reais em dólares do cliente.</w:t>
      </w:r>
      <w:r w:rsidR="00172F11" w:rsidRPr="00DD7188">
        <w:rPr>
          <w:rFonts w:ascii="Tahoma" w:hAnsi="Tahoma" w:cs="Tahoma"/>
          <w:sz w:val="18"/>
          <w:szCs w:val="18"/>
        </w:rPr>
        <w:t xml:space="preserve"> </w:t>
      </w:r>
      <w:r w:rsidRPr="00DD7188">
        <w:rPr>
          <w:rFonts w:ascii="Tahoma" w:hAnsi="Tahoma" w:cs="Tahoma"/>
          <w:sz w:val="18"/>
          <w:szCs w:val="18"/>
        </w:rPr>
        <w:t>Trata-se de uma aproximação do que um cliente gastou na cobertura de Software Assurance para esses produtos. Para os clientes sob programas de assinatura, esses gastos são uma aproximação do valor total em dólares que o</w:t>
      </w:r>
      <w:r w:rsidR="00DD7188">
        <w:rPr>
          <w:rFonts w:ascii="Tahoma" w:hAnsi="Tahoma" w:cs="Tahoma"/>
          <w:sz w:val="18"/>
          <w:szCs w:val="18"/>
        </w:rPr>
        <w:t> </w:t>
      </w:r>
      <w:r w:rsidRPr="00DD7188">
        <w:rPr>
          <w:rFonts w:ascii="Tahoma" w:hAnsi="Tahoma" w:cs="Tahoma"/>
          <w:sz w:val="18"/>
          <w:szCs w:val="18"/>
        </w:rPr>
        <w:t>cliente gastou com o licenciamento desses produtos sob seu registro ou contrato.</w:t>
      </w:r>
      <w:r w:rsidR="00172F11" w:rsidRPr="00DD7188">
        <w:rPr>
          <w:rFonts w:ascii="Tahoma" w:hAnsi="Tahoma" w:cs="Tahoma"/>
          <w:sz w:val="18"/>
          <w:szCs w:val="18"/>
        </w:rPr>
        <w:t xml:space="preserve"> </w:t>
      </w:r>
      <w:r w:rsidRPr="00DD7188">
        <w:rPr>
          <w:rFonts w:ascii="Tahoma" w:hAnsi="Tahoma" w:cs="Tahoma"/>
          <w:sz w:val="18"/>
          <w:szCs w:val="18"/>
        </w:rPr>
        <w:t>O incidente complementar é</w:t>
      </w:r>
      <w:r w:rsidR="00DD7188">
        <w:rPr>
          <w:rFonts w:ascii="Tahoma" w:hAnsi="Tahoma" w:cs="Tahoma"/>
          <w:sz w:val="18"/>
          <w:szCs w:val="18"/>
        </w:rPr>
        <w:t> </w:t>
      </w:r>
      <w:r w:rsidRPr="00DD7188">
        <w:rPr>
          <w:rFonts w:ascii="Tahoma" w:hAnsi="Tahoma" w:cs="Tahoma"/>
          <w:sz w:val="18"/>
          <w:szCs w:val="18"/>
        </w:rPr>
        <w:t>concedido de acordo com os registros Enterprise e Select, o registro Select Plus e o contrato Open Value com cobertura do SA a pelo menos um produto de software de Servidor qualificado.</w:t>
      </w:r>
    </w:p>
    <w:p w:rsidR="00F42FB8" w:rsidRPr="00DD7188"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088"/>
        <w:gridCol w:w="1287"/>
        <w:gridCol w:w="2457"/>
        <w:gridCol w:w="2889"/>
      </w:tblGrid>
      <w:tr w:rsidR="00613BBB" w:rsidRPr="004B208C" w:rsidTr="003A65D0">
        <w:trPr>
          <w:trHeight w:val="178"/>
          <w:tblHeader/>
        </w:trPr>
        <w:tc>
          <w:tcPr>
            <w:tcW w:w="2088"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B208C" w:rsidRDefault="00613BBB" w:rsidP="00F42FB8">
            <w:pPr>
              <w:pStyle w:val="AppendixBodyText"/>
              <w:rPr>
                <w:rFonts w:ascii="Tahoma" w:hAnsi="Tahoma" w:cs="Tahoma"/>
                <w:b/>
                <w:bCs/>
              </w:rPr>
            </w:pPr>
            <w:r w:rsidRPr="004B208C">
              <w:rPr>
                <w:rFonts w:ascii="Tahoma" w:hAnsi="Tahoma" w:cs="Tahoma"/>
                <w:b/>
                <w:bCs/>
              </w:rPr>
              <w:t>Nome da Moeda</w:t>
            </w:r>
          </w:p>
        </w:tc>
        <w:tc>
          <w:tcPr>
            <w:tcW w:w="1287"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B208C" w:rsidRDefault="00613BBB" w:rsidP="00F42FB8">
            <w:pPr>
              <w:pStyle w:val="AppendixBodyText"/>
              <w:rPr>
                <w:rFonts w:ascii="Tahoma" w:hAnsi="Tahoma" w:cs="Tahoma"/>
                <w:b/>
                <w:bCs/>
              </w:rPr>
            </w:pPr>
            <w:r w:rsidRPr="004B208C">
              <w:rPr>
                <w:rFonts w:ascii="Tahoma" w:hAnsi="Tahoma" w:cs="Tahoma"/>
                <w:b/>
                <w:bCs/>
              </w:rPr>
              <w:t>Código da Moeda</w:t>
            </w:r>
          </w:p>
        </w:tc>
        <w:tc>
          <w:tcPr>
            <w:tcW w:w="2457"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B208C" w:rsidRDefault="00613BBB" w:rsidP="00F42FB8">
            <w:pPr>
              <w:pStyle w:val="AppendixBodyText"/>
              <w:rPr>
                <w:rFonts w:ascii="Tahoma" w:hAnsi="Tahoma" w:cs="Tahoma"/>
              </w:rPr>
            </w:pPr>
            <w:r w:rsidRPr="004B208C">
              <w:rPr>
                <w:rFonts w:ascii="Tahoma" w:hAnsi="Tahoma" w:cs="Tahoma"/>
                <w:b/>
                <w:bCs/>
              </w:rPr>
              <w:t>Servidor/CAL</w:t>
            </w:r>
          </w:p>
          <w:p w:rsidR="00613BBB" w:rsidRPr="004B208C" w:rsidRDefault="00613BBB" w:rsidP="00F42FB8">
            <w:pPr>
              <w:pStyle w:val="AppendixBodyText"/>
              <w:rPr>
                <w:rFonts w:ascii="Tahoma" w:hAnsi="Tahoma" w:cs="Tahoma"/>
                <w:b/>
                <w:bCs/>
              </w:rPr>
            </w:pPr>
            <w:r w:rsidRPr="004B208C">
              <w:rPr>
                <w:rFonts w:ascii="Tahoma" w:hAnsi="Tahoma" w:cs="Tahoma"/>
                <w:b/>
                <w:bCs/>
              </w:rPr>
              <w:t>Incrementos de Prêmios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4B208C" w:rsidRDefault="00613BBB" w:rsidP="00F42FB8">
            <w:pPr>
              <w:pStyle w:val="AppendixBodyText"/>
              <w:rPr>
                <w:rFonts w:ascii="Tahoma" w:hAnsi="Tahoma" w:cs="Tahoma"/>
              </w:rPr>
            </w:pPr>
            <w:r w:rsidRPr="004B208C">
              <w:rPr>
                <w:rFonts w:ascii="Tahoma" w:hAnsi="Tahoma" w:cs="Tahoma"/>
                <w:b/>
                <w:bCs/>
              </w:rPr>
              <w:t>IW/Cliente</w:t>
            </w:r>
          </w:p>
          <w:p w:rsidR="00613BBB" w:rsidRPr="004B208C" w:rsidRDefault="00613BBB" w:rsidP="00F42FB8">
            <w:pPr>
              <w:pStyle w:val="AppendixBodyText"/>
              <w:rPr>
                <w:rFonts w:ascii="Tahoma" w:hAnsi="Tahoma" w:cs="Tahoma"/>
                <w:b/>
                <w:bCs/>
              </w:rPr>
            </w:pPr>
            <w:r w:rsidRPr="004B208C">
              <w:rPr>
                <w:rFonts w:ascii="Tahoma" w:hAnsi="Tahoma" w:cs="Tahoma"/>
                <w:b/>
                <w:bCs/>
              </w:rPr>
              <w:t>Incrementos de Prêmios de Incidentes</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Dólar Americano</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USD</w:t>
            </w:r>
          </w:p>
        </w:tc>
        <w:tc>
          <w:tcPr>
            <w:tcW w:w="2457"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$20</w:t>
            </w:r>
            <w:r w:rsidR="003A65D0">
              <w:rPr>
                <w:rFonts w:ascii="Tahoma" w:hAnsi="Tahoma" w:cs="Tahoma"/>
                <w:sz w:val="18"/>
                <w:szCs w:val="18"/>
              </w:rPr>
              <w:t>.</w:t>
            </w:r>
            <w:r w:rsidRPr="004B208C">
              <w:rPr>
                <w:rFonts w:ascii="Tahoma" w:hAnsi="Tahoma" w:cs="Tahoma"/>
                <w:sz w:val="18"/>
                <w:szCs w:val="18"/>
              </w:rPr>
              <w:t>000</w:t>
            </w:r>
          </w:p>
        </w:tc>
        <w:tc>
          <w:tcPr>
            <w:tcW w:w="2889"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$200</w:t>
            </w:r>
            <w:r w:rsidR="003A65D0">
              <w:rPr>
                <w:rFonts w:ascii="Tahoma" w:hAnsi="Tahoma" w:cs="Tahoma"/>
                <w:sz w:val="18"/>
                <w:szCs w:val="18"/>
              </w:rPr>
              <w:t>.</w:t>
            </w:r>
            <w:r w:rsidRPr="004B208C">
              <w:rPr>
                <w:rFonts w:ascii="Tahoma" w:hAnsi="Tahoma" w:cs="Tahoma"/>
                <w:sz w:val="18"/>
                <w:szCs w:val="18"/>
              </w:rPr>
              <w:t>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Dólar Australiano</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AUD</w:t>
            </w:r>
          </w:p>
        </w:tc>
        <w:tc>
          <w:tcPr>
            <w:tcW w:w="2457"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30</w:t>
            </w:r>
            <w:r w:rsidR="003A65D0">
              <w:rPr>
                <w:rFonts w:ascii="Tahoma" w:hAnsi="Tahoma" w:cs="Tahoma"/>
                <w:sz w:val="18"/>
                <w:szCs w:val="18"/>
              </w:rPr>
              <w:t>.</w:t>
            </w:r>
            <w:r w:rsidRPr="004B208C">
              <w:rPr>
                <w:rFonts w:ascii="Tahoma" w:hAnsi="Tahoma" w:cs="Tahoma"/>
                <w:sz w:val="18"/>
                <w:szCs w:val="18"/>
              </w:rPr>
              <w:t>000</w:t>
            </w:r>
          </w:p>
        </w:tc>
        <w:tc>
          <w:tcPr>
            <w:tcW w:w="2889"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300</w:t>
            </w:r>
            <w:r w:rsidR="003A65D0">
              <w:rPr>
                <w:rFonts w:ascii="Tahoma" w:hAnsi="Tahoma" w:cs="Tahoma"/>
                <w:sz w:val="18"/>
                <w:szCs w:val="18"/>
              </w:rPr>
              <w:t>.</w:t>
            </w:r>
            <w:r w:rsidRPr="004B208C">
              <w:rPr>
                <w:rFonts w:ascii="Tahoma" w:hAnsi="Tahoma" w:cs="Tahoma"/>
                <w:sz w:val="18"/>
                <w:szCs w:val="18"/>
              </w:rPr>
              <w:t>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Dólar Canadense</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CAD</w:t>
            </w:r>
          </w:p>
        </w:tc>
        <w:tc>
          <w:tcPr>
            <w:tcW w:w="2457"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27</w:t>
            </w:r>
            <w:r w:rsidR="003A65D0">
              <w:rPr>
                <w:rFonts w:ascii="Tahoma" w:hAnsi="Tahoma" w:cs="Tahoma"/>
                <w:sz w:val="18"/>
                <w:szCs w:val="18"/>
              </w:rPr>
              <w:t>.</w:t>
            </w:r>
            <w:r w:rsidRPr="004B208C">
              <w:rPr>
                <w:rFonts w:ascii="Tahoma" w:hAnsi="Tahoma" w:cs="Tahoma"/>
                <w:sz w:val="18"/>
                <w:szCs w:val="18"/>
              </w:rPr>
              <w:t>000</w:t>
            </w:r>
          </w:p>
        </w:tc>
        <w:tc>
          <w:tcPr>
            <w:tcW w:w="2889"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270</w:t>
            </w:r>
            <w:r w:rsidR="003A65D0">
              <w:rPr>
                <w:rFonts w:ascii="Tahoma" w:hAnsi="Tahoma" w:cs="Tahoma"/>
                <w:sz w:val="18"/>
                <w:szCs w:val="18"/>
              </w:rPr>
              <w:t>.</w:t>
            </w:r>
            <w:r w:rsidRPr="004B208C">
              <w:rPr>
                <w:rFonts w:ascii="Tahoma" w:hAnsi="Tahoma" w:cs="Tahoma"/>
                <w:sz w:val="18"/>
                <w:szCs w:val="18"/>
              </w:rPr>
              <w:t>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Franco Suíço</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CHF</w:t>
            </w:r>
          </w:p>
        </w:tc>
        <w:tc>
          <w:tcPr>
            <w:tcW w:w="2457"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S Fr. 33</w:t>
            </w:r>
            <w:r w:rsidR="003A65D0">
              <w:rPr>
                <w:rFonts w:ascii="Tahoma" w:hAnsi="Tahoma" w:cs="Tahoma"/>
                <w:sz w:val="18"/>
                <w:szCs w:val="18"/>
              </w:rPr>
              <w:t>.</w:t>
            </w:r>
            <w:r w:rsidRPr="004B208C">
              <w:rPr>
                <w:rFonts w:ascii="Tahoma" w:hAnsi="Tahoma" w:cs="Tahoma"/>
                <w:sz w:val="18"/>
                <w:szCs w:val="18"/>
              </w:rPr>
              <w:t>000</w:t>
            </w:r>
          </w:p>
        </w:tc>
        <w:tc>
          <w:tcPr>
            <w:tcW w:w="2889"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S Fr. 330</w:t>
            </w:r>
            <w:r w:rsidR="003A65D0">
              <w:rPr>
                <w:rFonts w:ascii="Tahoma" w:hAnsi="Tahoma" w:cs="Tahoma"/>
                <w:sz w:val="18"/>
                <w:szCs w:val="18"/>
              </w:rPr>
              <w:t>.</w:t>
            </w:r>
            <w:r w:rsidRPr="004B208C">
              <w:rPr>
                <w:rFonts w:ascii="Tahoma" w:hAnsi="Tahoma" w:cs="Tahoma"/>
                <w:sz w:val="18"/>
                <w:szCs w:val="18"/>
              </w:rPr>
              <w:t>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Iuan Renmimbi (China)</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CNY</w:t>
            </w:r>
          </w:p>
        </w:tc>
        <w:tc>
          <w:tcPr>
            <w:tcW w:w="245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CRC 165.000</w:t>
            </w:r>
          </w:p>
        </w:tc>
        <w:tc>
          <w:tcPr>
            <w:tcW w:w="2889"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CRC 1.650.000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Coroa Dinamarquesa</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DKK</w:t>
            </w:r>
          </w:p>
        </w:tc>
        <w:tc>
          <w:tcPr>
            <w:tcW w:w="245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kr 160.000</w:t>
            </w:r>
          </w:p>
        </w:tc>
        <w:tc>
          <w:tcPr>
            <w:tcW w:w="2889"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kr 1.600.000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Euro</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EUR</w:t>
            </w:r>
          </w:p>
        </w:tc>
        <w:tc>
          <w:tcPr>
            <w:tcW w:w="2457"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21</w:t>
            </w:r>
            <w:r w:rsidR="003A65D0">
              <w:rPr>
                <w:rFonts w:ascii="Tahoma" w:hAnsi="Tahoma" w:cs="Tahoma"/>
                <w:sz w:val="18"/>
                <w:szCs w:val="18"/>
              </w:rPr>
              <w:t>.</w:t>
            </w:r>
            <w:r w:rsidRPr="004B208C">
              <w:rPr>
                <w:rFonts w:ascii="Tahoma" w:hAnsi="Tahoma" w:cs="Tahoma"/>
                <w:sz w:val="18"/>
                <w:szCs w:val="18"/>
              </w:rPr>
              <w:t>500</w:t>
            </w:r>
          </w:p>
        </w:tc>
        <w:tc>
          <w:tcPr>
            <w:tcW w:w="2889"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215</w:t>
            </w:r>
            <w:r w:rsidR="003A65D0">
              <w:rPr>
                <w:rFonts w:ascii="Tahoma" w:hAnsi="Tahoma" w:cs="Tahoma"/>
                <w:sz w:val="18"/>
                <w:szCs w:val="18"/>
              </w:rPr>
              <w:t>.</w:t>
            </w:r>
            <w:r w:rsidRPr="004B208C">
              <w:rPr>
                <w:rFonts w:ascii="Tahoma" w:hAnsi="Tahoma" w:cs="Tahoma"/>
                <w:sz w:val="18"/>
                <w:szCs w:val="18"/>
              </w:rPr>
              <w:t>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Libra Esterlina</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GBP</w:t>
            </w:r>
          </w:p>
        </w:tc>
        <w:tc>
          <w:tcPr>
            <w:tcW w:w="2457"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£13</w:t>
            </w:r>
            <w:r w:rsidR="003A65D0">
              <w:rPr>
                <w:rFonts w:ascii="Tahoma" w:hAnsi="Tahoma" w:cs="Tahoma"/>
                <w:sz w:val="18"/>
                <w:szCs w:val="18"/>
              </w:rPr>
              <w:t>.</w:t>
            </w:r>
            <w:r w:rsidRPr="004B208C">
              <w:rPr>
                <w:rFonts w:ascii="Tahoma" w:hAnsi="Tahoma" w:cs="Tahoma"/>
                <w:sz w:val="18"/>
                <w:szCs w:val="18"/>
              </w:rPr>
              <w:t>500</w:t>
            </w:r>
          </w:p>
        </w:tc>
        <w:tc>
          <w:tcPr>
            <w:tcW w:w="2889"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£135</w:t>
            </w:r>
            <w:r w:rsidR="003A65D0">
              <w:rPr>
                <w:rFonts w:ascii="Tahoma" w:hAnsi="Tahoma" w:cs="Tahoma"/>
                <w:sz w:val="18"/>
                <w:szCs w:val="18"/>
              </w:rPr>
              <w:t>.</w:t>
            </w:r>
            <w:r w:rsidRPr="004B208C">
              <w:rPr>
                <w:rFonts w:ascii="Tahoma" w:hAnsi="Tahoma" w:cs="Tahoma"/>
                <w:sz w:val="18"/>
                <w:szCs w:val="18"/>
              </w:rPr>
              <w:t>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Iene Japonês</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JPY</w:t>
            </w:r>
          </w:p>
        </w:tc>
        <w:tc>
          <w:tcPr>
            <w:tcW w:w="245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JPY 2.400.000</w:t>
            </w:r>
          </w:p>
        </w:tc>
        <w:tc>
          <w:tcPr>
            <w:tcW w:w="2889"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JPY 24.000.000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Won Coreano</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KRW</w:t>
            </w:r>
          </w:p>
        </w:tc>
        <w:tc>
          <w:tcPr>
            <w:tcW w:w="245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KWD 24.000.000</w:t>
            </w:r>
          </w:p>
        </w:tc>
        <w:tc>
          <w:tcPr>
            <w:tcW w:w="2889"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KWD 240.000.000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Coroa Norueguesa</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NOK</w:t>
            </w:r>
          </w:p>
        </w:tc>
        <w:tc>
          <w:tcPr>
            <w:tcW w:w="245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kr 165.000</w:t>
            </w:r>
          </w:p>
        </w:tc>
        <w:tc>
          <w:tcPr>
            <w:tcW w:w="2889"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kr 1.650.000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Dólar Neozelandês</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NZD</w:t>
            </w:r>
          </w:p>
        </w:tc>
        <w:tc>
          <w:tcPr>
            <w:tcW w:w="2457"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35</w:t>
            </w:r>
            <w:r w:rsidR="003A65D0">
              <w:rPr>
                <w:rFonts w:ascii="Tahoma" w:hAnsi="Tahoma" w:cs="Tahoma"/>
                <w:sz w:val="18"/>
                <w:szCs w:val="18"/>
              </w:rPr>
              <w:t>.</w:t>
            </w:r>
            <w:r w:rsidRPr="004B208C">
              <w:rPr>
                <w:rFonts w:ascii="Tahoma" w:hAnsi="Tahoma" w:cs="Tahoma"/>
                <w:sz w:val="18"/>
                <w:szCs w:val="18"/>
              </w:rPr>
              <w:t>000</w:t>
            </w:r>
          </w:p>
        </w:tc>
        <w:tc>
          <w:tcPr>
            <w:tcW w:w="2889" w:type="dxa"/>
            <w:vAlign w:val="bottom"/>
          </w:tcPr>
          <w:p w:rsidR="00613BBB" w:rsidRPr="004B208C" w:rsidRDefault="00613BBB" w:rsidP="003A65D0">
            <w:pPr>
              <w:pStyle w:val="AppendixBodyText"/>
              <w:rPr>
                <w:rFonts w:ascii="Tahoma" w:hAnsi="Tahoma" w:cs="Tahoma"/>
                <w:sz w:val="18"/>
                <w:szCs w:val="18"/>
              </w:rPr>
            </w:pPr>
            <w:r w:rsidRPr="004B208C">
              <w:rPr>
                <w:rFonts w:ascii="Tahoma" w:hAnsi="Tahoma" w:cs="Tahoma"/>
                <w:sz w:val="18"/>
                <w:szCs w:val="18"/>
              </w:rPr>
              <w:t>350</w:t>
            </w:r>
            <w:r w:rsidR="003A65D0">
              <w:rPr>
                <w:rFonts w:ascii="Tahoma" w:hAnsi="Tahoma" w:cs="Tahoma"/>
                <w:sz w:val="18"/>
                <w:szCs w:val="18"/>
              </w:rPr>
              <w:t>.</w:t>
            </w:r>
            <w:r w:rsidRPr="004B208C">
              <w:rPr>
                <w:rFonts w:ascii="Tahoma" w:hAnsi="Tahoma" w:cs="Tahoma"/>
                <w:sz w:val="18"/>
                <w:szCs w:val="18"/>
              </w:rPr>
              <w:t>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Coroa Sueca</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SEK</w:t>
            </w:r>
          </w:p>
        </w:tc>
        <w:tc>
          <w:tcPr>
            <w:tcW w:w="245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kr 200.000</w:t>
            </w:r>
          </w:p>
        </w:tc>
        <w:tc>
          <w:tcPr>
            <w:tcW w:w="2889"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kr 2.000.000</w:t>
            </w:r>
          </w:p>
        </w:tc>
      </w:tr>
      <w:tr w:rsidR="00613BBB" w:rsidRPr="004B208C" w:rsidTr="003A65D0">
        <w:trPr>
          <w:trHeight w:val="236"/>
        </w:trPr>
        <w:tc>
          <w:tcPr>
            <w:tcW w:w="2088"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Novo Dólar Taiwanês</w:t>
            </w:r>
          </w:p>
        </w:tc>
        <w:tc>
          <w:tcPr>
            <w:tcW w:w="128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TWD</w:t>
            </w:r>
          </w:p>
        </w:tc>
        <w:tc>
          <w:tcPr>
            <w:tcW w:w="2457"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NTD 700.000</w:t>
            </w:r>
          </w:p>
        </w:tc>
        <w:tc>
          <w:tcPr>
            <w:tcW w:w="2889" w:type="dxa"/>
            <w:vAlign w:val="bottom"/>
          </w:tcPr>
          <w:p w:rsidR="00613BBB" w:rsidRPr="004B208C" w:rsidRDefault="00613BBB" w:rsidP="00F42FB8">
            <w:pPr>
              <w:pStyle w:val="AppendixBodyText"/>
              <w:rPr>
                <w:rFonts w:ascii="Tahoma" w:hAnsi="Tahoma" w:cs="Tahoma"/>
                <w:sz w:val="18"/>
                <w:szCs w:val="18"/>
              </w:rPr>
            </w:pPr>
            <w:r w:rsidRPr="004B208C">
              <w:rPr>
                <w:rFonts w:ascii="Tahoma" w:hAnsi="Tahoma" w:cs="Tahoma"/>
                <w:sz w:val="18"/>
                <w:szCs w:val="18"/>
              </w:rPr>
              <w:t>NTD 7.000.000</w:t>
            </w:r>
          </w:p>
        </w:tc>
      </w:tr>
      <w:tr w:rsidR="004B4C79" w:rsidRPr="004B208C" w:rsidTr="003A65D0">
        <w:trPr>
          <w:trHeight w:val="236"/>
        </w:trPr>
        <w:tc>
          <w:tcPr>
            <w:tcW w:w="2088" w:type="dxa"/>
          </w:tcPr>
          <w:p w:rsidR="004B4C79" w:rsidRPr="004B208C" w:rsidRDefault="004B4C79" w:rsidP="00F42FB8">
            <w:pPr>
              <w:pStyle w:val="AppendixBodyText"/>
              <w:rPr>
                <w:rFonts w:ascii="Tahoma" w:hAnsi="Tahoma" w:cs="Tahoma"/>
                <w:sz w:val="18"/>
                <w:szCs w:val="18"/>
              </w:rPr>
            </w:pPr>
            <w:r w:rsidRPr="004B208C">
              <w:rPr>
                <w:rFonts w:ascii="Tahoma" w:hAnsi="Tahoma" w:cs="Tahoma"/>
                <w:sz w:val="18"/>
                <w:szCs w:val="18"/>
              </w:rPr>
              <w:t>Rúpia Indiana</w:t>
            </w:r>
          </w:p>
        </w:tc>
        <w:tc>
          <w:tcPr>
            <w:tcW w:w="1287" w:type="dxa"/>
          </w:tcPr>
          <w:p w:rsidR="004B4C79" w:rsidRPr="004B208C" w:rsidRDefault="004B4C79" w:rsidP="00F42FB8">
            <w:pPr>
              <w:pStyle w:val="AppendixBodyText"/>
              <w:rPr>
                <w:rFonts w:ascii="Tahoma" w:hAnsi="Tahoma" w:cs="Tahoma"/>
                <w:sz w:val="18"/>
                <w:szCs w:val="18"/>
              </w:rPr>
            </w:pPr>
            <w:r w:rsidRPr="004B208C">
              <w:rPr>
                <w:rFonts w:ascii="Tahoma" w:hAnsi="Tahoma" w:cs="Tahoma"/>
                <w:sz w:val="18"/>
                <w:szCs w:val="18"/>
              </w:rPr>
              <w:t>INR</w:t>
            </w:r>
          </w:p>
        </w:tc>
        <w:tc>
          <w:tcPr>
            <w:tcW w:w="2457" w:type="dxa"/>
          </w:tcPr>
          <w:p w:rsidR="004B4C79" w:rsidRPr="004B208C" w:rsidRDefault="004B4C79" w:rsidP="00F42FB8">
            <w:pPr>
              <w:pStyle w:val="AppendixBodyText"/>
              <w:rPr>
                <w:rFonts w:ascii="Tahoma" w:hAnsi="Tahoma" w:cs="Tahoma"/>
                <w:sz w:val="18"/>
                <w:szCs w:val="18"/>
              </w:rPr>
            </w:pPr>
            <w:r w:rsidRPr="004B208C">
              <w:rPr>
                <w:rFonts w:ascii="Tahoma" w:hAnsi="Tahoma" w:cs="Tahoma"/>
                <w:sz w:val="18"/>
                <w:szCs w:val="18"/>
              </w:rPr>
              <w:t>INR 1.000.000</w:t>
            </w:r>
          </w:p>
        </w:tc>
        <w:tc>
          <w:tcPr>
            <w:tcW w:w="2889" w:type="dxa"/>
          </w:tcPr>
          <w:p w:rsidR="004B4C79" w:rsidRPr="004B208C" w:rsidRDefault="004B4C79" w:rsidP="00F42FB8">
            <w:pPr>
              <w:pStyle w:val="AppendixBodyText"/>
              <w:rPr>
                <w:rFonts w:ascii="Tahoma" w:hAnsi="Tahoma" w:cs="Tahoma"/>
                <w:sz w:val="18"/>
                <w:szCs w:val="18"/>
              </w:rPr>
            </w:pPr>
            <w:r w:rsidRPr="004B208C">
              <w:rPr>
                <w:rFonts w:ascii="Tahoma" w:hAnsi="Tahoma" w:cs="Tahoma"/>
                <w:sz w:val="18"/>
                <w:szCs w:val="18"/>
              </w:rPr>
              <w:t>INR 10.000.000</w:t>
            </w:r>
          </w:p>
        </w:tc>
      </w:tr>
      <w:tr w:rsidR="004B4C79" w:rsidRPr="004B208C" w:rsidTr="003A65D0">
        <w:trPr>
          <w:trHeight w:val="236"/>
        </w:trPr>
        <w:tc>
          <w:tcPr>
            <w:tcW w:w="2088" w:type="dxa"/>
          </w:tcPr>
          <w:p w:rsidR="004B4C79" w:rsidRPr="004B208C" w:rsidRDefault="004B4C79" w:rsidP="00F42FB8">
            <w:pPr>
              <w:pStyle w:val="AppendixBodyText"/>
              <w:rPr>
                <w:rFonts w:ascii="Tahoma" w:hAnsi="Tahoma" w:cs="Tahoma"/>
                <w:sz w:val="18"/>
                <w:szCs w:val="18"/>
              </w:rPr>
            </w:pPr>
            <w:r w:rsidRPr="004B208C">
              <w:rPr>
                <w:rFonts w:ascii="Tahoma" w:hAnsi="Tahoma" w:cs="Tahoma"/>
                <w:sz w:val="18"/>
                <w:szCs w:val="18"/>
              </w:rPr>
              <w:t>Rublo Russo</w:t>
            </w:r>
          </w:p>
        </w:tc>
        <w:tc>
          <w:tcPr>
            <w:tcW w:w="1287" w:type="dxa"/>
          </w:tcPr>
          <w:p w:rsidR="004B4C79" w:rsidRPr="004B208C" w:rsidRDefault="004B4C79" w:rsidP="00F42FB8">
            <w:pPr>
              <w:pStyle w:val="AppendixBodyText"/>
              <w:rPr>
                <w:rFonts w:ascii="Tahoma" w:hAnsi="Tahoma" w:cs="Tahoma"/>
                <w:sz w:val="18"/>
                <w:szCs w:val="18"/>
              </w:rPr>
            </w:pPr>
            <w:r w:rsidRPr="004B208C">
              <w:rPr>
                <w:rFonts w:ascii="Tahoma" w:hAnsi="Tahoma" w:cs="Tahoma"/>
                <w:sz w:val="18"/>
                <w:szCs w:val="18"/>
              </w:rPr>
              <w:t>RUB</w:t>
            </w:r>
          </w:p>
        </w:tc>
        <w:tc>
          <w:tcPr>
            <w:tcW w:w="2457" w:type="dxa"/>
          </w:tcPr>
          <w:p w:rsidR="004B4C79" w:rsidRPr="004B208C" w:rsidRDefault="004B4C79" w:rsidP="00F42FB8">
            <w:pPr>
              <w:pStyle w:val="AppendixBodyText"/>
              <w:rPr>
                <w:rFonts w:ascii="Tahoma" w:hAnsi="Tahoma" w:cs="Tahoma"/>
                <w:sz w:val="18"/>
                <w:szCs w:val="18"/>
              </w:rPr>
            </w:pPr>
            <w:r w:rsidRPr="004B208C">
              <w:rPr>
                <w:rFonts w:ascii="Tahoma" w:hAnsi="Tahoma" w:cs="Tahoma"/>
                <w:sz w:val="18"/>
                <w:szCs w:val="18"/>
              </w:rPr>
              <w:t>RUB 660.000</w:t>
            </w:r>
          </w:p>
        </w:tc>
        <w:tc>
          <w:tcPr>
            <w:tcW w:w="2889" w:type="dxa"/>
          </w:tcPr>
          <w:p w:rsidR="004B4C79" w:rsidRPr="004B208C" w:rsidRDefault="004B4C79" w:rsidP="00F42FB8">
            <w:pPr>
              <w:pStyle w:val="AppendixBodyText"/>
              <w:rPr>
                <w:rFonts w:ascii="Tahoma" w:hAnsi="Tahoma" w:cs="Tahoma"/>
                <w:sz w:val="18"/>
                <w:szCs w:val="18"/>
              </w:rPr>
            </w:pPr>
            <w:r w:rsidRPr="004B208C">
              <w:rPr>
                <w:rFonts w:ascii="Tahoma" w:hAnsi="Tahoma" w:cs="Tahoma"/>
                <w:sz w:val="18"/>
                <w:szCs w:val="18"/>
              </w:rPr>
              <w:t>RUB 6.600.000</w:t>
            </w:r>
          </w:p>
        </w:tc>
      </w:tr>
    </w:tbl>
    <w:p w:rsidR="00023FE7" w:rsidRPr="003A65D0" w:rsidRDefault="00023FE7" w:rsidP="00F93617">
      <w:pPr>
        <w:pStyle w:val="AppendixBodyText"/>
        <w:spacing w:after="0"/>
        <w:rPr>
          <w:rFonts w:ascii="Tahoma" w:hAnsi="Tahoma" w:cs="Tahoma"/>
          <w:sz w:val="18"/>
          <w:szCs w:val="18"/>
        </w:rPr>
      </w:pPr>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sz w:val="18"/>
          <w:szCs w:val="18"/>
        </w:rPr>
        <w:t>Os incidentes com base em gastos de SA são recebidos com base nos gastos de SA de servidor e desktop sob um</w:t>
      </w:r>
      <w:r w:rsidR="003A65D0">
        <w:rPr>
          <w:rFonts w:ascii="Tahoma" w:hAnsi="Tahoma" w:cs="Tahoma"/>
          <w:sz w:val="18"/>
          <w:szCs w:val="18"/>
        </w:rPr>
        <w:t> </w:t>
      </w:r>
      <w:r w:rsidRPr="003A65D0">
        <w:rPr>
          <w:rFonts w:ascii="Tahoma" w:hAnsi="Tahoma" w:cs="Tahoma"/>
          <w:sz w:val="18"/>
          <w:szCs w:val="18"/>
        </w:rPr>
        <w:t>registro Select ou Enterprise qualificado, um registro Select Plus, um Contrato Open Value ou um Número de</w:t>
      </w:r>
      <w:r w:rsidR="003A65D0">
        <w:rPr>
          <w:rFonts w:ascii="Tahoma" w:hAnsi="Tahoma" w:cs="Tahoma"/>
          <w:sz w:val="18"/>
          <w:szCs w:val="18"/>
        </w:rPr>
        <w:t> </w:t>
      </w:r>
      <w:r w:rsidRPr="003A65D0">
        <w:rPr>
          <w:rFonts w:ascii="Tahoma" w:hAnsi="Tahoma" w:cs="Tahoma"/>
          <w:sz w:val="18"/>
          <w:szCs w:val="18"/>
        </w:rPr>
        <w:t>Autorização de Licença Open.</w:t>
      </w:r>
      <w:r w:rsidR="00172F11" w:rsidRPr="003A65D0">
        <w:rPr>
          <w:rFonts w:ascii="Tahoma" w:hAnsi="Tahoma" w:cs="Tahoma"/>
          <w:sz w:val="18"/>
          <w:szCs w:val="18"/>
        </w:rPr>
        <w:t xml:space="preserve"> </w:t>
      </w:r>
      <w:r w:rsidRPr="003A65D0">
        <w:rPr>
          <w:rFonts w:ascii="Tahoma" w:hAnsi="Tahoma" w:cs="Tahoma"/>
          <w:sz w:val="18"/>
          <w:szCs w:val="18"/>
        </w:rPr>
        <w:t>A cada aproximadamente US$ 20.000 de gastos de SA de Servidor e CAL, concederemos um incidente.</w:t>
      </w:r>
      <w:r w:rsidR="00172F11" w:rsidRPr="003A65D0">
        <w:rPr>
          <w:rFonts w:ascii="Tahoma" w:hAnsi="Tahoma" w:cs="Tahoma"/>
          <w:sz w:val="18"/>
          <w:szCs w:val="18"/>
        </w:rPr>
        <w:t xml:space="preserve"> </w:t>
      </w:r>
      <w:r w:rsidRPr="003A65D0">
        <w:rPr>
          <w:rFonts w:ascii="Tahoma" w:hAnsi="Tahoma" w:cs="Tahoma"/>
          <w:sz w:val="18"/>
          <w:szCs w:val="18"/>
        </w:rPr>
        <w:t>A cada aproximadamente US$ 200.000 de gastos de SA em Pools de Sistemas e</w:t>
      </w:r>
      <w:r w:rsidR="003A65D0">
        <w:rPr>
          <w:rFonts w:ascii="Tahoma" w:hAnsi="Tahoma" w:cs="Tahoma"/>
          <w:sz w:val="18"/>
          <w:szCs w:val="18"/>
        </w:rPr>
        <w:t> </w:t>
      </w:r>
      <w:r w:rsidRPr="003A65D0">
        <w:rPr>
          <w:rFonts w:ascii="Tahoma" w:hAnsi="Tahoma" w:cs="Tahoma"/>
          <w:sz w:val="18"/>
          <w:szCs w:val="18"/>
        </w:rPr>
        <w:t>Aplicativos, concederemos um incidente.</w:t>
      </w:r>
      <w:r w:rsidR="00172F11" w:rsidRPr="003A65D0">
        <w:rPr>
          <w:rFonts w:ascii="Tahoma" w:hAnsi="Tahoma" w:cs="Tahoma"/>
          <w:sz w:val="18"/>
          <w:szCs w:val="18"/>
        </w:rPr>
        <w:t xml:space="preserve"> </w:t>
      </w:r>
      <w:r w:rsidRPr="003A65D0">
        <w:rPr>
          <w:rFonts w:ascii="Tahoma" w:hAnsi="Tahoma" w:cs="Tahoma"/>
          <w:sz w:val="18"/>
          <w:szCs w:val="18"/>
        </w:rPr>
        <w:t>A tabela a seguir mostra os equivalentes monetários aproximados para prêmios com base em gastos de SA de contratos com base em moedas que não sejam o USD.</w:t>
      </w:r>
      <w:r w:rsidR="00172F11" w:rsidRPr="003A65D0">
        <w:rPr>
          <w:rFonts w:ascii="Tahoma" w:hAnsi="Tahoma" w:cs="Tahoma"/>
          <w:sz w:val="18"/>
          <w:szCs w:val="18"/>
        </w:rPr>
        <w:t xml:space="preserve"> </w:t>
      </w:r>
      <w:r w:rsidRPr="003A65D0">
        <w:rPr>
          <w:rFonts w:ascii="Tahoma" w:hAnsi="Tahoma" w:cs="Tahoma"/>
          <w:sz w:val="18"/>
          <w:szCs w:val="18"/>
        </w:rPr>
        <w:t>Devido à flutuação das taxas de câmbio, essa tabela está sujeita a alterações.</w:t>
      </w:r>
    </w:p>
    <w:p w:rsidR="00023FE7" w:rsidRPr="003A65D0" w:rsidRDefault="00023FE7" w:rsidP="00F42FB8">
      <w:pPr>
        <w:pStyle w:val="AppendixBodyText"/>
        <w:spacing w:after="0"/>
        <w:rPr>
          <w:rFonts w:ascii="Tahoma" w:hAnsi="Tahoma" w:cs="Tahoma"/>
          <w:sz w:val="18"/>
          <w:szCs w:val="18"/>
        </w:rPr>
      </w:pPr>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sz w:val="18"/>
          <w:szCs w:val="18"/>
        </w:rPr>
        <w:t>Os incidentes são alocados sobre o prazo da cobertura do Software Assurance com base na forma de pagamento.</w:t>
      </w:r>
      <w:r w:rsidR="00172F11" w:rsidRPr="003A65D0">
        <w:rPr>
          <w:rFonts w:ascii="Tahoma" w:hAnsi="Tahoma" w:cs="Tahoma"/>
          <w:sz w:val="18"/>
          <w:szCs w:val="18"/>
        </w:rPr>
        <w:t xml:space="preserve"> </w:t>
      </w:r>
      <w:r w:rsidRPr="003A65D0">
        <w:rPr>
          <w:rFonts w:ascii="Tahoma" w:hAnsi="Tahoma" w:cs="Tahoma"/>
          <w:sz w:val="18"/>
          <w:szCs w:val="18"/>
        </w:rPr>
        <w:t>Os</w:t>
      </w:r>
      <w:r w:rsidR="003A65D0">
        <w:rPr>
          <w:rFonts w:ascii="Tahoma" w:hAnsi="Tahoma" w:cs="Tahoma"/>
          <w:sz w:val="18"/>
          <w:szCs w:val="18"/>
        </w:rPr>
        <w:t> </w:t>
      </w:r>
      <w:r w:rsidRPr="003A65D0">
        <w:rPr>
          <w:rFonts w:ascii="Tahoma" w:hAnsi="Tahoma" w:cs="Tahoma"/>
          <w:sz w:val="18"/>
          <w:szCs w:val="18"/>
        </w:rPr>
        <w:t>contratos que refletem pagamentos em parcelas levarão a incidentes concedidos durante o prazo. Os contratos que refletem pagamentos únicos serão premiados de maneira adiantada.</w:t>
      </w:r>
      <w:r w:rsidR="00172F11" w:rsidRPr="003A65D0">
        <w:rPr>
          <w:rFonts w:ascii="Tahoma" w:hAnsi="Tahoma" w:cs="Tahoma"/>
          <w:sz w:val="18"/>
          <w:szCs w:val="18"/>
        </w:rPr>
        <w:t xml:space="preserve"> </w:t>
      </w:r>
      <w:r w:rsidRPr="003A65D0">
        <w:rPr>
          <w:rFonts w:ascii="Tahoma" w:hAnsi="Tahoma" w:cs="Tahoma"/>
          <w:sz w:val="18"/>
          <w:szCs w:val="18"/>
        </w:rPr>
        <w:t>As compras feitas após o pedido inicial levarão a um novo cálculo dos incidentes concedidos e da alocação anual.</w:t>
      </w:r>
      <w:r w:rsidR="00172F11" w:rsidRPr="003A65D0">
        <w:rPr>
          <w:rFonts w:ascii="Tahoma" w:hAnsi="Tahoma" w:cs="Tahoma"/>
          <w:sz w:val="18"/>
          <w:szCs w:val="18"/>
        </w:rPr>
        <w:t xml:space="preserve"> </w:t>
      </w:r>
      <w:r w:rsidRPr="003A65D0">
        <w:rPr>
          <w:rFonts w:ascii="Tahoma" w:hAnsi="Tahoma" w:cs="Tahoma"/>
          <w:sz w:val="18"/>
          <w:szCs w:val="18"/>
        </w:rPr>
        <w:t>Os Incidentes de Suporte por Telefone que não forem usados expirarão no término da cobertura do Software Assurance.</w:t>
      </w:r>
      <w:r w:rsidR="00172F11" w:rsidRPr="003A65D0">
        <w:rPr>
          <w:rFonts w:ascii="Tahoma" w:hAnsi="Tahoma" w:cs="Tahoma"/>
          <w:sz w:val="18"/>
          <w:szCs w:val="18"/>
        </w:rPr>
        <w:t xml:space="preserve"> </w:t>
      </w:r>
      <w:r w:rsidRPr="003A65D0">
        <w:rPr>
          <w:rFonts w:ascii="Tahoma" w:hAnsi="Tahoma" w:cs="Tahoma"/>
          <w:sz w:val="18"/>
          <w:szCs w:val="18"/>
        </w:rPr>
        <w:t>Os Incidentes de Suporte por Telefone não podem ser transferidos entre registros ou contratos.</w:t>
      </w:r>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sz w:val="18"/>
          <w:szCs w:val="18"/>
        </w:rPr>
        <w:lastRenderedPageBreak/>
        <w:t>O acesso ao suporte por telefone local está disponível durante o horário comercial*</w:t>
      </w:r>
      <w:r w:rsidRPr="003A65D0">
        <w:rPr>
          <w:rFonts w:ascii="Tahoma" w:hAnsi="Tahoma" w:cs="Tahoma"/>
          <w:sz w:val="18"/>
          <w:szCs w:val="18"/>
          <w:vertAlign w:val="superscript"/>
        </w:rPr>
        <w:t>(1)</w:t>
      </w:r>
      <w:r w:rsidRPr="003A65D0">
        <w:rPr>
          <w:rFonts w:ascii="Tahoma" w:hAnsi="Tahoma" w:cs="Tahoma"/>
          <w:sz w:val="18"/>
          <w:szCs w:val="18"/>
        </w:rPr>
        <w:t>.</w:t>
      </w:r>
      <w:r w:rsidR="00172F11" w:rsidRPr="003A65D0">
        <w:rPr>
          <w:rFonts w:ascii="Tahoma" w:hAnsi="Tahoma" w:cs="Tahoma"/>
          <w:sz w:val="18"/>
          <w:szCs w:val="18"/>
        </w:rPr>
        <w:t xml:space="preserve"> </w:t>
      </w:r>
      <w:r w:rsidRPr="003A65D0">
        <w:rPr>
          <w:rFonts w:ascii="Tahoma" w:hAnsi="Tahoma" w:cs="Tahoma"/>
          <w:sz w:val="18"/>
          <w:szCs w:val="18"/>
        </w:rPr>
        <w:t>O suporte por telefone fora do</w:t>
      </w:r>
      <w:r w:rsidR="003A65D0">
        <w:rPr>
          <w:rFonts w:ascii="Tahoma" w:hAnsi="Tahoma" w:cs="Tahoma"/>
          <w:sz w:val="18"/>
          <w:szCs w:val="18"/>
        </w:rPr>
        <w:t> </w:t>
      </w:r>
      <w:r w:rsidRPr="003A65D0">
        <w:rPr>
          <w:rFonts w:ascii="Tahoma" w:hAnsi="Tahoma" w:cs="Tahoma"/>
          <w:sz w:val="18"/>
          <w:szCs w:val="18"/>
        </w:rPr>
        <w:t>horário comercial pode ser fornecido por meio de centros de suporte regionais e internacionais.</w:t>
      </w:r>
      <w:r w:rsidR="00172F11" w:rsidRPr="003A65D0">
        <w:rPr>
          <w:rFonts w:ascii="Tahoma" w:hAnsi="Tahoma" w:cs="Tahoma"/>
          <w:sz w:val="18"/>
          <w:szCs w:val="18"/>
        </w:rPr>
        <w:t xml:space="preserve"> </w:t>
      </w:r>
      <w:r w:rsidRPr="003A65D0">
        <w:rPr>
          <w:rFonts w:ascii="Tahoma" w:hAnsi="Tahoma" w:cs="Tahoma"/>
          <w:sz w:val="18"/>
          <w:szCs w:val="18"/>
        </w:rPr>
        <w:t>O suporte por telefone fora do horário comercial pode ser usada apenas para iniciar solicitações de suporte essenciais aos negócios.</w:t>
      </w:r>
      <w:r w:rsidR="00172F11" w:rsidRPr="003A65D0">
        <w:rPr>
          <w:rFonts w:ascii="Tahoma" w:hAnsi="Tahoma" w:cs="Tahoma"/>
          <w:sz w:val="18"/>
          <w:szCs w:val="18"/>
        </w:rPr>
        <w:t xml:space="preserve"> </w:t>
      </w:r>
      <w:r w:rsidRPr="003A65D0">
        <w:rPr>
          <w:rFonts w:ascii="Tahoma" w:hAnsi="Tahoma" w:cs="Tahoma"/>
          <w:sz w:val="18"/>
          <w:szCs w:val="18"/>
        </w:rPr>
        <w:t>O horário comercial é determinado de acordo com a região. Os representantes da Microsoft do cliente podem indicar o horário comercial definido na região ou no país do cliente.</w:t>
      </w:r>
      <w:r w:rsidR="00172F11" w:rsidRPr="003A65D0">
        <w:rPr>
          <w:rFonts w:ascii="Tahoma" w:hAnsi="Tahoma" w:cs="Tahoma"/>
          <w:sz w:val="18"/>
          <w:szCs w:val="18"/>
        </w:rPr>
        <w:t xml:space="preserve"> </w:t>
      </w:r>
      <w:r w:rsidRPr="003A65D0">
        <w:rPr>
          <w:rFonts w:ascii="Tahoma" w:hAnsi="Tahoma" w:cs="Tahoma"/>
          <w:sz w:val="18"/>
          <w:szCs w:val="18"/>
        </w:rPr>
        <w:t xml:space="preserve">A assistência de suporte por telefone não está disponível em todos os idiomas nem em todas as regiões. </w:t>
      </w:r>
    </w:p>
    <w:p w:rsidR="00023FE7" w:rsidRPr="003A65D0" w:rsidRDefault="00023FE7" w:rsidP="00077CE5">
      <w:pPr>
        <w:pStyle w:val="AppendixBodyText"/>
        <w:spacing w:after="0"/>
        <w:rPr>
          <w:rFonts w:ascii="Tahoma"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4B208C"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B208C" w:rsidRDefault="00023FE7" w:rsidP="003A65D0">
            <w:pPr>
              <w:pStyle w:val="AppendixBodyText"/>
              <w:rPr>
                <w:rFonts w:ascii="Tahoma" w:hAnsi="Tahoma" w:cs="Tahoma"/>
                <w:b/>
                <w:bCs/>
                <w:vertAlign w:val="superscript"/>
              </w:rPr>
            </w:pPr>
            <w:r w:rsidRPr="004B208C">
              <w:rPr>
                <w:rFonts w:ascii="Tahoma" w:hAnsi="Tahoma" w:cs="Tahoma"/>
                <w:b/>
                <w:bCs/>
              </w:rPr>
              <w:t>*(1) Variações de Horário Comercial por</w:t>
            </w:r>
            <w:r w:rsidR="003A65D0">
              <w:rPr>
                <w:rFonts w:ascii="Tahoma" w:hAnsi="Tahoma" w:cs="Tahoma"/>
                <w:b/>
                <w:bCs/>
              </w:rPr>
              <w:t> </w:t>
            </w:r>
            <w:r w:rsidRPr="004B208C">
              <w:rPr>
                <w:rFonts w:ascii="Tahoma" w:hAnsi="Tahoma" w:cs="Tahoma"/>
                <w:b/>
                <w:bCs/>
              </w:rPr>
              <w:t>Região</w:t>
            </w:r>
          </w:p>
        </w:tc>
      </w:tr>
      <w:tr w:rsidR="00023FE7" w:rsidRPr="004B208C" w:rsidTr="002A6416">
        <w:trPr>
          <w:cantSplit/>
          <w:trHeight w:val="20"/>
        </w:trPr>
        <w:tc>
          <w:tcPr>
            <w:tcW w:w="2629" w:type="dxa"/>
            <w:tcBorders>
              <w:top w:val="single" w:sz="8" w:space="0" w:color="auto"/>
            </w:tcBorders>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Américas</w:t>
            </w:r>
          </w:p>
        </w:tc>
        <w:tc>
          <w:tcPr>
            <w:tcW w:w="2081" w:type="dxa"/>
            <w:tcBorders>
              <w:top w:val="single" w:sz="8" w:space="0" w:color="auto"/>
            </w:tcBorders>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Segunda à sexta, das 6h às 18h (PST)</w:t>
            </w:r>
          </w:p>
        </w:tc>
      </w:tr>
      <w:tr w:rsidR="00023FE7" w:rsidRPr="004B208C" w:rsidTr="002A6416">
        <w:trPr>
          <w:cantSplit/>
          <w:trHeight w:val="20"/>
        </w:trPr>
        <w:tc>
          <w:tcPr>
            <w:tcW w:w="2629" w:type="dxa"/>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EMEA</w:t>
            </w:r>
          </w:p>
        </w:tc>
        <w:tc>
          <w:tcPr>
            <w:tcW w:w="2081" w:type="dxa"/>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Segunda à sexta, das 6h às 18h (GMT)</w:t>
            </w:r>
          </w:p>
        </w:tc>
      </w:tr>
      <w:tr w:rsidR="00023FE7" w:rsidRPr="004B208C" w:rsidTr="002A6416">
        <w:trPr>
          <w:cantSplit/>
          <w:trHeight w:val="20"/>
        </w:trPr>
        <w:tc>
          <w:tcPr>
            <w:tcW w:w="2629" w:type="dxa"/>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Austrália/Nova Zelândia</w:t>
            </w:r>
          </w:p>
        </w:tc>
        <w:tc>
          <w:tcPr>
            <w:tcW w:w="2081" w:type="dxa"/>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Segunda à sexta, das 7h às 18h</w:t>
            </w:r>
          </w:p>
        </w:tc>
      </w:tr>
      <w:tr w:rsidR="00023FE7" w:rsidRPr="004B208C" w:rsidTr="002A6416">
        <w:trPr>
          <w:cantSplit/>
          <w:trHeight w:val="20"/>
        </w:trPr>
        <w:tc>
          <w:tcPr>
            <w:tcW w:w="2629" w:type="dxa"/>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Japão</w:t>
            </w:r>
          </w:p>
        </w:tc>
        <w:tc>
          <w:tcPr>
            <w:tcW w:w="2081" w:type="dxa"/>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Segunda à sexta, das 9h30 às 19h</w:t>
            </w:r>
          </w:p>
        </w:tc>
      </w:tr>
      <w:tr w:rsidR="00023FE7" w:rsidRPr="004B208C" w:rsidTr="002A6416">
        <w:trPr>
          <w:cantSplit/>
          <w:trHeight w:val="20"/>
        </w:trPr>
        <w:tc>
          <w:tcPr>
            <w:tcW w:w="2629" w:type="dxa"/>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Ásia</w:t>
            </w:r>
          </w:p>
        </w:tc>
        <w:tc>
          <w:tcPr>
            <w:tcW w:w="2081" w:type="dxa"/>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Segunda à sexta, das 9h às 18h</w:t>
            </w:r>
          </w:p>
        </w:tc>
      </w:tr>
    </w:tbl>
    <w:p w:rsidR="0034219A" w:rsidRPr="004B208C" w:rsidRDefault="0034219A" w:rsidP="00F42FB8">
      <w:pPr>
        <w:rPr>
          <w:rFonts w:cs="Tahoma"/>
        </w:rPr>
      </w:pPr>
      <w:bookmarkStart w:id="730" w:name="_Toc240899164"/>
    </w:p>
    <w:p w:rsidR="00023FE7" w:rsidRPr="004B208C" w:rsidRDefault="00023FE7" w:rsidP="00DA2788">
      <w:pPr>
        <w:spacing w:after="60"/>
        <w:rPr>
          <w:rFonts w:cs="Tahoma"/>
        </w:rPr>
      </w:pPr>
      <w:r w:rsidRPr="004B208C">
        <w:rPr>
          <w:rFonts w:cs="Tahoma"/>
          <w:b/>
          <w:szCs w:val="20"/>
        </w:rPr>
        <w:t>Incidentes com base na Web</w:t>
      </w:r>
      <w:bookmarkEnd w:id="730"/>
      <w:r w:rsidRPr="004B208C">
        <w:rPr>
          <w:rFonts w:cs="Tahoma"/>
          <w:b/>
          <w:szCs w:val="20"/>
        </w:rPr>
        <w:t xml:space="preserve"> </w:t>
      </w:r>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sz w:val="18"/>
          <w:szCs w:val="18"/>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w:t>
      </w:r>
      <w:r w:rsidR="009869F4">
        <w:rPr>
          <w:rFonts w:ascii="Tahoma" w:hAnsi="Tahoma" w:cs="Tahoma"/>
          <w:sz w:val="18"/>
          <w:szCs w:val="18"/>
        </w:rPr>
        <w:t> </w:t>
      </w:r>
      <w:r w:rsidRPr="003A65D0">
        <w:rPr>
          <w:rFonts w:ascii="Tahoma" w:hAnsi="Tahoma" w:cs="Tahoma"/>
          <w:sz w:val="18"/>
          <w:szCs w:val="18"/>
        </w:rPr>
        <w:t>serviços de Suporte para Resolução de Problemas com base na Web conforme necessário.</w:t>
      </w:r>
      <w:r w:rsidR="00172F11" w:rsidRPr="003A65D0">
        <w:rPr>
          <w:rFonts w:ascii="Tahoma" w:hAnsi="Tahoma" w:cs="Tahoma"/>
          <w:sz w:val="18"/>
          <w:szCs w:val="18"/>
        </w:rPr>
        <w:t xml:space="preserve"> </w:t>
      </w:r>
      <w:r w:rsidRPr="003A65D0">
        <w:rPr>
          <w:rFonts w:ascii="Tahoma" w:hAnsi="Tahoma" w:cs="Tahoma"/>
          <w:sz w:val="18"/>
          <w:szCs w:val="18"/>
        </w:rPr>
        <w:t>O acesso a sites de</w:t>
      </w:r>
      <w:r w:rsidR="009869F4">
        <w:rPr>
          <w:rFonts w:ascii="Tahoma" w:hAnsi="Tahoma" w:cs="Tahoma"/>
          <w:sz w:val="18"/>
          <w:szCs w:val="18"/>
        </w:rPr>
        <w:t> </w:t>
      </w:r>
      <w:r w:rsidRPr="003A65D0">
        <w:rPr>
          <w:rFonts w:ascii="Tahoma" w:hAnsi="Tahoma" w:cs="Tahoma"/>
          <w:sz w:val="18"/>
          <w:szCs w:val="18"/>
        </w:rPr>
        <w:t>suporte eletrônico está disponível 24 horas por dia, 7 dias por semana, embora as respostas ocorram durante o</w:t>
      </w:r>
      <w:r w:rsidR="009869F4">
        <w:rPr>
          <w:rFonts w:ascii="Tahoma" w:hAnsi="Tahoma" w:cs="Tahoma"/>
          <w:sz w:val="18"/>
          <w:szCs w:val="18"/>
        </w:rPr>
        <w:t> </w:t>
      </w:r>
      <w:r w:rsidRPr="003A65D0">
        <w:rPr>
          <w:rFonts w:ascii="Tahoma" w:hAnsi="Tahoma" w:cs="Tahoma"/>
          <w:sz w:val="18"/>
          <w:szCs w:val="18"/>
        </w:rPr>
        <w:t>Horário Comercial.</w:t>
      </w:r>
      <w:r w:rsidR="00172F11" w:rsidRPr="003A65D0">
        <w:rPr>
          <w:rFonts w:ascii="Tahoma" w:hAnsi="Tahoma" w:cs="Tahoma"/>
          <w:sz w:val="18"/>
          <w:szCs w:val="18"/>
        </w:rPr>
        <w:t xml:space="preserve"> </w:t>
      </w:r>
      <w:r w:rsidRPr="003A65D0">
        <w:rPr>
          <w:rFonts w:ascii="Tahoma" w:hAnsi="Tahoma" w:cs="Tahoma"/>
          <w:sz w:val="18"/>
          <w:szCs w:val="18"/>
        </w:rPr>
        <w:t>Dessa maneira, os Incidentes com base na Web não devem ser iniciados no caso de situações críticas para os negócios que exijam uma assistência mais imediata. Consulte Variações de Horário Comercial por Região na seção “Prêmios de Incidentes de Suporte pelo Telefone” acima.</w:t>
      </w:r>
    </w:p>
    <w:p w:rsidR="00023FE7" w:rsidRPr="003A65D0" w:rsidRDefault="00023FE7" w:rsidP="00F42FB8">
      <w:pPr>
        <w:pStyle w:val="AppendixBodyText"/>
        <w:spacing w:after="0"/>
        <w:rPr>
          <w:rFonts w:ascii="Tahoma" w:hAnsi="Tahoma" w:cs="Tahoma"/>
          <w:sz w:val="18"/>
          <w:szCs w:val="18"/>
        </w:rPr>
      </w:pPr>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sz w:val="18"/>
          <w:szCs w:val="18"/>
        </w:rPr>
        <w:t>Os incidentes iniciados via Telefone são descontados do saldo de incidentes por telefone disponíveis no momento da resolução.</w:t>
      </w:r>
      <w:r w:rsidR="00172F11" w:rsidRPr="003A65D0">
        <w:rPr>
          <w:rFonts w:ascii="Tahoma" w:hAnsi="Tahoma" w:cs="Tahoma"/>
          <w:sz w:val="18"/>
          <w:szCs w:val="18"/>
        </w:rPr>
        <w:t xml:space="preserve"> </w:t>
      </w:r>
      <w:r w:rsidRPr="003A65D0">
        <w:rPr>
          <w:rFonts w:ascii="Tahoma" w:hAnsi="Tahoma" w:cs="Tahoma"/>
          <w:sz w:val="18"/>
          <w:szCs w:val="18"/>
        </w:rPr>
        <w:t>Os incidentes iniciados via Web tem como base a necessidade e serão conduzidos via Web, email e outros meios eletrônicos.</w:t>
      </w:r>
      <w:r w:rsidR="00172F11" w:rsidRPr="003A65D0">
        <w:rPr>
          <w:rFonts w:ascii="Tahoma" w:hAnsi="Tahoma" w:cs="Tahoma"/>
          <w:sz w:val="18"/>
          <w:szCs w:val="18"/>
        </w:rPr>
        <w:t xml:space="preserve"> </w:t>
      </w:r>
      <w:r w:rsidRPr="003A65D0">
        <w:rPr>
          <w:rFonts w:ascii="Tahoma" w:hAnsi="Tahoma" w:cs="Tahoma"/>
          <w:sz w:val="18"/>
          <w:szCs w:val="18"/>
        </w:rPr>
        <w:t>Os incidentes iniciados via Web e, posteriormente, convertidos para resoluções por telefone pelo cliente serão descontados do saldo de incidentes por telefone disponíveis no momento da resolução.</w:t>
      </w:r>
      <w:r w:rsidR="00172F11" w:rsidRPr="003A65D0">
        <w:rPr>
          <w:rFonts w:ascii="Tahoma" w:hAnsi="Tahoma" w:cs="Tahoma"/>
          <w:sz w:val="18"/>
          <w:szCs w:val="18"/>
        </w:rPr>
        <w:t xml:space="preserve"> </w:t>
      </w:r>
      <w:r w:rsidRPr="003A65D0">
        <w:rPr>
          <w:rFonts w:ascii="Tahoma" w:hAnsi="Tahoma" w:cs="Tahoma"/>
          <w:sz w:val="18"/>
          <w:szCs w:val="18"/>
        </w:rPr>
        <w:t>Os incidentes iniciados via Web e acompanhados por telefone pela Microsoft não serão descontados do saldo de incidentes por telefone disponíveis se a resolução continuar via Web, email e outros meios eletrônicos.</w:t>
      </w:r>
      <w:r w:rsidR="00172F11" w:rsidRPr="003A65D0">
        <w:rPr>
          <w:rFonts w:ascii="Tahoma" w:hAnsi="Tahoma" w:cs="Tahoma"/>
          <w:sz w:val="18"/>
          <w:szCs w:val="18"/>
        </w:rPr>
        <w:t xml:space="preserve"> </w:t>
      </w:r>
    </w:p>
    <w:p w:rsidR="00023FE7" w:rsidRPr="003A65D0" w:rsidRDefault="00023FE7" w:rsidP="00F42FB8">
      <w:pPr>
        <w:pStyle w:val="AppendixBodyText"/>
        <w:spacing w:after="0"/>
        <w:rPr>
          <w:rFonts w:ascii="Tahoma" w:hAnsi="Tahoma" w:cs="Tahoma"/>
          <w:sz w:val="18"/>
          <w:szCs w:val="18"/>
        </w:rPr>
      </w:pPr>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sz w:val="18"/>
          <w:szCs w:val="18"/>
        </w:rPr>
        <w:t>O Software Assurance é necessário para o software de servidor e as CALs relacionadas para incidentes de Suporte pela Web. Os clientes podem enviar apenas solicitações de Suporte para Resolução de Problemas com base na Web</w:t>
      </w:r>
      <w:r w:rsidR="003A65D0">
        <w:rPr>
          <w:rFonts w:ascii="Tahoma" w:hAnsi="Tahoma" w:cs="Tahoma"/>
          <w:sz w:val="18"/>
          <w:szCs w:val="18"/>
        </w:rPr>
        <w:t> </w:t>
      </w:r>
      <w:r w:rsidRPr="003A65D0">
        <w:rPr>
          <w:rFonts w:ascii="Tahoma" w:hAnsi="Tahoma" w:cs="Tahoma"/>
          <w:sz w:val="18"/>
          <w:szCs w:val="18"/>
        </w:rPr>
        <w:t>relacionadas às cópias licenciadas do software de servidor coberto pelo Software Assurance.</w:t>
      </w:r>
    </w:p>
    <w:p w:rsidR="00023FE7" w:rsidRPr="003A65D0" w:rsidRDefault="00023FE7" w:rsidP="00F42FB8">
      <w:pPr>
        <w:pStyle w:val="AppendixBodyText"/>
        <w:spacing w:after="0"/>
        <w:rPr>
          <w:rFonts w:ascii="Tahoma" w:hAnsi="Tahoma" w:cs="Tahoma"/>
          <w:sz w:val="18"/>
          <w:szCs w:val="18"/>
        </w:rPr>
      </w:pPr>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sz w:val="18"/>
          <w:szCs w:val="18"/>
        </w:rPr>
        <w:t>Os incidentes de Suporte pela Web não podem ser transferidos entre licenças.</w:t>
      </w:r>
      <w:r w:rsidR="00172F11" w:rsidRPr="003A65D0">
        <w:rPr>
          <w:rFonts w:ascii="Tahoma" w:hAnsi="Tahoma" w:cs="Tahoma"/>
          <w:sz w:val="18"/>
          <w:szCs w:val="18"/>
        </w:rPr>
        <w:t xml:space="preserve"> </w:t>
      </w:r>
      <w:r w:rsidRPr="003A65D0">
        <w:rPr>
          <w:rFonts w:ascii="Tahoma" w:hAnsi="Tahoma" w:cs="Tahoma"/>
          <w:sz w:val="18"/>
          <w:szCs w:val="18"/>
        </w:rPr>
        <w:t>Consulte os direitos de uso do produto para obter mais detalhes sobre como atribuir ou reatribuir licenças a servidores físicos.</w:t>
      </w:r>
    </w:p>
    <w:p w:rsidR="00697E59" w:rsidRPr="003A65D0" w:rsidRDefault="00697E59" w:rsidP="00F42FB8">
      <w:pPr>
        <w:rPr>
          <w:rFonts w:cs="Tahoma"/>
          <w:szCs w:val="18"/>
        </w:rPr>
      </w:pPr>
      <w:bookmarkStart w:id="731" w:name="_Toc240899165"/>
    </w:p>
    <w:p w:rsidR="00023FE7" w:rsidRPr="004B208C" w:rsidRDefault="00023FE7" w:rsidP="00F93617">
      <w:pPr>
        <w:spacing w:after="60"/>
        <w:rPr>
          <w:rFonts w:cs="Tahoma"/>
        </w:rPr>
      </w:pPr>
      <w:r w:rsidRPr="004B208C">
        <w:rPr>
          <w:rFonts w:cs="Tahoma"/>
          <w:b/>
          <w:szCs w:val="20"/>
        </w:rPr>
        <w:t>Contatos de Suporte</w:t>
      </w:r>
      <w:bookmarkEnd w:id="731"/>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sz w:val="18"/>
          <w:szCs w:val="18"/>
        </w:rPr>
        <w:t>O número de contatos de suporte permitidos varia de acordo com o Programa de Licenciamento por Volume e</w:t>
      </w:r>
      <w:r w:rsidR="009869F4">
        <w:rPr>
          <w:rFonts w:ascii="Tahoma" w:hAnsi="Tahoma" w:cs="Tahoma"/>
          <w:sz w:val="18"/>
          <w:szCs w:val="18"/>
        </w:rPr>
        <w:t> </w:t>
      </w:r>
      <w:r w:rsidRPr="003A65D0">
        <w:rPr>
          <w:rFonts w:ascii="Tahoma" w:hAnsi="Tahoma" w:cs="Tahoma"/>
          <w:sz w:val="18"/>
          <w:szCs w:val="18"/>
        </w:rPr>
        <w:t>o</w:t>
      </w:r>
      <w:r w:rsidR="009869F4">
        <w:rPr>
          <w:rFonts w:ascii="Tahoma" w:hAnsi="Tahoma" w:cs="Tahoma"/>
          <w:sz w:val="18"/>
          <w:szCs w:val="18"/>
        </w:rPr>
        <w:t> </w:t>
      </w:r>
      <w:r w:rsidRPr="003A65D0">
        <w:rPr>
          <w:rFonts w:ascii="Tahoma" w:hAnsi="Tahoma" w:cs="Tahoma"/>
          <w:sz w:val="18"/>
          <w:szCs w:val="18"/>
        </w:rPr>
        <w:t>número de licenças cobertas pelo Software Assurance, conforme mostrado a seguir.</w:t>
      </w:r>
      <w:r w:rsidR="00172F11" w:rsidRPr="003A65D0">
        <w:rPr>
          <w:rFonts w:ascii="Tahoma" w:hAnsi="Tahoma" w:cs="Tahoma"/>
          <w:sz w:val="18"/>
          <w:szCs w:val="18"/>
        </w:rPr>
        <w:t xml:space="preserve"> </w:t>
      </w:r>
      <w:r w:rsidRPr="003A65D0">
        <w:rPr>
          <w:rFonts w:ascii="Tahoma" w:hAnsi="Tahoma" w:cs="Tahoma"/>
          <w:sz w:val="18"/>
          <w:szCs w:val="18"/>
        </w:rPr>
        <w:t>Os contatos devem ser indivíduos nomeados e podem incluir indivíduos de fora da organização do cliente.</w:t>
      </w:r>
      <w:r w:rsidR="00172F11" w:rsidRPr="003A65D0">
        <w:rPr>
          <w:rFonts w:ascii="Tahoma" w:hAnsi="Tahoma" w:cs="Tahoma"/>
          <w:sz w:val="18"/>
          <w:szCs w:val="18"/>
        </w:rPr>
        <w:t xml:space="preserve"> </w:t>
      </w:r>
      <w:r w:rsidRPr="003A65D0">
        <w:rPr>
          <w:rFonts w:ascii="Tahoma" w:hAnsi="Tahoma" w:cs="Tahoma"/>
          <w:sz w:val="18"/>
          <w:szCs w:val="18"/>
        </w:rPr>
        <w:t>Entretanto, o nome de uma organização, um departamento ou um grupo não pode ser listado como um contato.</w:t>
      </w:r>
    </w:p>
    <w:p w:rsidR="00077CE5" w:rsidRPr="004B208C" w:rsidRDefault="00077CE5" w:rsidP="00F93617">
      <w:pPr>
        <w:pStyle w:val="AppendixBodyText"/>
        <w:spacing w:after="0"/>
        <w:rPr>
          <w:rFonts w:ascii="Tahoma" w:hAnsi="Tahoma" w:cs="Tahoma"/>
        </w:rPr>
      </w:pPr>
    </w:p>
    <w:p w:rsidR="002A5CC2" w:rsidRDefault="002A5CC2">
      <w:pPr>
        <w:pStyle w:val="AppendixBodyText"/>
        <w:rPr>
          <w:rFonts w:ascii="Tahoma" w:hAnsi="Tahoma" w:cs="Tahoma"/>
        </w:rPr>
      </w:pPr>
    </w:p>
    <w:p w:rsidR="003A65D0" w:rsidRDefault="003A65D0">
      <w:pPr>
        <w:pStyle w:val="AppendixBodyText"/>
        <w:rPr>
          <w:rFonts w:ascii="Tahoma" w:hAnsi="Tahoma" w:cs="Tahoma"/>
        </w:rPr>
      </w:pPr>
    </w:p>
    <w:p w:rsidR="003A65D0" w:rsidRDefault="003A65D0">
      <w:pPr>
        <w:pStyle w:val="AppendixBodyText"/>
        <w:rPr>
          <w:rFonts w:ascii="Tahoma" w:hAnsi="Tahoma" w:cs="Tahoma"/>
        </w:rPr>
      </w:pPr>
    </w:p>
    <w:p w:rsidR="003A65D0" w:rsidRDefault="003A65D0">
      <w:pPr>
        <w:pStyle w:val="AppendixBodyText"/>
        <w:rPr>
          <w:rFonts w:ascii="Tahoma" w:hAnsi="Tahoma" w:cs="Tahoma"/>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08"/>
        <w:gridCol w:w="1107"/>
        <w:gridCol w:w="1143"/>
        <w:gridCol w:w="1395"/>
        <w:gridCol w:w="1287"/>
        <w:gridCol w:w="1350"/>
        <w:gridCol w:w="1357"/>
      </w:tblGrid>
      <w:tr w:rsidR="003A65D0" w:rsidRPr="004B208C" w:rsidTr="003A65D0">
        <w:trPr>
          <w:trHeight w:val="178"/>
        </w:trPr>
        <w:tc>
          <w:tcPr>
            <w:tcW w:w="190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B208C" w:rsidRDefault="00023FE7">
            <w:pPr>
              <w:pStyle w:val="AppendixBodyText"/>
              <w:rPr>
                <w:rFonts w:ascii="Tahoma" w:hAnsi="Tahoma" w:cs="Tahoma"/>
                <w:b/>
                <w:bCs/>
              </w:rPr>
            </w:pPr>
            <w:r w:rsidRPr="004B208C">
              <w:rPr>
                <w:rFonts w:ascii="Tahoma" w:hAnsi="Tahoma" w:cs="Tahoma"/>
                <w:b/>
                <w:bCs/>
              </w:rPr>
              <w:lastRenderedPageBreak/>
              <w:t>Benefícios</w:t>
            </w:r>
          </w:p>
        </w:tc>
        <w:tc>
          <w:tcPr>
            <w:tcW w:w="110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B208C" w:rsidRDefault="00023FE7">
            <w:pPr>
              <w:pStyle w:val="AppendixBodyText"/>
              <w:rPr>
                <w:rFonts w:ascii="Tahoma" w:hAnsi="Tahoma" w:cs="Tahoma"/>
                <w:b/>
                <w:bCs/>
              </w:rPr>
            </w:pPr>
            <w:r w:rsidRPr="004B208C">
              <w:rPr>
                <w:rFonts w:ascii="Tahoma" w:hAnsi="Tahoma" w:cs="Tahoma"/>
                <w:b/>
                <w:bCs/>
              </w:rPr>
              <w:t>Licença Open</w:t>
            </w:r>
          </w:p>
        </w:tc>
        <w:tc>
          <w:tcPr>
            <w:tcW w:w="114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B208C" w:rsidRDefault="00023FE7" w:rsidP="007E466C">
            <w:pPr>
              <w:pStyle w:val="AppendixBodyText"/>
              <w:spacing w:before="120" w:after="120"/>
              <w:rPr>
                <w:rFonts w:ascii="Tahoma" w:hAnsi="Tahoma" w:cs="Tahoma"/>
                <w:b/>
              </w:rPr>
            </w:pPr>
            <w:r w:rsidRPr="004B208C">
              <w:rPr>
                <w:rFonts w:ascii="Tahoma" w:hAnsi="Tahoma" w:cs="Tahoma"/>
                <w:b/>
                <w:bCs/>
              </w:rPr>
              <w:t>Open Value(1)</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B208C" w:rsidRDefault="00023FE7">
            <w:pPr>
              <w:pStyle w:val="AppendixBodyText"/>
              <w:rPr>
                <w:rFonts w:ascii="Tahoma" w:hAnsi="Tahoma" w:cs="Tahoma"/>
              </w:rPr>
            </w:pPr>
            <w:r w:rsidRPr="004B208C">
              <w:rPr>
                <w:rFonts w:ascii="Tahoma" w:hAnsi="Tahoma" w:cs="Tahoma"/>
                <w:b/>
                <w:bCs/>
              </w:rPr>
              <w:t>Licença Select/</w:t>
            </w:r>
            <w:r w:rsidR="003A65D0">
              <w:rPr>
                <w:rFonts w:ascii="Tahoma" w:hAnsi="Tahoma" w:cs="Tahoma"/>
                <w:b/>
                <w:bCs/>
              </w:rPr>
              <w:br/>
            </w:r>
            <w:r w:rsidRPr="004B208C">
              <w:rPr>
                <w:rFonts w:ascii="Tahoma" w:hAnsi="Tahoma" w:cs="Tahoma"/>
                <w:b/>
                <w:bCs/>
              </w:rPr>
              <w:t>Select Plus/</w:t>
            </w:r>
            <w:r w:rsidR="003A65D0">
              <w:rPr>
                <w:rFonts w:ascii="Tahoma" w:hAnsi="Tahoma" w:cs="Tahoma"/>
                <w:b/>
                <w:bCs/>
              </w:rPr>
              <w:br/>
            </w:r>
            <w:r w:rsidRPr="004B208C">
              <w:rPr>
                <w:rFonts w:ascii="Tahoma" w:hAnsi="Tahoma" w:cs="Tahoma"/>
                <w:b/>
                <w:bCs/>
              </w:rPr>
              <w:t>Contrato Enterprise</w:t>
            </w:r>
          </w:p>
          <w:p w:rsidR="00023FE7" w:rsidRPr="004B208C" w:rsidRDefault="00023FE7">
            <w:pPr>
              <w:pStyle w:val="AppendixBodyText"/>
              <w:rPr>
                <w:rFonts w:ascii="Tahoma" w:hAnsi="Tahoma" w:cs="Tahoma"/>
                <w:b/>
                <w:bCs/>
              </w:rPr>
            </w:pPr>
            <w:r w:rsidRPr="004B208C">
              <w:rPr>
                <w:rFonts w:ascii="Tahoma" w:hAnsi="Tahoma" w:cs="Tahoma"/>
                <w:b/>
                <w:bCs/>
              </w:rPr>
              <w:t>Nível A</w:t>
            </w:r>
          </w:p>
        </w:tc>
        <w:tc>
          <w:tcPr>
            <w:tcW w:w="12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B208C" w:rsidRDefault="00023FE7">
            <w:pPr>
              <w:pStyle w:val="AppendixBodyText"/>
              <w:rPr>
                <w:rFonts w:ascii="Tahoma" w:hAnsi="Tahoma" w:cs="Tahoma"/>
              </w:rPr>
            </w:pPr>
            <w:r w:rsidRPr="004B208C">
              <w:rPr>
                <w:rFonts w:ascii="Tahoma" w:hAnsi="Tahoma" w:cs="Tahoma"/>
                <w:b/>
                <w:bCs/>
              </w:rPr>
              <w:t>Licença Select/</w:t>
            </w:r>
            <w:r w:rsidR="003A65D0">
              <w:rPr>
                <w:rFonts w:ascii="Tahoma" w:hAnsi="Tahoma" w:cs="Tahoma"/>
                <w:b/>
                <w:bCs/>
              </w:rPr>
              <w:br/>
            </w:r>
            <w:r w:rsidRPr="004B208C">
              <w:rPr>
                <w:rFonts w:ascii="Tahoma" w:hAnsi="Tahoma" w:cs="Tahoma"/>
                <w:b/>
                <w:bCs/>
              </w:rPr>
              <w:t>Select Plus/</w:t>
            </w:r>
            <w:r w:rsidR="003A65D0">
              <w:rPr>
                <w:rFonts w:ascii="Tahoma" w:hAnsi="Tahoma" w:cs="Tahoma"/>
                <w:b/>
                <w:bCs/>
              </w:rPr>
              <w:br/>
            </w:r>
            <w:r w:rsidRPr="004B208C">
              <w:rPr>
                <w:rFonts w:ascii="Tahoma" w:hAnsi="Tahoma" w:cs="Tahoma"/>
                <w:b/>
                <w:bCs/>
              </w:rPr>
              <w:t>Contrato Enterprise</w:t>
            </w:r>
          </w:p>
          <w:p w:rsidR="00023FE7" w:rsidRPr="004B208C" w:rsidRDefault="00023FE7">
            <w:pPr>
              <w:pStyle w:val="AppendixBodyText"/>
              <w:rPr>
                <w:rFonts w:ascii="Tahoma" w:hAnsi="Tahoma" w:cs="Tahoma"/>
                <w:b/>
                <w:bCs/>
              </w:rPr>
            </w:pPr>
            <w:r w:rsidRPr="004B208C">
              <w:rPr>
                <w:rFonts w:ascii="Tahoma" w:hAnsi="Tahoma" w:cs="Tahoma"/>
                <w:b/>
                <w:bCs/>
              </w:rPr>
              <w:t>Nível B</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B208C" w:rsidRDefault="00023FE7">
            <w:pPr>
              <w:pStyle w:val="AppendixBodyText"/>
              <w:rPr>
                <w:rFonts w:ascii="Tahoma" w:hAnsi="Tahoma" w:cs="Tahoma"/>
              </w:rPr>
            </w:pPr>
            <w:r w:rsidRPr="004B208C">
              <w:rPr>
                <w:rFonts w:ascii="Tahoma" w:hAnsi="Tahoma" w:cs="Tahoma"/>
                <w:b/>
                <w:bCs/>
              </w:rPr>
              <w:t>Licença Select/</w:t>
            </w:r>
            <w:r w:rsidR="003A65D0">
              <w:rPr>
                <w:rFonts w:ascii="Tahoma" w:hAnsi="Tahoma" w:cs="Tahoma"/>
                <w:b/>
                <w:bCs/>
              </w:rPr>
              <w:br/>
            </w:r>
            <w:r w:rsidRPr="004B208C">
              <w:rPr>
                <w:rFonts w:ascii="Tahoma" w:hAnsi="Tahoma" w:cs="Tahoma"/>
                <w:b/>
                <w:bCs/>
              </w:rPr>
              <w:t>Select Plus/</w:t>
            </w:r>
            <w:r w:rsidR="003A65D0">
              <w:rPr>
                <w:rFonts w:ascii="Tahoma" w:hAnsi="Tahoma" w:cs="Tahoma"/>
                <w:b/>
                <w:bCs/>
              </w:rPr>
              <w:br/>
            </w:r>
            <w:r w:rsidRPr="004B208C">
              <w:rPr>
                <w:rFonts w:ascii="Tahoma" w:hAnsi="Tahoma" w:cs="Tahoma"/>
                <w:b/>
                <w:bCs/>
              </w:rPr>
              <w:t>Contrato Enterprise</w:t>
            </w:r>
          </w:p>
          <w:p w:rsidR="00023FE7" w:rsidRPr="004B208C" w:rsidRDefault="00023FE7">
            <w:pPr>
              <w:pStyle w:val="AppendixBodyText"/>
              <w:rPr>
                <w:rFonts w:ascii="Tahoma" w:hAnsi="Tahoma" w:cs="Tahoma"/>
                <w:b/>
                <w:bCs/>
              </w:rPr>
            </w:pPr>
            <w:r w:rsidRPr="004B208C">
              <w:rPr>
                <w:rFonts w:ascii="Tahoma" w:hAnsi="Tahoma" w:cs="Tahoma"/>
                <w:b/>
                <w:bCs/>
              </w:rPr>
              <w:t>Nível C</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4B208C" w:rsidRDefault="00023FE7">
            <w:pPr>
              <w:pStyle w:val="AppendixBodyText"/>
              <w:rPr>
                <w:rFonts w:ascii="Tahoma" w:hAnsi="Tahoma" w:cs="Tahoma"/>
              </w:rPr>
            </w:pPr>
            <w:r w:rsidRPr="004B208C">
              <w:rPr>
                <w:rFonts w:ascii="Tahoma" w:hAnsi="Tahoma" w:cs="Tahoma"/>
                <w:b/>
                <w:bCs/>
              </w:rPr>
              <w:t>Licença Select/</w:t>
            </w:r>
            <w:r w:rsidR="003A65D0">
              <w:rPr>
                <w:rFonts w:ascii="Tahoma" w:hAnsi="Tahoma" w:cs="Tahoma"/>
                <w:b/>
                <w:bCs/>
              </w:rPr>
              <w:br/>
            </w:r>
            <w:r w:rsidRPr="004B208C">
              <w:rPr>
                <w:rFonts w:ascii="Tahoma" w:hAnsi="Tahoma" w:cs="Tahoma"/>
                <w:b/>
                <w:bCs/>
              </w:rPr>
              <w:t>Select Plus/</w:t>
            </w:r>
            <w:r w:rsidR="003A65D0">
              <w:rPr>
                <w:rFonts w:ascii="Tahoma" w:hAnsi="Tahoma" w:cs="Tahoma"/>
                <w:b/>
                <w:bCs/>
              </w:rPr>
              <w:br/>
            </w:r>
            <w:r w:rsidRPr="004B208C">
              <w:rPr>
                <w:rFonts w:ascii="Tahoma" w:hAnsi="Tahoma" w:cs="Tahoma"/>
                <w:b/>
                <w:bCs/>
              </w:rPr>
              <w:t>Contrato Enterprise</w:t>
            </w:r>
          </w:p>
          <w:p w:rsidR="00023FE7" w:rsidRPr="004B208C" w:rsidRDefault="00023FE7">
            <w:pPr>
              <w:pStyle w:val="AppendixBodyText"/>
              <w:rPr>
                <w:rFonts w:ascii="Tahoma" w:hAnsi="Tahoma" w:cs="Tahoma"/>
                <w:b/>
                <w:bCs/>
              </w:rPr>
            </w:pPr>
            <w:r w:rsidRPr="004B208C">
              <w:rPr>
                <w:rFonts w:ascii="Tahoma" w:hAnsi="Tahoma" w:cs="Tahoma"/>
                <w:b/>
                <w:bCs/>
              </w:rPr>
              <w:t>Nível D</w:t>
            </w:r>
          </w:p>
        </w:tc>
      </w:tr>
      <w:tr w:rsidR="003A65D0" w:rsidRPr="004B208C" w:rsidTr="003A65D0">
        <w:trPr>
          <w:trHeight w:val="236"/>
        </w:trPr>
        <w:tc>
          <w:tcPr>
            <w:tcW w:w="1908"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Nº de Contatos de Suporte por Telefone para Resolução de Problemas</w:t>
            </w:r>
          </w:p>
        </w:tc>
        <w:tc>
          <w:tcPr>
            <w:tcW w:w="1107" w:type="dxa"/>
            <w:vAlign w:val="center"/>
          </w:tcPr>
          <w:p w:rsidR="00023FE7" w:rsidRPr="004B208C" w:rsidRDefault="00620185">
            <w:pPr>
              <w:pStyle w:val="AppendixBodyText"/>
              <w:rPr>
                <w:rFonts w:ascii="Tahoma" w:hAnsi="Tahoma" w:cs="Tahoma"/>
                <w:sz w:val="18"/>
                <w:szCs w:val="18"/>
              </w:rPr>
            </w:pPr>
            <w:r w:rsidRPr="004B208C">
              <w:rPr>
                <w:rFonts w:ascii="Tahoma" w:hAnsi="Tahoma" w:cs="Tahoma"/>
                <w:sz w:val="18"/>
                <w:szCs w:val="18"/>
              </w:rPr>
              <w:t>Conforme Necessário</w:t>
            </w:r>
          </w:p>
        </w:tc>
        <w:tc>
          <w:tcPr>
            <w:tcW w:w="1143"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Conforme Necessário</w:t>
            </w:r>
          </w:p>
        </w:tc>
        <w:tc>
          <w:tcPr>
            <w:tcW w:w="1395"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Conforme Necessário</w:t>
            </w:r>
          </w:p>
        </w:tc>
        <w:tc>
          <w:tcPr>
            <w:tcW w:w="1287"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Conforme Necessário</w:t>
            </w:r>
          </w:p>
        </w:tc>
        <w:tc>
          <w:tcPr>
            <w:tcW w:w="1350"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Conforme Necessário</w:t>
            </w:r>
          </w:p>
        </w:tc>
        <w:tc>
          <w:tcPr>
            <w:tcW w:w="1357"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Conforme Necessário</w:t>
            </w:r>
          </w:p>
        </w:tc>
      </w:tr>
      <w:tr w:rsidR="003A65D0" w:rsidRPr="004B208C" w:rsidTr="003A65D0">
        <w:trPr>
          <w:trHeight w:val="236"/>
        </w:trPr>
        <w:tc>
          <w:tcPr>
            <w:tcW w:w="1908"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Nº de Contatos de Suporte pela Web Autorizados</w:t>
            </w:r>
          </w:p>
        </w:tc>
        <w:tc>
          <w:tcPr>
            <w:tcW w:w="1107"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N/D</w:t>
            </w:r>
          </w:p>
        </w:tc>
        <w:tc>
          <w:tcPr>
            <w:tcW w:w="1143"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1</w:t>
            </w:r>
          </w:p>
        </w:tc>
        <w:tc>
          <w:tcPr>
            <w:tcW w:w="1395"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2</w:t>
            </w:r>
          </w:p>
        </w:tc>
        <w:tc>
          <w:tcPr>
            <w:tcW w:w="1287"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4</w:t>
            </w:r>
          </w:p>
        </w:tc>
        <w:tc>
          <w:tcPr>
            <w:tcW w:w="1350"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8</w:t>
            </w:r>
          </w:p>
        </w:tc>
        <w:tc>
          <w:tcPr>
            <w:tcW w:w="1357" w:type="dxa"/>
            <w:vAlign w:val="cente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16</w:t>
            </w:r>
          </w:p>
        </w:tc>
      </w:tr>
    </w:tbl>
    <w:p w:rsidR="00023FE7" w:rsidRPr="003A65D0" w:rsidRDefault="00023FE7" w:rsidP="00F42FB8">
      <w:pPr>
        <w:pStyle w:val="AppendixBodyText"/>
        <w:spacing w:after="0"/>
        <w:rPr>
          <w:rFonts w:ascii="Tahoma" w:hAnsi="Tahoma" w:cs="Tahoma"/>
          <w:sz w:val="18"/>
          <w:szCs w:val="18"/>
        </w:rPr>
      </w:pPr>
    </w:p>
    <w:p w:rsidR="001C20C9" w:rsidRPr="003A65D0" w:rsidRDefault="00023FE7" w:rsidP="00F93617">
      <w:pPr>
        <w:spacing w:after="60"/>
        <w:rPr>
          <w:rFonts w:cs="Tahoma"/>
          <w:szCs w:val="18"/>
        </w:rPr>
      </w:pPr>
      <w:bookmarkStart w:id="732" w:name="_Toc240899166"/>
      <w:r w:rsidRPr="003A65D0">
        <w:rPr>
          <w:rFonts w:cs="Tahoma"/>
          <w:b/>
          <w:szCs w:val="18"/>
        </w:rPr>
        <w:t>Nível de Serviço para Clientes do Software Assurance</w:t>
      </w:r>
      <w:bookmarkEnd w:id="732"/>
    </w:p>
    <w:p w:rsidR="00023FE7" w:rsidRPr="003A65D0" w:rsidRDefault="00023FE7" w:rsidP="00F42FB8">
      <w:pPr>
        <w:pStyle w:val="AppendixBodyText"/>
        <w:spacing w:after="0"/>
        <w:rPr>
          <w:rFonts w:ascii="Tahoma" w:hAnsi="Tahoma" w:cs="Tahoma"/>
          <w:sz w:val="18"/>
          <w:szCs w:val="18"/>
        </w:rPr>
      </w:pPr>
    </w:p>
    <w:p w:rsidR="00023FE7" w:rsidRPr="003A65D0" w:rsidRDefault="00023FE7" w:rsidP="00F93617">
      <w:pPr>
        <w:pStyle w:val="AppendixBodyText"/>
        <w:spacing w:after="0"/>
        <w:rPr>
          <w:rFonts w:ascii="Tahoma" w:hAnsi="Tahoma" w:cs="Tahoma"/>
          <w:sz w:val="18"/>
          <w:szCs w:val="18"/>
        </w:rPr>
      </w:pPr>
      <w:r w:rsidRPr="003A65D0">
        <w:rPr>
          <w:rFonts w:ascii="Tahoma" w:hAnsi="Tahoma" w:cs="Tahoma"/>
          <w:sz w:val="18"/>
          <w:szCs w:val="18"/>
        </w:rPr>
        <w:t>As solicitações de suporte podem ser realizadas por telefone ou eletronicamente por meio de contatos designados de</w:t>
      </w:r>
      <w:r w:rsidR="003A65D0">
        <w:rPr>
          <w:rFonts w:ascii="Tahoma" w:hAnsi="Tahoma" w:cs="Tahoma"/>
          <w:sz w:val="18"/>
          <w:szCs w:val="18"/>
        </w:rPr>
        <w:t> </w:t>
      </w:r>
      <w:r w:rsidRPr="003A65D0">
        <w:rPr>
          <w:rFonts w:ascii="Tahoma" w:hAnsi="Tahoma" w:cs="Tahoma"/>
          <w:sz w:val="18"/>
          <w:szCs w:val="18"/>
        </w:rPr>
        <w:t xml:space="preserve">um cliente, exceto para Severidade A e B, que devem ser solicitadas por telefone, conforme definido a seguir. </w:t>
      </w:r>
    </w:p>
    <w:p w:rsidR="00023FE7" w:rsidRPr="003A65D0" w:rsidRDefault="00023FE7" w:rsidP="00F42FB8">
      <w:pPr>
        <w:pStyle w:val="AppendixBodyText"/>
        <w:spacing w:after="0"/>
        <w:rPr>
          <w:rFonts w:ascii="Tahoma" w:hAnsi="Tahoma" w:cs="Tahoma"/>
          <w:sz w:val="18"/>
          <w:szCs w:val="18"/>
        </w:rPr>
      </w:pPr>
    </w:p>
    <w:p w:rsidR="00023FE7" w:rsidRPr="003A65D0" w:rsidRDefault="00023FE7" w:rsidP="00F93617">
      <w:pPr>
        <w:pStyle w:val="AppendixBodyText"/>
        <w:spacing w:after="0"/>
        <w:rPr>
          <w:rFonts w:ascii="Tahoma" w:hAnsi="Tahoma" w:cs="Tahoma"/>
          <w:sz w:val="18"/>
          <w:szCs w:val="18"/>
        </w:rPr>
      </w:pPr>
      <w:r w:rsidRPr="003A65D0">
        <w:rPr>
          <w:rFonts w:ascii="Tahoma" w:hAnsi="Tahoma" w:cs="Tahoma"/>
          <w:sz w:val="18"/>
          <w:szCs w:val="18"/>
        </w:rPr>
        <w:t>Os clientes são responsáveis pela definição do nível inicial de severidade ao nos consultar e podem solicitar uma alteração no nível de severidade a qualquer momento.</w:t>
      </w:r>
      <w:r w:rsidR="00172F11" w:rsidRPr="003A65D0">
        <w:rPr>
          <w:rFonts w:ascii="Tahoma" w:hAnsi="Tahoma" w:cs="Tahoma"/>
          <w:sz w:val="18"/>
          <w:szCs w:val="18"/>
        </w:rPr>
        <w:t xml:space="preserve"> </w:t>
      </w:r>
      <w:r w:rsidRPr="003A65D0">
        <w:rPr>
          <w:rFonts w:ascii="Tahoma" w:hAnsi="Tahoma" w:cs="Tahoma"/>
          <w:sz w:val="18"/>
          <w:szCs w:val="18"/>
        </w:rPr>
        <w:t>A severidade do incidente determinará os níveis de resposta na Microsoft e o tempo estimado de resposta. As responsabilidades dos clientes são definidas na tabela a seguir:</w:t>
      </w:r>
    </w:p>
    <w:p w:rsidR="00023FE7" w:rsidRPr="003A65D0" w:rsidRDefault="00023FE7">
      <w:pPr>
        <w:pStyle w:val="AppendixBodyText"/>
        <w:rPr>
          <w:rFonts w:ascii="Tahoma"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440"/>
        <w:gridCol w:w="2412"/>
        <w:gridCol w:w="2808"/>
        <w:gridCol w:w="2880"/>
      </w:tblGrid>
      <w:tr w:rsidR="00023FE7" w:rsidRPr="004B208C" w:rsidTr="003A65D0">
        <w:trPr>
          <w:trHeight w:val="477"/>
          <w:tblHeader/>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B208C" w:rsidRDefault="00023FE7">
            <w:pPr>
              <w:pStyle w:val="AppendixBodyText"/>
              <w:spacing w:after="0"/>
              <w:jc w:val="center"/>
              <w:rPr>
                <w:rFonts w:ascii="Tahoma" w:hAnsi="Tahoma" w:cs="Tahoma"/>
                <w:b/>
                <w:bCs/>
              </w:rPr>
            </w:pPr>
            <w:r w:rsidRPr="004B208C">
              <w:rPr>
                <w:rFonts w:ascii="Tahoma" w:hAnsi="Tahoma" w:cs="Tahoma"/>
                <w:b/>
                <w:bCs/>
              </w:rPr>
              <w:t>Severidade</w:t>
            </w:r>
          </w:p>
        </w:tc>
        <w:tc>
          <w:tcPr>
            <w:tcW w:w="241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B208C" w:rsidRDefault="00023FE7">
            <w:pPr>
              <w:pStyle w:val="AppendixBodyText"/>
              <w:spacing w:after="0"/>
              <w:jc w:val="center"/>
              <w:rPr>
                <w:rFonts w:ascii="Tahoma" w:hAnsi="Tahoma" w:cs="Tahoma"/>
                <w:b/>
                <w:bCs/>
              </w:rPr>
            </w:pPr>
            <w:r w:rsidRPr="004B208C">
              <w:rPr>
                <w:rFonts w:ascii="Tahoma" w:hAnsi="Tahoma" w:cs="Tahoma"/>
                <w:b/>
                <w:bCs/>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B208C" w:rsidRDefault="00023FE7">
            <w:pPr>
              <w:pStyle w:val="AppendixBodyText"/>
              <w:spacing w:after="0"/>
              <w:jc w:val="center"/>
              <w:rPr>
                <w:rFonts w:ascii="Tahoma" w:hAnsi="Tahoma" w:cs="Tahoma"/>
                <w:b/>
                <w:bCs/>
              </w:rPr>
            </w:pPr>
            <w:r w:rsidRPr="004B208C">
              <w:rPr>
                <w:rFonts w:ascii="Tahoma" w:hAnsi="Tahoma" w:cs="Tahoma"/>
                <w:b/>
                <w:bCs/>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4B208C" w:rsidRDefault="00023FE7" w:rsidP="009869F4">
            <w:pPr>
              <w:pStyle w:val="AppendixBodyText"/>
              <w:spacing w:after="0"/>
              <w:jc w:val="center"/>
              <w:rPr>
                <w:rFonts w:ascii="Tahoma" w:hAnsi="Tahoma" w:cs="Tahoma"/>
                <w:b/>
                <w:bCs/>
              </w:rPr>
            </w:pPr>
            <w:r w:rsidRPr="004B208C">
              <w:rPr>
                <w:rFonts w:ascii="Tahoma" w:hAnsi="Tahoma" w:cs="Tahoma"/>
                <w:b/>
                <w:bCs/>
              </w:rPr>
              <w:t>Resposta Esperada do</w:t>
            </w:r>
            <w:r w:rsidR="009869F4">
              <w:rPr>
                <w:rFonts w:ascii="Tahoma" w:hAnsi="Tahoma" w:cs="Tahoma"/>
                <w:b/>
                <w:bCs/>
              </w:rPr>
              <w:t> </w:t>
            </w:r>
            <w:r w:rsidRPr="004B208C">
              <w:rPr>
                <w:rFonts w:ascii="Tahoma" w:hAnsi="Tahoma" w:cs="Tahoma"/>
                <w:b/>
                <w:bCs/>
              </w:rPr>
              <w:t>Cliente</w:t>
            </w:r>
          </w:p>
        </w:tc>
      </w:tr>
      <w:tr w:rsidR="00023FE7" w:rsidRPr="004B208C" w:rsidTr="003A65D0">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 xml:space="preserve">A Solicitação por telefone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clear" w:pos="1440"/>
                <w:tab w:val="num" w:pos="612"/>
              </w:tabs>
              <w:ind w:left="612"/>
              <w:rPr>
                <w:rFonts w:ascii="Tahoma" w:hAnsi="Tahoma" w:cs="Tahoma"/>
                <w:sz w:val="18"/>
                <w:szCs w:val="18"/>
              </w:rPr>
            </w:pPr>
            <w:r w:rsidRPr="003A65D0">
              <w:rPr>
                <w:rFonts w:ascii="Tahoma" w:hAnsi="Tahoma" w:cs="Tahoma"/>
                <w:sz w:val="18"/>
                <w:szCs w:val="18"/>
              </w:rPr>
              <w:t>Impacto crítico nos</w:t>
            </w:r>
            <w:r w:rsidR="003A65D0">
              <w:rPr>
                <w:rFonts w:ascii="Tahoma" w:hAnsi="Tahoma" w:cs="Tahoma"/>
                <w:sz w:val="18"/>
                <w:szCs w:val="18"/>
              </w:rPr>
              <w:t> </w:t>
            </w:r>
            <w:r w:rsidRPr="003A65D0">
              <w:rPr>
                <w:rFonts w:ascii="Tahoma" w:hAnsi="Tahoma" w:cs="Tahoma"/>
                <w:sz w:val="18"/>
                <w:szCs w:val="18"/>
              </w:rPr>
              <w:t xml:space="preserve">negócios: </w:t>
            </w:r>
          </w:p>
          <w:p w:rsidR="00023FE7" w:rsidRPr="003A65D0" w:rsidRDefault="00023FE7" w:rsidP="009869F4">
            <w:pPr>
              <w:pStyle w:val="AppendixBodyText"/>
              <w:numPr>
                <w:ilvl w:val="0"/>
                <w:numId w:val="2"/>
              </w:numPr>
              <w:tabs>
                <w:tab w:val="clear" w:pos="1440"/>
                <w:tab w:val="num" w:pos="612"/>
              </w:tabs>
              <w:ind w:left="612"/>
              <w:rPr>
                <w:rFonts w:ascii="Tahoma" w:hAnsi="Tahoma" w:cs="Tahoma"/>
                <w:sz w:val="18"/>
                <w:szCs w:val="18"/>
              </w:rPr>
            </w:pPr>
            <w:r w:rsidRPr="003A65D0">
              <w:rPr>
                <w:rFonts w:ascii="Tahoma" w:hAnsi="Tahoma" w:cs="Tahoma"/>
                <w:sz w:val="18"/>
                <w:szCs w:val="18"/>
              </w:rPr>
              <w:t>A empresa do</w:t>
            </w:r>
            <w:r w:rsidR="009869F4">
              <w:rPr>
                <w:rFonts w:ascii="Tahoma" w:hAnsi="Tahoma" w:cs="Tahoma"/>
                <w:sz w:val="18"/>
                <w:szCs w:val="18"/>
              </w:rPr>
              <w:t> </w:t>
            </w:r>
            <w:r w:rsidRPr="003A65D0">
              <w:rPr>
                <w:rFonts w:ascii="Tahoma" w:hAnsi="Tahoma" w:cs="Tahoma"/>
                <w:sz w:val="18"/>
                <w:szCs w:val="18"/>
              </w:rPr>
              <w:t>cliente tem uma</w:t>
            </w:r>
            <w:r w:rsidR="009869F4">
              <w:rPr>
                <w:rFonts w:ascii="Tahoma" w:hAnsi="Tahoma" w:cs="Tahoma"/>
                <w:sz w:val="18"/>
                <w:szCs w:val="18"/>
              </w:rPr>
              <w:t> </w:t>
            </w:r>
            <w:r w:rsidRPr="003A65D0">
              <w:rPr>
                <w:rFonts w:ascii="Tahoma" w:hAnsi="Tahoma" w:cs="Tahoma"/>
                <w:sz w:val="18"/>
                <w:szCs w:val="18"/>
              </w:rPr>
              <w:t>perda ou</w:t>
            </w:r>
            <w:r w:rsidR="009869F4">
              <w:rPr>
                <w:rFonts w:ascii="Tahoma" w:hAnsi="Tahoma" w:cs="Tahoma"/>
                <w:sz w:val="18"/>
                <w:szCs w:val="18"/>
              </w:rPr>
              <w:t> </w:t>
            </w:r>
            <w:r w:rsidRPr="003A65D0">
              <w:rPr>
                <w:rFonts w:ascii="Tahoma" w:hAnsi="Tahoma" w:cs="Tahoma"/>
                <w:sz w:val="18"/>
                <w:szCs w:val="18"/>
              </w:rPr>
              <w:t>degradação significativa de</w:t>
            </w:r>
            <w:r w:rsidR="003A65D0">
              <w:rPr>
                <w:rFonts w:ascii="Tahoma" w:hAnsi="Tahoma" w:cs="Tahoma"/>
                <w:sz w:val="18"/>
                <w:szCs w:val="18"/>
              </w:rPr>
              <w:t> </w:t>
            </w:r>
            <w:r w:rsidRPr="003A65D0">
              <w:rPr>
                <w:rFonts w:ascii="Tahoma" w:hAnsi="Tahoma" w:cs="Tahoma"/>
                <w:sz w:val="18"/>
                <w:szCs w:val="18"/>
              </w:rPr>
              <w:t>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clear" w:pos="1440"/>
                <w:tab w:val="num" w:pos="522"/>
              </w:tabs>
              <w:ind w:left="522"/>
              <w:rPr>
                <w:rFonts w:ascii="Tahoma" w:hAnsi="Tahoma" w:cs="Tahoma"/>
                <w:sz w:val="18"/>
                <w:szCs w:val="18"/>
              </w:rPr>
            </w:pPr>
            <w:r w:rsidRPr="003A65D0">
              <w:rPr>
                <w:rFonts w:ascii="Tahoma" w:hAnsi="Tahoma" w:cs="Tahoma"/>
                <w:sz w:val="18"/>
                <w:szCs w:val="18"/>
              </w:rPr>
              <w:t>Resposta à 1</w:t>
            </w:r>
            <w:r w:rsidRPr="003A65D0">
              <w:rPr>
                <w:rFonts w:ascii="Tahoma" w:hAnsi="Tahoma" w:cs="Tahoma"/>
                <w:sz w:val="18"/>
                <w:szCs w:val="18"/>
                <w:vertAlign w:val="superscript"/>
              </w:rPr>
              <w:t>a</w:t>
            </w:r>
            <w:r w:rsidRPr="003A65D0">
              <w:rPr>
                <w:rFonts w:ascii="Tahoma" w:hAnsi="Tahoma" w:cs="Tahoma"/>
                <w:sz w:val="18"/>
                <w:szCs w:val="18"/>
              </w:rPr>
              <w:t xml:space="preserve"> chamada em 2 horas ou menos, com base na oferta de suporte</w:t>
            </w:r>
          </w:p>
          <w:p w:rsidR="00023FE7" w:rsidRPr="003A65D0" w:rsidRDefault="00023FE7" w:rsidP="0027028A">
            <w:pPr>
              <w:pStyle w:val="AppendixBodyText"/>
              <w:numPr>
                <w:ilvl w:val="0"/>
                <w:numId w:val="2"/>
              </w:numPr>
              <w:tabs>
                <w:tab w:val="clear" w:pos="1440"/>
                <w:tab w:val="num" w:pos="522"/>
              </w:tabs>
              <w:ind w:left="522"/>
              <w:rPr>
                <w:rFonts w:ascii="Tahoma" w:hAnsi="Tahoma" w:cs="Tahoma"/>
                <w:sz w:val="18"/>
                <w:szCs w:val="18"/>
              </w:rPr>
            </w:pPr>
            <w:r w:rsidRPr="003A65D0">
              <w:rPr>
                <w:rFonts w:ascii="Tahoma" w:hAnsi="Tahoma" w:cs="Tahoma"/>
                <w:sz w:val="18"/>
                <w:szCs w:val="18"/>
              </w:rPr>
              <w:t>Recursos da Microsoft encaminhados ao local do</w:t>
            </w:r>
            <w:r w:rsidR="003A65D0">
              <w:rPr>
                <w:rFonts w:ascii="Tahoma" w:hAnsi="Tahoma" w:cs="Tahoma"/>
                <w:sz w:val="18"/>
                <w:szCs w:val="18"/>
              </w:rPr>
              <w:t> </w:t>
            </w:r>
            <w:r w:rsidRPr="003A65D0">
              <w:rPr>
                <w:rFonts w:ascii="Tahoma" w:hAnsi="Tahoma" w:cs="Tahoma"/>
                <w:sz w:val="18"/>
                <w:szCs w:val="18"/>
              </w:rPr>
              <w:t>cliente, conforme a</w:t>
            </w:r>
            <w:r w:rsidR="003A65D0">
              <w:rPr>
                <w:rFonts w:ascii="Tahoma" w:hAnsi="Tahoma" w:cs="Tahoma"/>
                <w:sz w:val="18"/>
                <w:szCs w:val="18"/>
              </w:rPr>
              <w:t> </w:t>
            </w:r>
            <w:r w:rsidRPr="003A65D0">
              <w:rPr>
                <w:rFonts w:ascii="Tahoma" w:hAnsi="Tahoma" w:cs="Tahoma"/>
                <w:sz w:val="18"/>
                <w:szCs w:val="18"/>
              </w:rPr>
              <w:t>necessidade</w:t>
            </w:r>
          </w:p>
          <w:p w:rsidR="00023FE7" w:rsidRPr="003A65D0" w:rsidRDefault="00023FE7" w:rsidP="0027028A">
            <w:pPr>
              <w:pStyle w:val="AppendixBodyText"/>
              <w:numPr>
                <w:ilvl w:val="0"/>
                <w:numId w:val="2"/>
              </w:numPr>
              <w:tabs>
                <w:tab w:val="clear" w:pos="1440"/>
                <w:tab w:val="num" w:pos="522"/>
              </w:tabs>
              <w:ind w:left="522"/>
              <w:rPr>
                <w:rFonts w:ascii="Tahoma" w:hAnsi="Tahoma" w:cs="Tahoma"/>
                <w:sz w:val="18"/>
                <w:szCs w:val="18"/>
              </w:rPr>
            </w:pPr>
            <w:r w:rsidRPr="003A65D0">
              <w:rPr>
                <w:rFonts w:ascii="Tahoma" w:hAnsi="Tahoma" w:cs="Tahoma"/>
                <w:sz w:val="18"/>
                <w:szCs w:val="18"/>
              </w:rPr>
              <w:t>Esforço contínuo 24x7</w:t>
            </w:r>
          </w:p>
          <w:p w:rsidR="00023FE7" w:rsidRPr="003A65D0" w:rsidRDefault="00023FE7" w:rsidP="0027028A">
            <w:pPr>
              <w:pStyle w:val="AppendixBodyText"/>
              <w:numPr>
                <w:ilvl w:val="0"/>
                <w:numId w:val="2"/>
              </w:numPr>
              <w:tabs>
                <w:tab w:val="clear" w:pos="1440"/>
                <w:tab w:val="num" w:pos="522"/>
              </w:tabs>
              <w:ind w:left="522"/>
              <w:rPr>
                <w:rFonts w:ascii="Tahoma" w:hAnsi="Tahoma" w:cs="Tahoma"/>
                <w:sz w:val="18"/>
                <w:szCs w:val="18"/>
              </w:rPr>
            </w:pPr>
            <w:r w:rsidRPr="003A65D0">
              <w:rPr>
                <w:rFonts w:ascii="Tahoma" w:hAnsi="Tahoma" w:cs="Tahoma"/>
                <w:sz w:val="18"/>
                <w:szCs w:val="18"/>
              </w:rPr>
              <w:t>Notificação de Gerentes Sênior na Microsoft com base na oferta de 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clear" w:pos="1440"/>
              </w:tabs>
              <w:ind w:left="432"/>
              <w:rPr>
                <w:rFonts w:ascii="Tahoma" w:hAnsi="Tahoma" w:cs="Tahoma"/>
                <w:sz w:val="18"/>
                <w:szCs w:val="18"/>
              </w:rPr>
            </w:pPr>
            <w:r w:rsidRPr="003A65D0">
              <w:rPr>
                <w:rFonts w:ascii="Tahoma" w:hAnsi="Tahoma" w:cs="Tahoma"/>
                <w:sz w:val="18"/>
                <w:szCs w:val="18"/>
              </w:rPr>
              <w:t>Alocação de recursos adequados para manter os esforços contínuos em uma base 24x7</w:t>
            </w:r>
            <w:r w:rsidRPr="003A65D0">
              <w:rPr>
                <w:rFonts w:ascii="Tahoma" w:hAnsi="Tahoma" w:cs="Tahoma"/>
                <w:sz w:val="18"/>
                <w:szCs w:val="18"/>
                <w:vertAlign w:val="superscript"/>
              </w:rPr>
              <w:t>2</w:t>
            </w:r>
          </w:p>
          <w:p w:rsidR="00023FE7" w:rsidRPr="003A65D0" w:rsidRDefault="00023FE7" w:rsidP="0027028A">
            <w:pPr>
              <w:pStyle w:val="AppendixBodyText"/>
              <w:numPr>
                <w:ilvl w:val="0"/>
                <w:numId w:val="2"/>
              </w:numPr>
              <w:tabs>
                <w:tab w:val="clear" w:pos="1440"/>
              </w:tabs>
              <w:ind w:left="432"/>
              <w:rPr>
                <w:rFonts w:ascii="Tahoma" w:hAnsi="Tahoma" w:cs="Tahoma"/>
                <w:sz w:val="18"/>
                <w:szCs w:val="18"/>
              </w:rPr>
            </w:pPr>
            <w:r w:rsidRPr="003A65D0">
              <w:rPr>
                <w:rFonts w:ascii="Tahoma" w:hAnsi="Tahoma" w:cs="Tahoma"/>
                <w:sz w:val="18"/>
                <w:szCs w:val="18"/>
              </w:rPr>
              <w:t>Acesso e resposta rápidos da autoridade de controle de alterações</w:t>
            </w:r>
          </w:p>
          <w:p w:rsidR="00023FE7" w:rsidRPr="003A65D0" w:rsidRDefault="00023FE7" w:rsidP="0027028A">
            <w:pPr>
              <w:pStyle w:val="AppendixBodyText"/>
              <w:numPr>
                <w:ilvl w:val="0"/>
                <w:numId w:val="2"/>
              </w:numPr>
              <w:tabs>
                <w:tab w:val="clear" w:pos="1440"/>
              </w:tabs>
              <w:ind w:left="432"/>
              <w:rPr>
                <w:rFonts w:ascii="Tahoma" w:hAnsi="Tahoma" w:cs="Tahoma"/>
                <w:sz w:val="18"/>
                <w:szCs w:val="18"/>
              </w:rPr>
            </w:pPr>
            <w:r w:rsidRPr="003A65D0">
              <w:rPr>
                <w:rFonts w:ascii="Tahoma" w:hAnsi="Tahoma" w:cs="Tahoma"/>
                <w:sz w:val="18"/>
                <w:szCs w:val="18"/>
              </w:rPr>
              <w:t>Notificação à gerência</w:t>
            </w:r>
          </w:p>
        </w:tc>
      </w:tr>
      <w:tr w:rsidR="00023FE7" w:rsidRPr="004B208C" w:rsidTr="003A65D0">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t xml:space="preserve">B Solicitação por telefone </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clear" w:pos="1440"/>
                <w:tab w:val="num" w:pos="612"/>
              </w:tabs>
              <w:ind w:left="612"/>
              <w:rPr>
                <w:rFonts w:ascii="Tahoma" w:hAnsi="Tahoma" w:cs="Tahoma"/>
                <w:sz w:val="18"/>
                <w:szCs w:val="18"/>
              </w:rPr>
            </w:pPr>
            <w:r w:rsidRPr="003A65D0">
              <w:rPr>
                <w:rFonts w:ascii="Tahoma" w:hAnsi="Tahoma" w:cs="Tahoma"/>
                <w:sz w:val="18"/>
                <w:szCs w:val="18"/>
              </w:rPr>
              <w:t xml:space="preserve">Impacto moderado nos negócios: </w:t>
            </w:r>
          </w:p>
          <w:p w:rsidR="00023FE7" w:rsidRPr="003A65D0" w:rsidRDefault="00023FE7" w:rsidP="009869F4">
            <w:pPr>
              <w:pStyle w:val="AppendixBodyText"/>
              <w:numPr>
                <w:ilvl w:val="0"/>
                <w:numId w:val="2"/>
              </w:numPr>
              <w:tabs>
                <w:tab w:val="clear" w:pos="1440"/>
                <w:tab w:val="num" w:pos="612"/>
              </w:tabs>
              <w:ind w:left="612"/>
              <w:rPr>
                <w:rFonts w:ascii="Tahoma" w:hAnsi="Tahoma" w:cs="Tahoma"/>
                <w:sz w:val="18"/>
                <w:szCs w:val="18"/>
              </w:rPr>
            </w:pPr>
            <w:r w:rsidRPr="003A65D0">
              <w:rPr>
                <w:rFonts w:ascii="Tahoma" w:hAnsi="Tahoma" w:cs="Tahoma"/>
                <w:sz w:val="18"/>
                <w:szCs w:val="18"/>
              </w:rPr>
              <w:t>A empresa do cliente tem uma</w:t>
            </w:r>
            <w:r w:rsidR="009869F4">
              <w:rPr>
                <w:rFonts w:ascii="Tahoma" w:hAnsi="Tahoma" w:cs="Tahoma"/>
                <w:sz w:val="18"/>
                <w:szCs w:val="18"/>
              </w:rPr>
              <w:t> </w:t>
            </w:r>
            <w:r w:rsidRPr="003A65D0">
              <w:rPr>
                <w:rFonts w:ascii="Tahoma" w:hAnsi="Tahoma" w:cs="Tahoma"/>
                <w:sz w:val="18"/>
                <w:szCs w:val="18"/>
              </w:rPr>
              <w:t>perda ou degradação moderada dos serviços, mas o</w:t>
            </w:r>
            <w:r w:rsidR="009869F4">
              <w:rPr>
                <w:rFonts w:ascii="Tahoma" w:hAnsi="Tahoma" w:cs="Tahoma"/>
                <w:sz w:val="18"/>
                <w:szCs w:val="18"/>
              </w:rPr>
              <w:t> </w:t>
            </w:r>
            <w:r w:rsidRPr="003A65D0">
              <w:rPr>
                <w:rFonts w:ascii="Tahoma" w:hAnsi="Tahoma" w:cs="Tahoma"/>
                <w:sz w:val="18"/>
                <w:szCs w:val="18"/>
              </w:rPr>
              <w:t>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num" w:pos="522"/>
              </w:tabs>
              <w:ind w:left="522"/>
              <w:rPr>
                <w:rFonts w:ascii="Tahoma" w:hAnsi="Tahoma" w:cs="Tahoma"/>
                <w:sz w:val="18"/>
                <w:szCs w:val="18"/>
              </w:rPr>
            </w:pPr>
            <w:r w:rsidRPr="003A65D0">
              <w:rPr>
                <w:rFonts w:ascii="Tahoma" w:hAnsi="Tahoma" w:cs="Tahoma"/>
                <w:sz w:val="18"/>
                <w:szCs w:val="18"/>
              </w:rPr>
              <w:t>Resposta à 1</w:t>
            </w:r>
            <w:r w:rsidRPr="003A65D0">
              <w:rPr>
                <w:rFonts w:ascii="Tahoma" w:hAnsi="Tahoma" w:cs="Tahoma"/>
                <w:sz w:val="18"/>
                <w:szCs w:val="18"/>
                <w:vertAlign w:val="superscript"/>
              </w:rPr>
              <w:t>a</w:t>
            </w:r>
            <w:r w:rsidRPr="003A65D0">
              <w:rPr>
                <w:rFonts w:ascii="Tahoma" w:hAnsi="Tahoma" w:cs="Tahoma"/>
                <w:sz w:val="18"/>
                <w:szCs w:val="18"/>
              </w:rPr>
              <w:t xml:space="preserve"> chamada em 4 horas ou menos, com base na oferta de suporte</w:t>
            </w:r>
          </w:p>
          <w:p w:rsidR="00023FE7" w:rsidRPr="003A65D0" w:rsidRDefault="00023FE7" w:rsidP="0027028A">
            <w:pPr>
              <w:pStyle w:val="AppendixBodyText"/>
              <w:numPr>
                <w:ilvl w:val="0"/>
                <w:numId w:val="2"/>
              </w:numPr>
              <w:tabs>
                <w:tab w:val="num" w:pos="522"/>
              </w:tabs>
              <w:ind w:left="522"/>
              <w:rPr>
                <w:rFonts w:ascii="Tahoma" w:hAnsi="Tahoma" w:cs="Tahoma"/>
                <w:sz w:val="18"/>
                <w:szCs w:val="18"/>
              </w:rPr>
            </w:pPr>
            <w:r w:rsidRPr="003A65D0">
              <w:rPr>
                <w:rFonts w:ascii="Tahoma" w:hAnsi="Tahoma" w:cs="Tahoma"/>
                <w:sz w:val="18"/>
                <w:szCs w:val="18"/>
              </w:rPr>
              <w:t xml:space="preserve">Esforço apenas durante </w:t>
            </w:r>
            <w:r w:rsidRPr="003A65D0">
              <w:rPr>
                <w:rFonts w:ascii="Tahoma" w:hAnsi="Tahoma" w:cs="Tahoma"/>
                <w:bCs/>
                <w:sz w:val="18"/>
                <w:szCs w:val="18"/>
              </w:rPr>
              <w:t>o</w:t>
            </w:r>
            <w:r w:rsidR="009869F4">
              <w:rPr>
                <w:rFonts w:ascii="Tahoma" w:hAnsi="Tahoma" w:cs="Tahoma"/>
                <w:bCs/>
                <w:sz w:val="18"/>
                <w:szCs w:val="18"/>
              </w:rPr>
              <w:t> </w:t>
            </w:r>
            <w:r w:rsidRPr="003A65D0">
              <w:rPr>
                <w:rFonts w:ascii="Tahoma" w:hAnsi="Tahoma" w:cs="Tahoma"/>
                <w:bCs/>
                <w:sz w:val="18"/>
                <w:szCs w:val="18"/>
              </w:rPr>
              <w:t>Horário Comercial</w:t>
            </w:r>
            <w:r w:rsidRPr="003A65D0">
              <w:rPr>
                <w:rFonts w:ascii="Tahoma" w:hAnsi="Tahoma" w:cs="Tahoma"/>
                <w:sz w:val="18"/>
                <w:szCs w:val="18"/>
                <w:vertAlign w:val="superscript"/>
              </w:rPr>
              <w:t>1</w:t>
            </w:r>
            <w:r w:rsidRPr="003A65D0">
              <w:rPr>
                <w:rFonts w:ascii="Tahoma" w:hAnsi="Tahoma" w:cs="Tahoma"/>
                <w:bCs/>
                <w:sz w:val="18"/>
                <w:szCs w:val="18"/>
              </w:rPr>
              <w:t xml:space="preserve"> </w:t>
            </w:r>
          </w:p>
          <w:p w:rsidR="00023FE7" w:rsidRPr="003A65D0"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3A65D0">
              <w:rPr>
                <w:rFonts w:ascii="Tahoma" w:hAnsi="Tahoma" w:cs="Tahoma"/>
                <w:sz w:val="18"/>
                <w:szCs w:val="18"/>
              </w:rPr>
              <w:t>Alocação de recursos adequados para manter esforços contínuos no</w:t>
            </w:r>
            <w:r w:rsidR="00172F11" w:rsidRPr="003A65D0">
              <w:rPr>
                <w:rFonts w:ascii="Tahoma" w:hAnsi="Tahoma" w:cs="Tahoma"/>
                <w:sz w:val="18"/>
                <w:szCs w:val="18"/>
              </w:rPr>
              <w:t xml:space="preserve"> </w:t>
            </w:r>
            <w:r w:rsidRPr="003A65D0">
              <w:rPr>
                <w:rFonts w:ascii="Tahoma" w:hAnsi="Tahoma" w:cs="Tahoma"/>
                <w:sz w:val="18"/>
                <w:szCs w:val="18"/>
              </w:rPr>
              <w:t>Horário Comercial</w:t>
            </w:r>
          </w:p>
          <w:p w:rsidR="00023FE7" w:rsidRPr="003A65D0"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3A65D0">
              <w:rPr>
                <w:rFonts w:ascii="Tahoma" w:hAnsi="Tahoma" w:cs="Tahoma"/>
                <w:sz w:val="18"/>
                <w:szCs w:val="18"/>
              </w:rPr>
              <w:t>Acesso e resposta da autoridade de controle de alterações dentro de 4 Horas Comerciais</w:t>
            </w:r>
          </w:p>
        </w:tc>
      </w:tr>
      <w:tr w:rsidR="00023FE7" w:rsidRPr="004B208C" w:rsidTr="003A65D0">
        <w:trPr>
          <w:cantSplit/>
        </w:trPr>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4B208C" w:rsidRDefault="00023FE7">
            <w:pPr>
              <w:pStyle w:val="AppendixBodyText"/>
              <w:rPr>
                <w:rFonts w:ascii="Tahoma" w:hAnsi="Tahoma" w:cs="Tahoma"/>
                <w:sz w:val="18"/>
                <w:szCs w:val="18"/>
              </w:rPr>
            </w:pPr>
            <w:r w:rsidRPr="004B208C">
              <w:rPr>
                <w:rFonts w:ascii="Tahoma" w:hAnsi="Tahoma" w:cs="Tahoma"/>
                <w:sz w:val="18"/>
                <w:szCs w:val="18"/>
              </w:rPr>
              <w:lastRenderedPageBreak/>
              <w:t>C Solicitação por telefone ou pela Web</w:t>
            </w:r>
          </w:p>
        </w:tc>
        <w:tc>
          <w:tcPr>
            <w:tcW w:w="2412"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clear" w:pos="1440"/>
                <w:tab w:val="num" w:pos="612"/>
              </w:tabs>
              <w:ind w:left="612"/>
              <w:rPr>
                <w:rFonts w:ascii="Tahoma" w:hAnsi="Tahoma" w:cs="Tahoma"/>
                <w:sz w:val="18"/>
                <w:szCs w:val="18"/>
              </w:rPr>
            </w:pPr>
            <w:r w:rsidRPr="003A65D0">
              <w:rPr>
                <w:rFonts w:ascii="Tahoma" w:hAnsi="Tahoma" w:cs="Tahoma"/>
                <w:sz w:val="18"/>
                <w:szCs w:val="18"/>
              </w:rPr>
              <w:t xml:space="preserve">Impacto mínimo nos negócios: </w:t>
            </w:r>
          </w:p>
          <w:p w:rsidR="00023FE7" w:rsidRPr="003A65D0" w:rsidRDefault="00023FE7" w:rsidP="0027028A">
            <w:pPr>
              <w:pStyle w:val="AppendixBodyText"/>
              <w:numPr>
                <w:ilvl w:val="0"/>
                <w:numId w:val="2"/>
              </w:numPr>
              <w:tabs>
                <w:tab w:val="clear" w:pos="1440"/>
                <w:tab w:val="num" w:pos="612"/>
              </w:tabs>
              <w:ind w:left="612"/>
              <w:rPr>
                <w:rFonts w:ascii="Tahoma" w:hAnsi="Tahoma" w:cs="Tahoma"/>
                <w:sz w:val="18"/>
                <w:szCs w:val="18"/>
              </w:rPr>
            </w:pPr>
            <w:r w:rsidRPr="003A65D0">
              <w:rPr>
                <w:rFonts w:ascii="Tahoma" w:hAnsi="Tahoma" w:cs="Tahoma"/>
                <w:sz w:val="18"/>
                <w:szCs w:val="18"/>
              </w:rPr>
              <w:t>A empresa do cliente está funcionando de forma substancial, com poucos ou nenhum impedimento dos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num" w:pos="522"/>
              </w:tabs>
              <w:ind w:left="522"/>
              <w:rPr>
                <w:rFonts w:ascii="Tahoma" w:hAnsi="Tahoma" w:cs="Tahoma"/>
                <w:sz w:val="18"/>
                <w:szCs w:val="18"/>
              </w:rPr>
            </w:pPr>
            <w:r w:rsidRPr="003A65D0">
              <w:rPr>
                <w:rFonts w:ascii="Tahoma" w:hAnsi="Tahoma" w:cs="Tahoma"/>
                <w:sz w:val="18"/>
                <w:szCs w:val="18"/>
              </w:rPr>
              <w:t>1</w:t>
            </w:r>
            <w:r w:rsidRPr="003A65D0">
              <w:rPr>
                <w:rFonts w:ascii="Tahoma" w:hAnsi="Tahoma" w:cs="Tahoma"/>
                <w:sz w:val="18"/>
                <w:szCs w:val="18"/>
                <w:vertAlign w:val="superscript"/>
              </w:rPr>
              <w:t>ª</w:t>
            </w:r>
            <w:r w:rsidRPr="003A65D0">
              <w:rPr>
                <w:rFonts w:ascii="Tahoma" w:hAnsi="Tahoma" w:cs="Tahoma"/>
                <w:sz w:val="18"/>
                <w:szCs w:val="18"/>
              </w:rPr>
              <w:t xml:space="preserve"> resposta em 1 dia útil ou menos, com base na oferta de suporte</w:t>
            </w:r>
          </w:p>
          <w:p w:rsidR="00023FE7" w:rsidRPr="003A65D0" w:rsidRDefault="00023FE7" w:rsidP="0027028A">
            <w:pPr>
              <w:pStyle w:val="AppendixBodyText"/>
              <w:numPr>
                <w:ilvl w:val="0"/>
                <w:numId w:val="2"/>
              </w:numPr>
              <w:tabs>
                <w:tab w:val="num" w:pos="522"/>
              </w:tabs>
              <w:ind w:left="522"/>
              <w:rPr>
                <w:rFonts w:ascii="Tahoma" w:hAnsi="Tahoma" w:cs="Tahoma"/>
                <w:sz w:val="18"/>
                <w:szCs w:val="18"/>
              </w:rPr>
            </w:pPr>
            <w:r w:rsidRPr="003A65D0">
              <w:rPr>
                <w:rFonts w:ascii="Tahoma" w:hAnsi="Tahoma" w:cs="Tahoma"/>
                <w:sz w:val="18"/>
                <w:szCs w:val="18"/>
              </w:rPr>
              <w:t>Esforço apenas durante</w:t>
            </w:r>
            <w:r w:rsidRPr="003A65D0">
              <w:rPr>
                <w:rFonts w:ascii="Tahoma" w:hAnsi="Tahoma" w:cs="Tahoma"/>
                <w:bCs/>
                <w:sz w:val="18"/>
                <w:szCs w:val="18"/>
              </w:rPr>
              <w:t xml:space="preserve"> o Horário Comercial</w:t>
            </w:r>
          </w:p>
          <w:p w:rsidR="00023FE7" w:rsidRPr="003A65D0"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3A65D0" w:rsidRDefault="00023FE7" w:rsidP="0027028A">
            <w:pPr>
              <w:pStyle w:val="AppendixBodyText"/>
              <w:numPr>
                <w:ilvl w:val="0"/>
                <w:numId w:val="2"/>
              </w:numPr>
              <w:tabs>
                <w:tab w:val="clear" w:pos="1440"/>
                <w:tab w:val="num" w:pos="432"/>
              </w:tabs>
              <w:ind w:left="432"/>
              <w:rPr>
                <w:rFonts w:ascii="Tahoma" w:hAnsi="Tahoma" w:cs="Tahoma"/>
                <w:sz w:val="18"/>
                <w:szCs w:val="18"/>
              </w:rPr>
            </w:pPr>
            <w:r w:rsidRPr="003A65D0">
              <w:rPr>
                <w:rFonts w:ascii="Tahoma" w:hAnsi="Tahoma" w:cs="Tahoma"/>
                <w:sz w:val="18"/>
                <w:szCs w:val="18"/>
              </w:rPr>
              <w:t>Informações de contato precisas sobre o proprietário do caso</w:t>
            </w:r>
          </w:p>
          <w:p w:rsidR="00023FE7" w:rsidRPr="003A65D0" w:rsidRDefault="00023FE7" w:rsidP="009869F4">
            <w:pPr>
              <w:pStyle w:val="AppendixBodyText"/>
              <w:numPr>
                <w:ilvl w:val="0"/>
                <w:numId w:val="2"/>
              </w:numPr>
              <w:tabs>
                <w:tab w:val="clear" w:pos="1440"/>
                <w:tab w:val="num" w:pos="432"/>
              </w:tabs>
              <w:ind w:left="432"/>
              <w:rPr>
                <w:rFonts w:ascii="Tahoma" w:hAnsi="Tahoma" w:cs="Tahoma"/>
                <w:sz w:val="18"/>
                <w:szCs w:val="18"/>
              </w:rPr>
            </w:pPr>
            <w:r w:rsidRPr="003A65D0">
              <w:rPr>
                <w:rFonts w:ascii="Tahoma" w:hAnsi="Tahoma" w:cs="Tahoma"/>
                <w:sz w:val="18"/>
                <w:szCs w:val="18"/>
              </w:rPr>
              <w:t>Resposta dentro de 1 dia</w:t>
            </w:r>
            <w:r w:rsidR="009869F4">
              <w:rPr>
                <w:rFonts w:ascii="Tahoma" w:hAnsi="Tahoma" w:cs="Tahoma"/>
                <w:sz w:val="18"/>
                <w:szCs w:val="18"/>
              </w:rPr>
              <w:t> </w:t>
            </w:r>
            <w:r w:rsidRPr="003A65D0">
              <w:rPr>
                <w:rFonts w:ascii="Tahoma" w:hAnsi="Tahoma" w:cs="Tahoma"/>
                <w:sz w:val="18"/>
                <w:szCs w:val="18"/>
              </w:rPr>
              <w:t>útil</w:t>
            </w:r>
          </w:p>
        </w:tc>
      </w:tr>
    </w:tbl>
    <w:p w:rsidR="00023FE7" w:rsidRPr="003A65D0" w:rsidRDefault="00023FE7">
      <w:pPr>
        <w:pStyle w:val="AppendixBodyText"/>
        <w:ind w:left="90" w:right="2160"/>
        <w:rPr>
          <w:rFonts w:ascii="Tahoma" w:hAnsi="Tahoma" w:cs="Tahoma"/>
          <w:sz w:val="16"/>
          <w:szCs w:val="16"/>
        </w:rPr>
      </w:pPr>
      <w:r w:rsidRPr="00C23C79">
        <w:rPr>
          <w:rFonts w:ascii="Tahoma" w:hAnsi="Tahoma" w:cs="Tahoma"/>
          <w:i/>
          <w:sz w:val="16"/>
          <w:szCs w:val="16"/>
          <w:vertAlign w:val="superscript"/>
        </w:rPr>
        <w:t>1</w:t>
      </w:r>
      <w:r w:rsidRPr="003A65D0">
        <w:rPr>
          <w:rFonts w:ascii="Tahoma" w:hAnsi="Tahoma" w:cs="Tahoma"/>
          <w:i/>
          <w:sz w:val="16"/>
          <w:szCs w:val="16"/>
        </w:rPr>
        <w:t xml:space="preserve"> Contate um representante da Microsoft para verificar o horário comercial local.</w:t>
      </w:r>
    </w:p>
    <w:p w:rsidR="00023FE7" w:rsidRPr="003A65D0" w:rsidRDefault="00023FE7">
      <w:pPr>
        <w:pStyle w:val="AppendixBodyText"/>
        <w:ind w:left="90" w:right="2160"/>
        <w:rPr>
          <w:rFonts w:ascii="Tahoma" w:hAnsi="Tahoma" w:cs="Tahoma"/>
          <w:sz w:val="16"/>
          <w:szCs w:val="16"/>
        </w:rPr>
      </w:pPr>
      <w:r w:rsidRPr="00C23C79">
        <w:rPr>
          <w:rFonts w:ascii="Tahoma" w:hAnsi="Tahoma" w:cs="Tahoma"/>
          <w:i/>
          <w:sz w:val="16"/>
          <w:szCs w:val="16"/>
          <w:vertAlign w:val="superscript"/>
        </w:rPr>
        <w:t xml:space="preserve">2 </w:t>
      </w:r>
      <w:r w:rsidRPr="003A65D0">
        <w:rPr>
          <w:rFonts w:ascii="Tahoma" w:hAnsi="Tahoma" w:cs="Tahoma"/>
          <w:i/>
          <w:sz w:val="16"/>
          <w:szCs w:val="16"/>
        </w:rPr>
        <w:t>Pode ser necessário reduzir o nível de severidade se o cliente não puder fornecer os recursos ou as respostas adequadas para darmos continuidade aos esforços de resolução do problema.</w:t>
      </w:r>
    </w:p>
    <w:p w:rsidR="00023FE7" w:rsidRPr="003A65D0" w:rsidRDefault="00023FE7" w:rsidP="00F42FB8">
      <w:pPr>
        <w:pStyle w:val="AppendixBodyText"/>
        <w:spacing w:after="0"/>
        <w:ind w:right="2160"/>
        <w:rPr>
          <w:rFonts w:ascii="Tahoma" w:hAnsi="Tahoma" w:cs="Tahoma"/>
          <w:sz w:val="18"/>
          <w:szCs w:val="18"/>
        </w:rPr>
      </w:pPr>
    </w:p>
    <w:p w:rsidR="00023FE7" w:rsidRPr="003A65D0" w:rsidRDefault="00023FE7" w:rsidP="00F42FB8">
      <w:pPr>
        <w:pStyle w:val="AppendixBodyText"/>
        <w:spacing w:after="0"/>
        <w:rPr>
          <w:rFonts w:ascii="Tahoma" w:hAnsi="Tahoma" w:cs="Tahoma"/>
          <w:sz w:val="18"/>
          <w:szCs w:val="18"/>
        </w:rPr>
      </w:pPr>
      <w:r w:rsidRPr="003A65D0">
        <w:rPr>
          <w:rFonts w:ascii="Tahoma" w:hAnsi="Tahoma" w:cs="Tahoma"/>
          <w:bCs/>
          <w:sz w:val="18"/>
          <w:szCs w:val="18"/>
        </w:rPr>
        <w:t>Os clientes podem ser solicitados a executar atividades de determinação e resolução do problema, conforme solicitado por nós.</w:t>
      </w:r>
      <w:r w:rsidR="00172F11" w:rsidRPr="003A65D0">
        <w:rPr>
          <w:rFonts w:ascii="Tahoma" w:hAnsi="Tahoma" w:cs="Tahoma"/>
          <w:bCs/>
          <w:sz w:val="18"/>
          <w:szCs w:val="18"/>
        </w:rPr>
        <w:t xml:space="preserve"> </w:t>
      </w:r>
      <w:r w:rsidRPr="003A65D0">
        <w:rPr>
          <w:rFonts w:ascii="Tahoma" w:hAnsi="Tahoma" w:cs="Tahoma"/>
          <w:bCs/>
          <w:sz w:val="18"/>
          <w:szCs w:val="18"/>
        </w:rPr>
        <w:t>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w:t>
      </w:r>
      <w:r w:rsidR="00984B9C">
        <w:rPr>
          <w:rFonts w:ascii="Tahoma" w:hAnsi="Tahoma" w:cs="Tahoma"/>
          <w:bCs/>
          <w:sz w:val="18"/>
          <w:szCs w:val="18"/>
        </w:rPr>
        <w:t> </w:t>
      </w:r>
      <w:r w:rsidRPr="003A65D0">
        <w:rPr>
          <w:rFonts w:ascii="Tahoma" w:hAnsi="Tahoma" w:cs="Tahoma"/>
          <w:bCs/>
          <w:sz w:val="18"/>
          <w:szCs w:val="18"/>
        </w:rPr>
        <w:t xml:space="preserve">processos. </w:t>
      </w:r>
    </w:p>
    <w:p w:rsidR="00077CE5" w:rsidRPr="00984B9C" w:rsidRDefault="00077CE5" w:rsidP="00F42FB8">
      <w:pPr>
        <w:pStyle w:val="AppendixBodyText"/>
        <w:spacing w:after="0"/>
        <w:rPr>
          <w:rFonts w:ascii="Tahoma" w:hAnsi="Tahoma" w:cs="Tahoma"/>
          <w:sz w:val="18"/>
          <w:szCs w:val="18"/>
        </w:rPr>
      </w:pPr>
    </w:p>
    <w:p w:rsidR="00023FE7" w:rsidRPr="00984B9C" w:rsidRDefault="00023FE7" w:rsidP="00F42FB8">
      <w:pPr>
        <w:pStyle w:val="AppendixBodyText"/>
        <w:spacing w:after="0"/>
        <w:rPr>
          <w:rFonts w:ascii="Tahoma" w:hAnsi="Tahoma" w:cs="Tahoma"/>
          <w:sz w:val="18"/>
          <w:szCs w:val="18"/>
        </w:rPr>
      </w:pPr>
      <w:r w:rsidRPr="00984B9C">
        <w:rPr>
          <w:rFonts w:ascii="Tahoma" w:hAnsi="Tahoma" w:cs="Tahoma"/>
          <w:bCs/>
          <w:sz w:val="18"/>
          <w:szCs w:val="18"/>
        </w:rPr>
        <w:t>Os clientes são responsáveis pela implementação de procedimentos necessários para proteger a integridade e</w:t>
      </w:r>
      <w:r w:rsidR="00984B9C">
        <w:rPr>
          <w:rFonts w:ascii="Tahoma" w:hAnsi="Tahoma" w:cs="Tahoma"/>
          <w:bCs/>
          <w:sz w:val="18"/>
          <w:szCs w:val="18"/>
        </w:rPr>
        <w:t> </w:t>
      </w:r>
      <w:r w:rsidRPr="00984B9C">
        <w:rPr>
          <w:rFonts w:ascii="Tahoma" w:hAnsi="Tahoma" w:cs="Tahoma"/>
          <w:bCs/>
          <w:sz w:val="18"/>
          <w:szCs w:val="18"/>
        </w:rPr>
        <w:t>a</w:t>
      </w:r>
      <w:r w:rsidR="00984B9C">
        <w:rPr>
          <w:rFonts w:ascii="Tahoma" w:hAnsi="Tahoma" w:cs="Tahoma"/>
          <w:bCs/>
          <w:sz w:val="18"/>
          <w:szCs w:val="18"/>
        </w:rPr>
        <w:t> </w:t>
      </w:r>
      <w:r w:rsidRPr="00984B9C">
        <w:rPr>
          <w:rFonts w:ascii="Tahoma" w:hAnsi="Tahoma" w:cs="Tahoma"/>
          <w:bCs/>
          <w:sz w:val="18"/>
          <w:szCs w:val="18"/>
        </w:rPr>
        <w:t>segurança de seu software e seus dados contra o acesso não autorizado e por reconstruir arquivos perdidos ou</w:t>
      </w:r>
      <w:r w:rsidR="00984B9C">
        <w:rPr>
          <w:rFonts w:ascii="Tahoma" w:hAnsi="Tahoma" w:cs="Tahoma"/>
          <w:bCs/>
          <w:sz w:val="18"/>
          <w:szCs w:val="18"/>
        </w:rPr>
        <w:t> </w:t>
      </w:r>
      <w:r w:rsidRPr="00984B9C">
        <w:rPr>
          <w:rFonts w:ascii="Tahoma" w:hAnsi="Tahoma" w:cs="Tahoma"/>
          <w:bCs/>
          <w:sz w:val="18"/>
          <w:szCs w:val="18"/>
        </w:rPr>
        <w:t>alterados em decorrência de falhas catastróficas.</w:t>
      </w:r>
    </w:p>
    <w:p w:rsidR="00077CE5" w:rsidRPr="00984B9C" w:rsidRDefault="00077CE5" w:rsidP="00F42FB8">
      <w:pPr>
        <w:pStyle w:val="AppendixBodyText"/>
        <w:spacing w:after="0"/>
        <w:rPr>
          <w:rFonts w:ascii="Tahoma" w:hAnsi="Tahoma" w:cs="Tahoma"/>
          <w:sz w:val="18"/>
          <w:szCs w:val="18"/>
        </w:rPr>
      </w:pPr>
    </w:p>
    <w:p w:rsidR="00023FE7" w:rsidRPr="00984B9C" w:rsidRDefault="00023FE7" w:rsidP="00F42FB8">
      <w:pPr>
        <w:pStyle w:val="AppendixBodyText"/>
        <w:spacing w:after="0"/>
        <w:rPr>
          <w:rFonts w:ascii="Tahoma" w:hAnsi="Tahoma" w:cs="Tahoma"/>
          <w:sz w:val="18"/>
          <w:szCs w:val="18"/>
        </w:rPr>
      </w:pPr>
      <w:r w:rsidRPr="00984B9C">
        <w:rPr>
          <w:rFonts w:ascii="Tahoma" w:hAnsi="Tahoma" w:cs="Tahoma"/>
          <w:bCs/>
          <w:sz w:val="18"/>
          <w:szCs w:val="18"/>
        </w:rPr>
        <w:t>Esse benefício de suporte está vinculado ao investimento de SA, e não à versão. Os clientes podem adquirir a versão mais recente a fim de usar uma versão mais antiga com direitos de downgrade, mas estarão qualificados para o</w:t>
      </w:r>
      <w:r w:rsidR="009869F4">
        <w:rPr>
          <w:rFonts w:ascii="Tahoma" w:hAnsi="Tahoma" w:cs="Tahoma"/>
          <w:bCs/>
          <w:sz w:val="18"/>
          <w:szCs w:val="18"/>
        </w:rPr>
        <w:t> </w:t>
      </w:r>
      <w:r w:rsidRPr="00984B9C">
        <w:rPr>
          <w:rFonts w:ascii="Tahoma" w:hAnsi="Tahoma" w:cs="Tahoma"/>
          <w:bCs/>
          <w:sz w:val="18"/>
          <w:szCs w:val="18"/>
        </w:rPr>
        <w:t>suporte a esse produto apenas se ele estiver listado como um produto com suporte no site de ciclo de vida de produtos da Microsoft.</w:t>
      </w:r>
      <w:r w:rsidR="00172F11" w:rsidRPr="00984B9C">
        <w:rPr>
          <w:rFonts w:ascii="Tahoma" w:hAnsi="Tahoma" w:cs="Tahoma"/>
          <w:bCs/>
          <w:sz w:val="18"/>
          <w:szCs w:val="18"/>
        </w:rPr>
        <w:t xml:space="preserve"> </w:t>
      </w:r>
      <w:r w:rsidRPr="00984B9C">
        <w:rPr>
          <w:rFonts w:ascii="Tahoma" w:hAnsi="Tahoma" w:cs="Tahoma"/>
          <w:bCs/>
          <w:sz w:val="18"/>
          <w:szCs w:val="18"/>
        </w:rPr>
        <w:t xml:space="preserve">O site atual de ciclo de vida de produtos da Microsoft é o seguinte </w:t>
      </w:r>
      <w:hyperlink r:id="rId26" w:history="1">
        <w:r w:rsidR="00984B9C">
          <w:rPr>
            <w:rStyle w:val="Hyperlink"/>
            <w:rFonts w:ascii="Tahoma" w:hAnsi="Tahoma" w:cs="Tahoma"/>
            <w:bCs/>
            <w:sz w:val="18"/>
            <w:szCs w:val="18"/>
          </w:rPr>
          <w:t>http://support.microsoft.com/common/international.aspx?rdpath=dm;en-us;lifecycle</w:t>
        </w:r>
      </w:hyperlink>
      <w:r w:rsidRPr="00984B9C">
        <w:rPr>
          <w:rFonts w:ascii="Tahoma" w:hAnsi="Tahoma" w:cs="Tahoma"/>
          <w:bCs/>
          <w:sz w:val="18"/>
          <w:szCs w:val="18"/>
        </w:rPr>
        <w:t xml:space="preserve">. </w:t>
      </w:r>
    </w:p>
    <w:p w:rsidR="00023FE7" w:rsidRPr="00984B9C" w:rsidRDefault="00023FE7" w:rsidP="00F42FB8">
      <w:pPr>
        <w:pStyle w:val="AppendixBodyText"/>
        <w:spacing w:after="0"/>
        <w:rPr>
          <w:rFonts w:ascii="Tahoma" w:hAnsi="Tahoma" w:cs="Tahoma"/>
          <w:sz w:val="18"/>
          <w:szCs w:val="18"/>
        </w:rPr>
      </w:pPr>
    </w:p>
    <w:p w:rsidR="00077CE5" w:rsidRPr="00984B9C" w:rsidRDefault="00AF539A" w:rsidP="00DA2788">
      <w:pPr>
        <w:pStyle w:val="AppendixBodyText"/>
        <w:rPr>
          <w:rFonts w:ascii="Tahoma" w:hAnsi="Tahoma" w:cs="Tahoma"/>
          <w:sz w:val="18"/>
          <w:szCs w:val="18"/>
        </w:rPr>
      </w:pPr>
      <w:r w:rsidRPr="00984B9C">
        <w:rPr>
          <w:rFonts w:ascii="Tahoma" w:hAnsi="Tahoma" w:cs="Tahoma"/>
          <w:b/>
          <w:bCs/>
          <w:color w:val="000000"/>
          <w:sz w:val="18"/>
          <w:szCs w:val="18"/>
        </w:rPr>
        <w:t>Conversão de Incidentes do Suporte para Resolução de Problemas 24x7 do Software Assurance em Serviços de Suporte Premier</w:t>
      </w:r>
    </w:p>
    <w:p w:rsidR="00077CE5" w:rsidRPr="00984B9C" w:rsidRDefault="00AF539A" w:rsidP="00DA2788">
      <w:pPr>
        <w:pStyle w:val="AppendixBodyText"/>
        <w:spacing w:after="0"/>
        <w:rPr>
          <w:rFonts w:ascii="Tahoma" w:hAnsi="Tahoma" w:cs="Tahoma"/>
          <w:sz w:val="18"/>
          <w:szCs w:val="18"/>
        </w:rPr>
      </w:pPr>
      <w:r w:rsidRPr="00984B9C">
        <w:rPr>
          <w:rFonts w:ascii="Tahoma" w:hAnsi="Tahoma" w:cs="Tahoma"/>
          <w:color w:val="000000"/>
          <w:sz w:val="18"/>
          <w:szCs w:val="18"/>
        </w:rPr>
        <w:t>Os clientes podem optar por converter os Incidentes de Suporte para Resolução de Problemas 24x7 do Software Assurance (Incidentes de PRS do SA ou “SAB”) em:</w:t>
      </w:r>
    </w:p>
    <w:p w:rsidR="00077CE5" w:rsidRPr="00984B9C" w:rsidRDefault="00077CE5" w:rsidP="00DA2788">
      <w:pPr>
        <w:pStyle w:val="AppendixBodyText"/>
        <w:spacing w:after="0"/>
        <w:rPr>
          <w:rFonts w:ascii="Tahoma" w:hAnsi="Tahoma" w:cs="Tahoma"/>
          <w:sz w:val="18"/>
          <w:szCs w:val="18"/>
        </w:rPr>
      </w:pPr>
    </w:p>
    <w:p w:rsidR="00AF539A" w:rsidRPr="00984B9C" w:rsidRDefault="00AF539A" w:rsidP="00A1385C">
      <w:pPr>
        <w:pStyle w:val="AppendixBodyText"/>
        <w:numPr>
          <w:ilvl w:val="0"/>
          <w:numId w:val="27"/>
        </w:numPr>
        <w:tabs>
          <w:tab w:val="left" w:pos="1440"/>
        </w:tabs>
        <w:ind w:left="1440"/>
        <w:rPr>
          <w:rFonts w:ascii="Tahoma" w:hAnsi="Tahoma" w:cs="Tahoma"/>
          <w:sz w:val="18"/>
          <w:szCs w:val="18"/>
        </w:rPr>
      </w:pPr>
      <w:r w:rsidRPr="00984B9C">
        <w:rPr>
          <w:rFonts w:ascii="Tahoma" w:hAnsi="Tahoma" w:cs="Tahoma"/>
          <w:color w:val="000000"/>
          <w:sz w:val="18"/>
          <w:szCs w:val="18"/>
        </w:rPr>
        <w:t>Horas de Suporte para Resolução de Problemas (PRS) Premier</w:t>
      </w:r>
    </w:p>
    <w:p w:rsidR="00AF539A" w:rsidRPr="00984B9C" w:rsidRDefault="00AF539A" w:rsidP="00A1385C">
      <w:pPr>
        <w:pStyle w:val="AppendixBodyText"/>
        <w:numPr>
          <w:ilvl w:val="0"/>
          <w:numId w:val="27"/>
        </w:numPr>
        <w:tabs>
          <w:tab w:val="left" w:pos="1440"/>
        </w:tabs>
        <w:ind w:left="1440"/>
        <w:rPr>
          <w:rFonts w:ascii="Tahoma" w:hAnsi="Tahoma" w:cs="Tahoma"/>
          <w:sz w:val="18"/>
          <w:szCs w:val="18"/>
        </w:rPr>
      </w:pPr>
      <w:r w:rsidRPr="00984B9C">
        <w:rPr>
          <w:rFonts w:ascii="Tahoma" w:hAnsi="Tahoma" w:cs="Tahoma"/>
          <w:color w:val="000000"/>
          <w:sz w:val="18"/>
          <w:szCs w:val="18"/>
        </w:rPr>
        <w:t>Horas de Engenheiro de Suporte Dedicado (DSE) – aplicável apenas a atividades de suporte reativas</w:t>
      </w:r>
    </w:p>
    <w:p w:rsidR="00077CE5" w:rsidRPr="00984B9C" w:rsidRDefault="00077CE5" w:rsidP="00DA2788">
      <w:pPr>
        <w:pStyle w:val="AppendixBodyText"/>
        <w:tabs>
          <w:tab w:val="left" w:pos="1440"/>
        </w:tabs>
        <w:spacing w:after="0"/>
        <w:rPr>
          <w:rFonts w:ascii="Tahoma" w:hAnsi="Tahoma" w:cs="Tahoma"/>
          <w:sz w:val="18"/>
          <w:szCs w:val="18"/>
        </w:rPr>
      </w:pPr>
    </w:p>
    <w:p w:rsidR="00AF539A" w:rsidRPr="00984B9C" w:rsidRDefault="00AF539A" w:rsidP="00F42FB8">
      <w:pPr>
        <w:rPr>
          <w:rFonts w:cs="Tahoma"/>
          <w:szCs w:val="18"/>
        </w:rPr>
      </w:pPr>
      <w:r w:rsidRPr="00984B9C">
        <w:rPr>
          <w:rFonts w:cs="Tahoma"/>
          <w:color w:val="000000"/>
          <w:szCs w:val="18"/>
        </w:rPr>
        <w:t>Esses serviços destinam-se ao uso consistente com seu plano de serviço Premier no momento da transferência. A</w:t>
      </w:r>
      <w:r w:rsidR="00984B9C">
        <w:rPr>
          <w:rFonts w:cs="Tahoma"/>
          <w:color w:val="000000"/>
          <w:szCs w:val="18"/>
        </w:rPr>
        <w:t> </w:t>
      </w:r>
      <w:r w:rsidRPr="00984B9C">
        <w:rPr>
          <w:rFonts w:cs="Tahoma"/>
          <w:color w:val="000000"/>
          <w:szCs w:val="18"/>
        </w:rPr>
        <w:t>conversão baseia-se em um cálculo da taxa local que será fornecido pela Equipe de Contas Premier.</w:t>
      </w:r>
      <w:r w:rsidR="00172F11" w:rsidRPr="00984B9C">
        <w:rPr>
          <w:rFonts w:cs="Tahoma"/>
          <w:color w:val="000000"/>
          <w:szCs w:val="18"/>
        </w:rPr>
        <w:t xml:space="preserve"> </w:t>
      </w:r>
      <w:r w:rsidRPr="00984B9C">
        <w:rPr>
          <w:rFonts w:cs="Tahoma"/>
          <w:color w:val="000000"/>
          <w:szCs w:val="18"/>
        </w:rPr>
        <w:t>Os clientes podem ser solicitados a comprar horas adicionais de Gerenciamento de Conta de Suporte antes de fazer a conversão dos incidentes de PRS do SA.</w:t>
      </w:r>
      <w:r w:rsidR="00172F11" w:rsidRPr="00984B9C">
        <w:rPr>
          <w:rFonts w:cs="Tahoma"/>
          <w:color w:val="000000"/>
          <w:szCs w:val="18"/>
        </w:rPr>
        <w:t xml:space="preserve"> </w:t>
      </w:r>
      <w:r w:rsidRPr="00984B9C">
        <w:rPr>
          <w:rFonts w:cs="Tahoma"/>
          <w:color w:val="000000"/>
          <w:szCs w:val="18"/>
        </w:rPr>
        <w:t>Os incidentes de PRS do SA que são convertidos em Premier são considerados como horas de Suporte para Resolução de Problemas Premier e estão sujeitos à Descrição dos Serviços Premier.</w:t>
      </w:r>
      <w:r w:rsidR="00172F11" w:rsidRPr="00984B9C">
        <w:rPr>
          <w:rFonts w:cs="Tahoma"/>
          <w:color w:val="000000"/>
          <w:szCs w:val="18"/>
        </w:rPr>
        <w:t xml:space="preserve"> </w:t>
      </w:r>
      <w:r w:rsidRPr="00984B9C">
        <w:rPr>
          <w:rFonts w:cs="Tahoma"/>
          <w:color w:val="000000"/>
          <w:szCs w:val="18"/>
        </w:rPr>
        <w:t>Uma vez convertidos, os incidentes não podem ser retornados ao benefício de SA de um cliente.</w:t>
      </w:r>
    </w:p>
    <w:p w:rsidR="00023FE7" w:rsidRPr="00984B9C" w:rsidRDefault="00023FE7" w:rsidP="00F42FB8">
      <w:pPr>
        <w:pStyle w:val="AppendixBodyText"/>
        <w:spacing w:after="0"/>
        <w:rPr>
          <w:rFonts w:ascii="Tahoma" w:hAnsi="Tahoma" w:cs="Tahoma"/>
          <w:sz w:val="18"/>
          <w:szCs w:val="18"/>
        </w:rPr>
      </w:pPr>
    </w:p>
    <w:p w:rsidR="00077CE5" w:rsidRPr="004B208C" w:rsidRDefault="00077CE5" w:rsidP="00862623">
      <w:pPr>
        <w:pStyle w:val="AppendixBodyText"/>
        <w:keepNext/>
        <w:rPr>
          <w:rFonts w:ascii="Tahoma" w:hAnsi="Tahoma" w:cs="Tahoma"/>
        </w:rPr>
      </w:pPr>
      <w:r w:rsidRPr="004B208C">
        <w:rPr>
          <w:rFonts w:ascii="Tahoma" w:hAnsi="Tahoma" w:cs="Tahoma"/>
          <w:b/>
          <w:color w:val="000000"/>
          <w:sz w:val="18"/>
        </w:rPr>
        <w:t>Provisões empresariais adicionais</w:t>
      </w:r>
    </w:p>
    <w:p w:rsidR="00023FE7" w:rsidRPr="00984B9C" w:rsidRDefault="00023FE7" w:rsidP="00F42FB8">
      <w:pPr>
        <w:pStyle w:val="AppendixBodyText"/>
        <w:spacing w:after="0"/>
        <w:rPr>
          <w:rFonts w:ascii="Tahoma" w:hAnsi="Tahoma" w:cs="Tahoma"/>
          <w:sz w:val="18"/>
          <w:szCs w:val="18"/>
        </w:rPr>
      </w:pPr>
      <w:r w:rsidRPr="00984B9C">
        <w:rPr>
          <w:rFonts w:ascii="Tahoma" w:hAnsi="Tahoma" w:cs="Tahoma"/>
          <w:sz w:val="18"/>
          <w:szCs w:val="18"/>
        </w:rPr>
        <w:t>Os gastos de SA não devem ser combinados entre os registros Select ou Enterprise, os registros Select Plus ou os Contratos Open Value a fim de obter qualificação para prêmios adicionais.</w:t>
      </w:r>
      <w:r w:rsidR="00172F11" w:rsidRPr="00984B9C">
        <w:rPr>
          <w:rFonts w:ascii="Tahoma" w:hAnsi="Tahoma" w:cs="Tahoma"/>
          <w:sz w:val="18"/>
          <w:szCs w:val="18"/>
        </w:rPr>
        <w:t xml:space="preserve"> </w:t>
      </w:r>
      <w:r w:rsidRPr="00984B9C">
        <w:rPr>
          <w:rFonts w:ascii="Tahoma" w:hAnsi="Tahoma" w:cs="Tahoma"/>
          <w:sz w:val="18"/>
          <w:szCs w:val="18"/>
        </w:rPr>
        <w:t>Os gastos de cada registro ou contrato serão usados para determinar o prêmio do próprio registro ou contrato.</w:t>
      </w:r>
    </w:p>
    <w:p w:rsidR="00077CE5" w:rsidRPr="00984B9C" w:rsidRDefault="00077CE5" w:rsidP="00F42FB8">
      <w:pPr>
        <w:pStyle w:val="AppendixBodyText"/>
        <w:spacing w:after="0"/>
        <w:rPr>
          <w:rFonts w:ascii="Tahoma" w:hAnsi="Tahoma" w:cs="Tahoma"/>
          <w:sz w:val="18"/>
          <w:szCs w:val="18"/>
        </w:rPr>
      </w:pPr>
    </w:p>
    <w:p w:rsidR="00023FE7" w:rsidRPr="00984B9C" w:rsidRDefault="00023FE7" w:rsidP="00F42FB8">
      <w:pPr>
        <w:pStyle w:val="AppendixBodyText"/>
        <w:tabs>
          <w:tab w:val="left" w:pos="1440"/>
        </w:tabs>
        <w:spacing w:after="0"/>
        <w:rPr>
          <w:rFonts w:ascii="Tahoma" w:hAnsi="Tahoma" w:cs="Tahoma"/>
          <w:sz w:val="18"/>
          <w:szCs w:val="18"/>
        </w:rPr>
      </w:pPr>
      <w:r w:rsidRPr="00984B9C">
        <w:rPr>
          <w:rFonts w:ascii="Tahoma" w:hAnsi="Tahoma" w:cs="Tahoma"/>
          <w:sz w:val="18"/>
          <w:szCs w:val="18"/>
        </w:rPr>
        <w:t>A redução d</w:t>
      </w:r>
      <w:r w:rsidRPr="00984B9C">
        <w:rPr>
          <w:rFonts w:ascii="Tahoma" w:hAnsi="Tahoma" w:cs="Tahoma"/>
          <w:bCs/>
          <w:sz w:val="18"/>
          <w:szCs w:val="18"/>
        </w:rPr>
        <w:t>e</w:t>
      </w:r>
      <w:r w:rsidRPr="00984B9C">
        <w:rPr>
          <w:rFonts w:ascii="Tahoma" w:hAnsi="Tahoma" w:cs="Tahoma"/>
          <w:sz w:val="18"/>
          <w:szCs w:val="18"/>
        </w:rPr>
        <w:t xml:space="preserve"> Gastos de SA em decorrência de devoluções e outros ajustes de cobrança</w:t>
      </w:r>
      <w:r w:rsidRPr="00984B9C">
        <w:rPr>
          <w:rFonts w:ascii="Tahoma" w:hAnsi="Tahoma" w:cs="Tahoma"/>
          <w:bCs/>
          <w:sz w:val="18"/>
          <w:szCs w:val="18"/>
        </w:rPr>
        <w:t>,</w:t>
      </w:r>
      <w:r w:rsidRPr="00984B9C">
        <w:rPr>
          <w:rFonts w:ascii="Tahoma" w:hAnsi="Tahoma" w:cs="Tahoma"/>
          <w:sz w:val="18"/>
          <w:szCs w:val="18"/>
        </w:rPr>
        <w:t xml:space="preserve"> quando permitido, </w:t>
      </w:r>
      <w:r w:rsidRPr="00984B9C">
        <w:rPr>
          <w:rFonts w:ascii="Tahoma" w:hAnsi="Tahoma" w:cs="Tahoma"/>
          <w:bCs/>
          <w:sz w:val="18"/>
          <w:szCs w:val="18"/>
        </w:rPr>
        <w:t>pode</w:t>
      </w:r>
      <w:r w:rsidRPr="00984B9C">
        <w:rPr>
          <w:rFonts w:ascii="Tahoma" w:hAnsi="Tahoma" w:cs="Tahoma"/>
          <w:sz w:val="18"/>
          <w:szCs w:val="18"/>
        </w:rPr>
        <w:t xml:space="preserve"> resultar na perda de qualificação de Suporte ou de prêmios de incidentes por Telefone durante os períodos de premiação atuais ou futuros. </w:t>
      </w:r>
    </w:p>
    <w:p w:rsidR="00613BBB" w:rsidRPr="004B208C" w:rsidRDefault="00613BBB" w:rsidP="00F0652C">
      <w:pPr>
        <w:pStyle w:val="Heading3"/>
        <w:spacing w:after="60"/>
        <w:rPr>
          <w:rFonts w:ascii="Tahoma" w:hAnsi="Tahoma" w:cs="Tahoma"/>
        </w:rPr>
      </w:pPr>
      <w:bookmarkStart w:id="733" w:name="_Toc336338237"/>
      <w:bookmarkStart w:id="734" w:name="_Toc370981352"/>
      <w:r w:rsidRPr="004B208C">
        <w:rPr>
          <w:rFonts w:ascii="Tahoma" w:hAnsi="Tahoma" w:cs="Tahoma"/>
          <w:sz w:val="18"/>
        </w:rPr>
        <w:lastRenderedPageBreak/>
        <w:t>Suporte para Resolução de Problemas 24x7 Ilimitado</w:t>
      </w:r>
      <w:bookmarkEnd w:id="733"/>
      <w:bookmarkEnd w:id="734"/>
    </w:p>
    <w:p w:rsidR="00A17E03" w:rsidRPr="004B208C" w:rsidRDefault="00A17E03" w:rsidP="00F42FB8">
      <w:pPr>
        <w:jc w:val="both"/>
        <w:rPr>
          <w:rFonts w:cs="Tahoma"/>
        </w:rPr>
      </w:pPr>
      <w:r w:rsidRPr="004B208C">
        <w:rPr>
          <w:rFonts w:cs="Tahoma"/>
          <w:szCs w:val="18"/>
        </w:rPr>
        <w:t>Este benefício está disponível somente por meio (1) do Enrollment for Application Platform (EAP) para um Contrato Enterprise e/ou (2) Registro de Servidor e Nuvem (SCE) para um Contrato Enterprise e/ou (3) com a compra de licenças do Parallel Data Warehouse (PDW) por meio do EA, EAP, Select Plus ou Select.</w:t>
      </w:r>
    </w:p>
    <w:p w:rsidR="00A17E03" w:rsidRPr="004B208C" w:rsidRDefault="00A17E03" w:rsidP="00F42FB8">
      <w:pPr>
        <w:jc w:val="both"/>
        <w:rPr>
          <w:rFonts w:cs="Tahoma"/>
        </w:rPr>
      </w:pPr>
    </w:p>
    <w:p w:rsidR="00EB3A5F" w:rsidRPr="004B208C" w:rsidRDefault="00EB3A5F" w:rsidP="00EB3A5F">
      <w:pPr>
        <w:spacing w:line="276" w:lineRule="auto"/>
        <w:jc w:val="both"/>
        <w:rPr>
          <w:rFonts w:cs="Tahoma"/>
        </w:rPr>
      </w:pPr>
      <w:r w:rsidRPr="004B208C">
        <w:rPr>
          <w:rFonts w:cs="Tahoma"/>
        </w:rPr>
        <w:t>(1) Os clientes que possuem um SCE com uma média de gasto mínimo de SA anual de US$ 250.000 no total de produtos qualificados na Plataforma de Aplicativos ou no Pacote de Infraestrutura Principal e que possuem um Contrato de Serviços Premier estão qualificados para incidentes de Suporte para Resolução de Problemas (PRS) 24</w:t>
      </w:r>
      <w:r w:rsidR="007D3B3A">
        <w:rPr>
          <w:rFonts w:cs="Tahoma"/>
        </w:rPr>
        <w:t> </w:t>
      </w:r>
      <w:r w:rsidRPr="004B208C">
        <w:rPr>
          <w:rFonts w:cs="Tahoma"/>
        </w:rPr>
        <w:t>horas por dia, 7 dias por semana. Os dois componentes de SCE elegíveis são qualificados separadamente para o</w:t>
      </w:r>
      <w:r w:rsidR="007D3B3A">
        <w:rPr>
          <w:rFonts w:cs="Tahoma"/>
        </w:rPr>
        <w:t> </w:t>
      </w:r>
      <w:r w:rsidRPr="004B208C">
        <w:rPr>
          <w:rFonts w:cs="Tahoma"/>
        </w:rPr>
        <w:t>Suporte para Solução de Problemas 24 horas por dia, 7 dias por semana Ilimitado.</w:t>
      </w:r>
      <w:r w:rsidR="00172F11">
        <w:rPr>
          <w:rFonts w:cs="Tahoma"/>
        </w:rPr>
        <w:t xml:space="preserve"> </w:t>
      </w:r>
      <w:r w:rsidRPr="004B208C">
        <w:rPr>
          <w:rFonts w:cs="Tahoma"/>
        </w:rPr>
        <w:t xml:space="preserve">Os produtos listados abaixo, que estão atualmente no Suporte Base ou Estendido, conforme estabelecido na </w:t>
      </w:r>
      <w:hyperlink r:id="rId27" w:history="1">
        <w:r w:rsidRPr="004B208C">
          <w:rPr>
            <w:rStyle w:val="Hyperlink"/>
            <w:rFonts w:cs="Tahoma"/>
            <w:szCs w:val="18"/>
          </w:rPr>
          <w:t>Política de Ciclo de Vida de Suporte da Microsoft</w:t>
        </w:r>
      </w:hyperlink>
      <w:r w:rsidR="00172F11" w:rsidRPr="00984B9C">
        <w:rPr>
          <w:rStyle w:val="Hyperlink"/>
          <w:rFonts w:cs="Tahoma"/>
          <w:szCs w:val="18"/>
          <w:u w:val="none"/>
        </w:rPr>
        <w:t>,</w:t>
      </w:r>
      <w:r w:rsidRPr="004B208C">
        <w:rPr>
          <w:rFonts w:cs="Tahoma"/>
          <w:color w:val="000000"/>
        </w:rPr>
        <w:t xml:space="preserve"> alinhados com um contrato Premier do cliente, estão incluídos neste benefício.</w:t>
      </w:r>
    </w:p>
    <w:p w:rsidR="00077CE5" w:rsidRPr="004B208C" w:rsidRDefault="00077CE5" w:rsidP="00DA2788">
      <w:pPr>
        <w:spacing w:line="276" w:lineRule="auto"/>
        <w:jc w:val="both"/>
        <w:rPr>
          <w:rFonts w:cs="Tahoma"/>
        </w:rPr>
      </w:pPr>
    </w:p>
    <w:p w:rsidR="00A17E03" w:rsidRPr="004B208C" w:rsidRDefault="00A17E03" w:rsidP="00F42FB8">
      <w:pPr>
        <w:spacing w:line="276" w:lineRule="auto"/>
        <w:jc w:val="both"/>
        <w:rPr>
          <w:rFonts w:cs="Tahoma"/>
        </w:rPr>
      </w:pPr>
      <w:r w:rsidRPr="004B208C">
        <w:rPr>
          <w:rFonts w:eastAsia="Calibri" w:cs="Tahoma"/>
          <w:szCs w:val="18"/>
        </w:rPr>
        <w:t>Os produtos de Plataforma de Aplicativos qualificados são os seguintes:</w:t>
      </w:r>
    </w:p>
    <w:p w:rsidR="00613BBB" w:rsidRPr="004B208C" w:rsidRDefault="00613BBB" w:rsidP="00077CE5">
      <w:pPr>
        <w:rPr>
          <w:rFonts w:cs="Tahoma"/>
        </w:rPr>
      </w:pPr>
    </w:p>
    <w:p w:rsidR="00613BBB" w:rsidRPr="004B208C" w:rsidRDefault="00613BBB" w:rsidP="00A1385C">
      <w:pPr>
        <w:numPr>
          <w:ilvl w:val="0"/>
          <w:numId w:val="71"/>
        </w:numPr>
        <w:spacing w:after="60"/>
        <w:rPr>
          <w:rFonts w:cs="Tahoma"/>
        </w:rPr>
      </w:pPr>
      <w:r w:rsidRPr="004B208C">
        <w:rPr>
          <w:rFonts w:cs="Tahoma"/>
          <w:szCs w:val="18"/>
        </w:rPr>
        <w:t>CAL do SQL</w:t>
      </w:r>
    </w:p>
    <w:p w:rsidR="00613BBB" w:rsidRPr="004B208C" w:rsidRDefault="00613BBB" w:rsidP="00A1385C">
      <w:pPr>
        <w:numPr>
          <w:ilvl w:val="0"/>
          <w:numId w:val="71"/>
        </w:numPr>
        <w:spacing w:after="60"/>
        <w:rPr>
          <w:rFonts w:cs="Tahoma"/>
        </w:rPr>
      </w:pPr>
      <w:r w:rsidRPr="004B208C">
        <w:rPr>
          <w:rFonts w:cs="Tahoma"/>
          <w:szCs w:val="18"/>
        </w:rPr>
        <w:t>SQL Server Standard</w:t>
      </w:r>
    </w:p>
    <w:p w:rsidR="00613BBB" w:rsidRPr="004B208C" w:rsidRDefault="00613BBB" w:rsidP="00A1385C">
      <w:pPr>
        <w:numPr>
          <w:ilvl w:val="0"/>
          <w:numId w:val="71"/>
        </w:numPr>
        <w:spacing w:after="60"/>
        <w:rPr>
          <w:rFonts w:cs="Tahoma"/>
        </w:rPr>
      </w:pPr>
      <w:r w:rsidRPr="004B208C">
        <w:rPr>
          <w:rFonts w:cs="Tahoma"/>
          <w:szCs w:val="18"/>
        </w:rPr>
        <w:t xml:space="preserve">SQL Server Standard por Núcleo </w:t>
      </w:r>
    </w:p>
    <w:p w:rsidR="00613BBB" w:rsidRPr="004B208C" w:rsidRDefault="00613BBB" w:rsidP="00A1385C">
      <w:pPr>
        <w:numPr>
          <w:ilvl w:val="0"/>
          <w:numId w:val="71"/>
        </w:numPr>
        <w:spacing w:after="60"/>
        <w:rPr>
          <w:rFonts w:cs="Tahoma"/>
        </w:rPr>
      </w:pPr>
      <w:r w:rsidRPr="004B208C">
        <w:rPr>
          <w:rFonts w:cs="Tahoma"/>
          <w:szCs w:val="18"/>
        </w:rPr>
        <w:t xml:space="preserve">SQL Server Enterprise por Núcleo </w:t>
      </w:r>
    </w:p>
    <w:p w:rsidR="00894563" w:rsidRPr="004B208C" w:rsidRDefault="00894563" w:rsidP="00A1385C">
      <w:pPr>
        <w:numPr>
          <w:ilvl w:val="0"/>
          <w:numId w:val="71"/>
        </w:numPr>
        <w:spacing w:after="60"/>
        <w:rPr>
          <w:rFonts w:cs="Tahoma"/>
        </w:rPr>
      </w:pPr>
      <w:r w:rsidRPr="004B208C">
        <w:rPr>
          <w:rFonts w:cs="Tahoma"/>
          <w:szCs w:val="18"/>
        </w:rPr>
        <w:t>SQL Server Business Intelligence</w:t>
      </w:r>
    </w:p>
    <w:p w:rsidR="00EB42F3" w:rsidRPr="004B208C" w:rsidRDefault="00EB42F3" w:rsidP="00A1385C">
      <w:pPr>
        <w:numPr>
          <w:ilvl w:val="0"/>
          <w:numId w:val="71"/>
        </w:numPr>
        <w:spacing w:after="60"/>
        <w:rPr>
          <w:rFonts w:cs="Tahoma"/>
        </w:rPr>
      </w:pPr>
      <w:r w:rsidRPr="004B208C">
        <w:rPr>
          <w:rFonts w:cs="Tahoma"/>
          <w:szCs w:val="18"/>
        </w:rPr>
        <w:t>Data Warehouse em Paralelo do SQL Server</w:t>
      </w:r>
    </w:p>
    <w:p w:rsidR="00613BBB" w:rsidRPr="004B208C" w:rsidRDefault="00613BBB" w:rsidP="00A1385C">
      <w:pPr>
        <w:numPr>
          <w:ilvl w:val="0"/>
          <w:numId w:val="71"/>
        </w:numPr>
        <w:spacing w:after="60"/>
        <w:rPr>
          <w:rFonts w:cs="Tahoma"/>
        </w:rPr>
      </w:pPr>
      <w:r w:rsidRPr="004B208C">
        <w:rPr>
          <w:rFonts w:cs="Tahoma"/>
          <w:szCs w:val="18"/>
        </w:rPr>
        <w:t>BizTalk Server Standard por Núcleo</w:t>
      </w:r>
    </w:p>
    <w:p w:rsidR="00613BBB" w:rsidRPr="004B208C" w:rsidRDefault="00613BBB" w:rsidP="00A1385C">
      <w:pPr>
        <w:numPr>
          <w:ilvl w:val="0"/>
          <w:numId w:val="71"/>
        </w:numPr>
        <w:spacing w:after="60"/>
        <w:rPr>
          <w:rFonts w:cs="Tahoma"/>
        </w:rPr>
      </w:pPr>
      <w:r w:rsidRPr="004B208C">
        <w:rPr>
          <w:rFonts w:cs="Tahoma"/>
          <w:szCs w:val="18"/>
        </w:rPr>
        <w:t>BizTalk Server Enterprise por Núcleo</w:t>
      </w:r>
    </w:p>
    <w:p w:rsidR="00613BBB" w:rsidRPr="004B208C" w:rsidRDefault="00613BBB" w:rsidP="00A1385C">
      <w:pPr>
        <w:numPr>
          <w:ilvl w:val="0"/>
          <w:numId w:val="71"/>
        </w:numPr>
        <w:spacing w:after="60"/>
        <w:rPr>
          <w:rFonts w:cs="Tahoma"/>
        </w:rPr>
      </w:pPr>
      <w:r w:rsidRPr="004B208C">
        <w:rPr>
          <w:rFonts w:cs="Tahoma"/>
          <w:szCs w:val="18"/>
        </w:rPr>
        <w:t>BizTalk Server Branch por Núcleo</w:t>
      </w:r>
    </w:p>
    <w:p w:rsidR="00613BBB" w:rsidRPr="004B208C" w:rsidRDefault="00613BBB" w:rsidP="00A1385C">
      <w:pPr>
        <w:numPr>
          <w:ilvl w:val="0"/>
          <w:numId w:val="71"/>
        </w:numPr>
        <w:spacing w:after="60"/>
        <w:rPr>
          <w:rFonts w:cs="Tahoma"/>
        </w:rPr>
      </w:pPr>
      <w:r w:rsidRPr="004B208C">
        <w:rPr>
          <w:rFonts w:cs="Tahoma"/>
          <w:szCs w:val="18"/>
        </w:rPr>
        <w:t>Office SharePoint Server</w:t>
      </w:r>
    </w:p>
    <w:p w:rsidR="00EB3A5F" w:rsidRPr="004B208C" w:rsidRDefault="00EB3A5F" w:rsidP="00EB3A5F">
      <w:pPr>
        <w:spacing w:line="276" w:lineRule="auto"/>
        <w:jc w:val="both"/>
        <w:rPr>
          <w:rFonts w:cs="Tahoma"/>
        </w:rPr>
      </w:pPr>
      <w:r w:rsidRPr="004B208C">
        <w:rPr>
          <w:rFonts w:cs="Tahoma"/>
        </w:rPr>
        <w:t>Os produtos qualificados a partir do Componente de Infraestrutura Principal são:</w:t>
      </w:r>
    </w:p>
    <w:p w:rsidR="00EB3A5F" w:rsidRPr="004B208C" w:rsidRDefault="00EB3A5F" w:rsidP="00EB3A5F">
      <w:pPr>
        <w:rPr>
          <w:rFonts w:cs="Tahoma"/>
        </w:rPr>
      </w:pPr>
    </w:p>
    <w:p w:rsidR="00EB3A5F" w:rsidRPr="004B208C" w:rsidRDefault="00EB3A5F" w:rsidP="00A1385C">
      <w:pPr>
        <w:numPr>
          <w:ilvl w:val="0"/>
          <w:numId w:val="71"/>
        </w:numPr>
        <w:spacing w:after="60"/>
        <w:rPr>
          <w:rFonts w:cs="Tahoma"/>
        </w:rPr>
      </w:pPr>
      <w:r w:rsidRPr="004B208C">
        <w:rPr>
          <w:rFonts w:cs="Tahoma"/>
        </w:rPr>
        <w:t>CIS DataCenter (Windows Server Datacenter e System Center Datacenter)</w:t>
      </w:r>
    </w:p>
    <w:p w:rsidR="00EB3A5F" w:rsidRPr="004B208C" w:rsidRDefault="00EB3A5F" w:rsidP="00A1385C">
      <w:pPr>
        <w:numPr>
          <w:ilvl w:val="0"/>
          <w:numId w:val="71"/>
        </w:numPr>
        <w:spacing w:after="60"/>
        <w:rPr>
          <w:rFonts w:cs="Tahoma"/>
        </w:rPr>
      </w:pPr>
      <w:r w:rsidRPr="004B208C">
        <w:rPr>
          <w:rFonts w:cs="Tahoma"/>
        </w:rPr>
        <w:t>CIS Standard (Windows Server Standard e System Center Standard)</w:t>
      </w:r>
    </w:p>
    <w:p w:rsidR="00613BBB" w:rsidRPr="004B208C" w:rsidRDefault="00613BBB" w:rsidP="00077CE5">
      <w:pPr>
        <w:rPr>
          <w:rFonts w:cs="Tahoma"/>
        </w:rPr>
      </w:pPr>
    </w:p>
    <w:p w:rsidR="00613BBB" w:rsidRPr="00984B9C" w:rsidRDefault="00613BBB" w:rsidP="00FF1B2B">
      <w:pPr>
        <w:pStyle w:val="AppendixBodyText"/>
        <w:spacing w:after="0"/>
        <w:jc w:val="both"/>
        <w:rPr>
          <w:rFonts w:ascii="Tahoma" w:hAnsi="Tahoma" w:cs="Tahoma"/>
          <w:sz w:val="18"/>
          <w:szCs w:val="18"/>
        </w:rPr>
      </w:pPr>
      <w:r w:rsidRPr="00984B9C">
        <w:rPr>
          <w:rFonts w:ascii="Tahoma" w:hAnsi="Tahoma" w:cs="Tahoma"/>
          <w:sz w:val="18"/>
          <w:szCs w:val="18"/>
        </w:rPr>
        <w:t>A tabela a seguir lista as conversões de limite de gastos de SA para contratos com base em moedas que não sejam o</w:t>
      </w:r>
      <w:r w:rsidR="009869F4">
        <w:rPr>
          <w:rFonts w:ascii="Tahoma" w:hAnsi="Tahoma" w:cs="Tahoma"/>
          <w:sz w:val="18"/>
          <w:szCs w:val="18"/>
        </w:rPr>
        <w:t> </w:t>
      </w:r>
      <w:r w:rsidRPr="00984B9C">
        <w:rPr>
          <w:rFonts w:ascii="Tahoma" w:hAnsi="Tahoma" w:cs="Tahoma"/>
          <w:sz w:val="18"/>
          <w:szCs w:val="18"/>
        </w:rPr>
        <w:t>USD.</w:t>
      </w:r>
      <w:r w:rsidR="00172F11" w:rsidRPr="00984B9C">
        <w:rPr>
          <w:rFonts w:ascii="Tahoma" w:hAnsi="Tahoma" w:cs="Tahoma"/>
          <w:sz w:val="18"/>
          <w:szCs w:val="18"/>
        </w:rPr>
        <w:t xml:space="preserve"> </w:t>
      </w:r>
      <w:r w:rsidRPr="00984B9C">
        <w:rPr>
          <w:rFonts w:ascii="Tahoma" w:hAnsi="Tahoma" w:cs="Tahoma"/>
          <w:sz w:val="18"/>
          <w:szCs w:val="18"/>
        </w:rPr>
        <w:t>Devido à flutuação das taxas de câmbio, essa tabela está sujeita a alterações sem aviso.</w:t>
      </w:r>
    </w:p>
    <w:p w:rsidR="00E74270" w:rsidRPr="00984B9C" w:rsidRDefault="00E74270" w:rsidP="00FF1B2B">
      <w:pPr>
        <w:pStyle w:val="AppendixBodyText"/>
        <w:spacing w:after="0"/>
        <w:jc w:val="both"/>
        <w:rPr>
          <w:rFonts w:ascii="Tahoma"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886"/>
        <w:gridCol w:w="1233"/>
        <w:gridCol w:w="2902"/>
      </w:tblGrid>
      <w:tr w:rsidR="00E74270" w:rsidRPr="004B208C" w:rsidTr="009869F4">
        <w:trPr>
          <w:trHeight w:val="178"/>
          <w:tblHeader/>
          <w:jc w:val="center"/>
        </w:trPr>
        <w:tc>
          <w:tcPr>
            <w:tcW w:w="1886"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B208C" w:rsidRDefault="00E74270" w:rsidP="00E74270">
            <w:pPr>
              <w:pStyle w:val="AppendixBodyText"/>
              <w:jc w:val="center"/>
              <w:rPr>
                <w:rFonts w:ascii="Tahoma" w:hAnsi="Tahoma" w:cs="Tahoma"/>
                <w:b/>
                <w:bCs/>
              </w:rPr>
            </w:pPr>
            <w:r w:rsidRPr="004B208C">
              <w:rPr>
                <w:rFonts w:ascii="Tahoma" w:hAnsi="Tahoma" w:cs="Tahoma"/>
                <w:b/>
                <w:bCs/>
              </w:rPr>
              <w:t>Moeda</w:t>
            </w:r>
          </w:p>
        </w:tc>
        <w:tc>
          <w:tcPr>
            <w:tcW w:w="1233"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B208C" w:rsidRDefault="00E74270" w:rsidP="00E74270">
            <w:pPr>
              <w:pStyle w:val="AppendixBodyText"/>
              <w:jc w:val="center"/>
              <w:rPr>
                <w:rFonts w:ascii="Tahoma" w:hAnsi="Tahoma" w:cs="Tahoma"/>
                <w:b/>
                <w:bCs/>
              </w:rPr>
            </w:pPr>
            <w:r w:rsidRPr="004B208C">
              <w:rPr>
                <w:rFonts w:ascii="Tahoma" w:hAnsi="Tahoma" w:cs="Tahoma"/>
                <w:b/>
                <w:bCs/>
              </w:rPr>
              <w:t>Código da Moeda</w:t>
            </w:r>
          </w:p>
        </w:tc>
        <w:tc>
          <w:tcPr>
            <w:tcW w:w="290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4B208C" w:rsidRDefault="00E74270" w:rsidP="00E74270">
            <w:pPr>
              <w:pStyle w:val="AppendixBodyText"/>
              <w:jc w:val="center"/>
              <w:rPr>
                <w:rFonts w:ascii="Tahoma" w:hAnsi="Tahoma" w:cs="Tahoma"/>
                <w:b/>
                <w:bCs/>
              </w:rPr>
            </w:pPr>
            <w:r w:rsidRPr="004B208C">
              <w:rPr>
                <w:rFonts w:ascii="Tahoma" w:hAnsi="Tahoma" w:cs="Tahoma"/>
                <w:b/>
                <w:bCs/>
              </w:rPr>
              <w:t>Média de Gasto Mínimo de SA Anual para qualificação ao PRS 24x7 Ilimitado</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Dólar Americano</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USD</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250</w:t>
            </w:r>
            <w:r w:rsidR="00984B9C">
              <w:rPr>
                <w:rFonts w:ascii="Tahoma" w:hAnsi="Tahoma" w:cs="Tahoma"/>
                <w:color w:val="000000"/>
                <w:sz w:val="18"/>
                <w:szCs w:val="18"/>
              </w:rPr>
              <w:t>.</w:t>
            </w:r>
            <w:r w:rsidRPr="004B208C">
              <w:rPr>
                <w:rFonts w:ascii="Tahoma" w:hAnsi="Tahoma" w:cs="Tahoma"/>
                <w:color w:val="000000"/>
                <w:sz w:val="18"/>
                <w:szCs w:val="18"/>
              </w:rPr>
              <w:t>000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Dólar Australiano</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AUD</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375</w:t>
            </w:r>
            <w:r w:rsidR="00984B9C">
              <w:rPr>
                <w:rFonts w:ascii="Tahoma" w:hAnsi="Tahoma" w:cs="Tahoma"/>
                <w:color w:val="000000"/>
                <w:sz w:val="18"/>
                <w:szCs w:val="18"/>
              </w:rPr>
              <w:t>.</w:t>
            </w:r>
            <w:r w:rsidRPr="004B208C">
              <w:rPr>
                <w:rFonts w:ascii="Tahoma" w:hAnsi="Tahoma" w:cs="Tahoma"/>
                <w:color w:val="000000"/>
                <w:sz w:val="18"/>
                <w:szCs w:val="18"/>
              </w:rPr>
              <w:t>000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Dólar Canadense</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CAD</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337</w:t>
            </w:r>
            <w:r w:rsidR="00984B9C">
              <w:rPr>
                <w:rFonts w:ascii="Tahoma" w:hAnsi="Tahoma" w:cs="Tahoma"/>
                <w:color w:val="000000"/>
                <w:sz w:val="18"/>
                <w:szCs w:val="18"/>
              </w:rPr>
              <w:t>.</w:t>
            </w:r>
            <w:r w:rsidRPr="004B208C">
              <w:rPr>
                <w:rFonts w:ascii="Tahoma" w:hAnsi="Tahoma" w:cs="Tahoma"/>
                <w:color w:val="000000"/>
                <w:sz w:val="18"/>
                <w:szCs w:val="18"/>
              </w:rPr>
              <w:t>500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Franco Suíço</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CHF</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412</w:t>
            </w:r>
            <w:r w:rsidR="00984B9C">
              <w:rPr>
                <w:rFonts w:ascii="Tahoma" w:hAnsi="Tahoma" w:cs="Tahoma"/>
                <w:color w:val="000000"/>
                <w:sz w:val="18"/>
                <w:szCs w:val="18"/>
              </w:rPr>
              <w:t>.</w:t>
            </w:r>
            <w:r w:rsidRPr="004B208C">
              <w:rPr>
                <w:rFonts w:ascii="Tahoma" w:hAnsi="Tahoma" w:cs="Tahoma"/>
                <w:color w:val="000000"/>
                <w:sz w:val="18"/>
                <w:szCs w:val="18"/>
              </w:rPr>
              <w:t>500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Iuan Renmimbi (China)</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CNY</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2</w:t>
            </w:r>
            <w:r w:rsidR="00984B9C">
              <w:rPr>
                <w:rFonts w:ascii="Tahoma" w:hAnsi="Tahoma" w:cs="Tahoma"/>
                <w:color w:val="000000"/>
                <w:sz w:val="18"/>
                <w:szCs w:val="18"/>
              </w:rPr>
              <w:t>.</w:t>
            </w:r>
            <w:r w:rsidRPr="004B208C">
              <w:rPr>
                <w:rFonts w:ascii="Tahoma" w:hAnsi="Tahoma" w:cs="Tahoma"/>
                <w:color w:val="000000"/>
                <w:sz w:val="18"/>
                <w:szCs w:val="18"/>
              </w:rPr>
              <w:t>062</w:t>
            </w:r>
            <w:r w:rsidR="00984B9C">
              <w:rPr>
                <w:rFonts w:ascii="Tahoma" w:hAnsi="Tahoma" w:cs="Tahoma"/>
                <w:color w:val="000000"/>
                <w:sz w:val="18"/>
                <w:szCs w:val="18"/>
              </w:rPr>
              <w:t>.</w:t>
            </w:r>
            <w:r w:rsidRPr="004B208C">
              <w:rPr>
                <w:rFonts w:ascii="Tahoma" w:hAnsi="Tahoma" w:cs="Tahoma"/>
                <w:color w:val="000000"/>
                <w:sz w:val="18"/>
                <w:szCs w:val="18"/>
              </w:rPr>
              <w:t>500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Coroa Dinamarquesa</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DKK</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2</w:t>
            </w:r>
            <w:r w:rsidR="00984B9C">
              <w:rPr>
                <w:rFonts w:ascii="Tahoma" w:hAnsi="Tahoma" w:cs="Tahoma"/>
                <w:color w:val="000000"/>
                <w:sz w:val="18"/>
                <w:szCs w:val="18"/>
              </w:rPr>
              <w:t>.</w:t>
            </w:r>
            <w:r w:rsidRPr="004B208C">
              <w:rPr>
                <w:rFonts w:ascii="Tahoma" w:hAnsi="Tahoma" w:cs="Tahoma"/>
                <w:color w:val="000000"/>
                <w:sz w:val="18"/>
                <w:szCs w:val="18"/>
              </w:rPr>
              <w:t>000</w:t>
            </w:r>
            <w:r w:rsidR="00984B9C">
              <w:rPr>
                <w:rFonts w:ascii="Tahoma" w:hAnsi="Tahoma" w:cs="Tahoma"/>
                <w:color w:val="000000"/>
                <w:sz w:val="18"/>
                <w:szCs w:val="18"/>
              </w:rPr>
              <w:t>.</w:t>
            </w:r>
            <w:r w:rsidRPr="004B208C">
              <w:rPr>
                <w:rFonts w:ascii="Tahoma" w:hAnsi="Tahoma" w:cs="Tahoma"/>
                <w:color w:val="000000"/>
                <w:sz w:val="18"/>
                <w:szCs w:val="18"/>
              </w:rPr>
              <w:t>000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Euro</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EUR</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268</w:t>
            </w:r>
            <w:r w:rsidR="00984B9C">
              <w:rPr>
                <w:rFonts w:ascii="Tahoma" w:hAnsi="Tahoma" w:cs="Tahoma"/>
                <w:color w:val="000000"/>
                <w:sz w:val="18"/>
                <w:szCs w:val="18"/>
              </w:rPr>
              <w:t>.</w:t>
            </w:r>
            <w:r w:rsidRPr="004B208C">
              <w:rPr>
                <w:rFonts w:ascii="Tahoma" w:hAnsi="Tahoma" w:cs="Tahoma"/>
                <w:color w:val="000000"/>
                <w:sz w:val="18"/>
                <w:szCs w:val="18"/>
              </w:rPr>
              <w:t>750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Libra Esterlina</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GBP</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168</w:t>
            </w:r>
            <w:r w:rsidR="00984B9C">
              <w:rPr>
                <w:rFonts w:ascii="Tahoma" w:hAnsi="Tahoma" w:cs="Tahoma"/>
                <w:color w:val="000000"/>
                <w:sz w:val="18"/>
                <w:szCs w:val="18"/>
              </w:rPr>
              <w:t>.</w:t>
            </w:r>
            <w:r w:rsidRPr="004B208C">
              <w:rPr>
                <w:rFonts w:ascii="Tahoma" w:hAnsi="Tahoma" w:cs="Tahoma"/>
                <w:color w:val="000000"/>
                <w:sz w:val="18"/>
                <w:szCs w:val="18"/>
              </w:rPr>
              <w:t>750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Iene Japonês</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JPY</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30</w:t>
            </w:r>
            <w:r w:rsidR="00984B9C">
              <w:rPr>
                <w:rFonts w:ascii="Tahoma" w:hAnsi="Tahoma" w:cs="Tahoma"/>
                <w:color w:val="000000"/>
                <w:sz w:val="18"/>
                <w:szCs w:val="18"/>
              </w:rPr>
              <w:t>.</w:t>
            </w:r>
            <w:r w:rsidRPr="004B208C">
              <w:rPr>
                <w:rFonts w:ascii="Tahoma" w:hAnsi="Tahoma" w:cs="Tahoma"/>
                <w:color w:val="000000"/>
                <w:sz w:val="18"/>
                <w:szCs w:val="18"/>
              </w:rPr>
              <w:t>000</w:t>
            </w:r>
            <w:r w:rsidR="00984B9C">
              <w:rPr>
                <w:rFonts w:ascii="Tahoma" w:hAnsi="Tahoma" w:cs="Tahoma"/>
                <w:color w:val="000000"/>
                <w:sz w:val="18"/>
                <w:szCs w:val="18"/>
              </w:rPr>
              <w:t>.</w:t>
            </w:r>
            <w:r w:rsidRPr="004B208C">
              <w:rPr>
                <w:rFonts w:ascii="Tahoma" w:hAnsi="Tahoma" w:cs="Tahoma"/>
                <w:color w:val="000000"/>
                <w:sz w:val="18"/>
                <w:szCs w:val="18"/>
              </w:rPr>
              <w:t>000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Won Coreano</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KRW</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300</w:t>
            </w:r>
            <w:r w:rsidR="00984B9C">
              <w:rPr>
                <w:rFonts w:ascii="Tahoma" w:hAnsi="Tahoma" w:cs="Tahoma"/>
                <w:color w:val="000000"/>
                <w:sz w:val="18"/>
                <w:szCs w:val="18"/>
              </w:rPr>
              <w:t>.</w:t>
            </w:r>
            <w:r w:rsidRPr="004B208C">
              <w:rPr>
                <w:rFonts w:ascii="Tahoma" w:hAnsi="Tahoma" w:cs="Tahoma"/>
                <w:color w:val="000000"/>
                <w:sz w:val="18"/>
                <w:szCs w:val="18"/>
              </w:rPr>
              <w:t>000</w:t>
            </w:r>
            <w:r w:rsidR="00984B9C">
              <w:rPr>
                <w:rFonts w:ascii="Tahoma" w:hAnsi="Tahoma" w:cs="Tahoma"/>
                <w:color w:val="000000"/>
                <w:sz w:val="18"/>
                <w:szCs w:val="18"/>
              </w:rPr>
              <w:t>.</w:t>
            </w:r>
            <w:r w:rsidRPr="004B208C">
              <w:rPr>
                <w:rFonts w:ascii="Tahoma" w:hAnsi="Tahoma" w:cs="Tahoma"/>
                <w:color w:val="000000"/>
                <w:sz w:val="18"/>
                <w:szCs w:val="18"/>
              </w:rPr>
              <w:t>000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Coroa Norueguesa</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NOK</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2</w:t>
            </w:r>
            <w:r w:rsidR="00984B9C">
              <w:rPr>
                <w:rFonts w:ascii="Tahoma" w:hAnsi="Tahoma" w:cs="Tahoma"/>
                <w:color w:val="000000"/>
                <w:sz w:val="18"/>
                <w:szCs w:val="18"/>
              </w:rPr>
              <w:t>.</w:t>
            </w:r>
            <w:r w:rsidRPr="004B208C">
              <w:rPr>
                <w:rFonts w:ascii="Tahoma" w:hAnsi="Tahoma" w:cs="Tahoma"/>
                <w:color w:val="000000"/>
                <w:sz w:val="18"/>
                <w:szCs w:val="18"/>
              </w:rPr>
              <w:t>062</w:t>
            </w:r>
            <w:r w:rsidR="00984B9C">
              <w:rPr>
                <w:rFonts w:ascii="Tahoma" w:hAnsi="Tahoma" w:cs="Tahoma"/>
                <w:color w:val="000000"/>
                <w:sz w:val="18"/>
                <w:szCs w:val="18"/>
              </w:rPr>
              <w:t>.</w:t>
            </w:r>
            <w:r w:rsidRPr="004B208C">
              <w:rPr>
                <w:rFonts w:ascii="Tahoma" w:hAnsi="Tahoma" w:cs="Tahoma"/>
                <w:color w:val="000000"/>
                <w:sz w:val="18"/>
                <w:szCs w:val="18"/>
              </w:rPr>
              <w:t>500</w:t>
            </w:r>
          </w:p>
        </w:tc>
      </w:tr>
      <w:tr w:rsidR="00E74270" w:rsidRPr="004B208C" w:rsidTr="009869F4">
        <w:trPr>
          <w:trHeight w:val="188"/>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Dólar Neozelandês</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NZD</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437</w:t>
            </w:r>
            <w:r w:rsidR="00984B9C">
              <w:rPr>
                <w:rFonts w:ascii="Tahoma" w:hAnsi="Tahoma" w:cs="Tahoma"/>
                <w:color w:val="000000"/>
                <w:sz w:val="18"/>
                <w:szCs w:val="18"/>
              </w:rPr>
              <w:t>.</w:t>
            </w:r>
            <w:r w:rsidRPr="004B208C">
              <w:rPr>
                <w:rFonts w:ascii="Tahoma" w:hAnsi="Tahoma" w:cs="Tahoma"/>
                <w:color w:val="000000"/>
                <w:sz w:val="18"/>
                <w:szCs w:val="18"/>
              </w:rPr>
              <w:t>500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lastRenderedPageBreak/>
              <w:t>Coroa Sueca</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SEK</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2</w:t>
            </w:r>
            <w:r w:rsidR="00984B9C">
              <w:rPr>
                <w:rFonts w:ascii="Tahoma" w:hAnsi="Tahoma" w:cs="Tahoma"/>
                <w:color w:val="000000"/>
                <w:sz w:val="18"/>
                <w:szCs w:val="18"/>
              </w:rPr>
              <w:t>.</w:t>
            </w:r>
            <w:r w:rsidRPr="004B208C">
              <w:rPr>
                <w:rFonts w:ascii="Tahoma" w:hAnsi="Tahoma" w:cs="Tahoma"/>
                <w:color w:val="000000"/>
                <w:sz w:val="18"/>
                <w:szCs w:val="18"/>
              </w:rPr>
              <w:t>500</w:t>
            </w:r>
            <w:r w:rsidR="00984B9C">
              <w:rPr>
                <w:rFonts w:ascii="Tahoma" w:hAnsi="Tahoma" w:cs="Tahoma"/>
                <w:color w:val="000000"/>
                <w:sz w:val="18"/>
                <w:szCs w:val="18"/>
              </w:rPr>
              <w:t>.</w:t>
            </w:r>
            <w:r w:rsidRPr="004B208C">
              <w:rPr>
                <w:rFonts w:ascii="Tahoma" w:hAnsi="Tahoma" w:cs="Tahoma"/>
                <w:color w:val="000000"/>
                <w:sz w:val="18"/>
                <w:szCs w:val="18"/>
              </w:rPr>
              <w:t>000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Novo Dólar Taiwanês</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TWD</w:t>
            </w:r>
          </w:p>
        </w:tc>
        <w:tc>
          <w:tcPr>
            <w:tcW w:w="2902" w:type="dxa"/>
            <w:vAlign w:val="bottom"/>
          </w:tcPr>
          <w:p w:rsidR="00E74270" w:rsidRPr="004B208C" w:rsidRDefault="00E74270" w:rsidP="00984B9C">
            <w:pPr>
              <w:pStyle w:val="AppendixBodyText"/>
              <w:jc w:val="right"/>
              <w:rPr>
                <w:rFonts w:ascii="Tahoma" w:hAnsi="Tahoma" w:cs="Tahoma"/>
                <w:sz w:val="18"/>
                <w:szCs w:val="18"/>
              </w:rPr>
            </w:pPr>
            <w:r w:rsidRPr="004B208C">
              <w:rPr>
                <w:rFonts w:ascii="Tahoma" w:hAnsi="Tahoma" w:cs="Tahoma"/>
                <w:color w:val="000000"/>
                <w:sz w:val="18"/>
                <w:szCs w:val="18"/>
              </w:rPr>
              <w:t>8</w:t>
            </w:r>
            <w:r w:rsidR="00984B9C">
              <w:rPr>
                <w:rFonts w:ascii="Tahoma" w:hAnsi="Tahoma" w:cs="Tahoma"/>
                <w:color w:val="000000"/>
                <w:sz w:val="18"/>
                <w:szCs w:val="18"/>
              </w:rPr>
              <w:t>.</w:t>
            </w:r>
            <w:r w:rsidRPr="004B208C">
              <w:rPr>
                <w:rFonts w:ascii="Tahoma" w:hAnsi="Tahoma" w:cs="Tahoma"/>
                <w:color w:val="000000"/>
                <w:sz w:val="18"/>
                <w:szCs w:val="18"/>
              </w:rPr>
              <w:t>750</w:t>
            </w:r>
            <w:r w:rsidR="00984B9C">
              <w:rPr>
                <w:rFonts w:ascii="Tahoma" w:hAnsi="Tahoma" w:cs="Tahoma"/>
                <w:color w:val="000000"/>
                <w:sz w:val="18"/>
                <w:szCs w:val="18"/>
              </w:rPr>
              <w:t>.</w:t>
            </w:r>
            <w:r w:rsidRPr="004B208C">
              <w:rPr>
                <w:rFonts w:ascii="Tahoma" w:hAnsi="Tahoma" w:cs="Tahoma"/>
                <w:color w:val="000000"/>
                <w:sz w:val="18"/>
                <w:szCs w:val="18"/>
              </w:rPr>
              <w:t>000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Rúpia Indiana</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INR</w:t>
            </w:r>
          </w:p>
        </w:tc>
        <w:tc>
          <w:tcPr>
            <w:tcW w:w="2902" w:type="dxa"/>
            <w:vAlign w:val="bottom"/>
          </w:tcPr>
          <w:p w:rsidR="00E74270" w:rsidRPr="004B208C" w:rsidRDefault="00E74270" w:rsidP="00984B9C">
            <w:pPr>
              <w:pStyle w:val="AppendixBodyText"/>
              <w:jc w:val="right"/>
              <w:rPr>
                <w:rFonts w:ascii="Tahoma" w:hAnsi="Tahoma" w:cs="Tahoma"/>
                <w:color w:val="000000"/>
                <w:sz w:val="18"/>
                <w:szCs w:val="18"/>
              </w:rPr>
            </w:pPr>
            <w:r w:rsidRPr="004B208C">
              <w:rPr>
                <w:rFonts w:ascii="Tahoma" w:hAnsi="Tahoma" w:cs="Tahoma"/>
                <w:sz w:val="18"/>
                <w:szCs w:val="18"/>
              </w:rPr>
              <w:t>12</w:t>
            </w:r>
            <w:r w:rsidR="00984B9C">
              <w:rPr>
                <w:rFonts w:ascii="Tahoma" w:hAnsi="Tahoma" w:cs="Tahoma"/>
                <w:sz w:val="18"/>
                <w:szCs w:val="18"/>
              </w:rPr>
              <w:t>.</w:t>
            </w:r>
            <w:r w:rsidRPr="004B208C">
              <w:rPr>
                <w:rFonts w:ascii="Tahoma" w:hAnsi="Tahoma" w:cs="Tahoma"/>
                <w:sz w:val="18"/>
                <w:szCs w:val="18"/>
              </w:rPr>
              <w:t>500</w:t>
            </w:r>
            <w:r w:rsidR="00984B9C">
              <w:rPr>
                <w:rFonts w:ascii="Tahoma" w:hAnsi="Tahoma" w:cs="Tahoma"/>
                <w:sz w:val="18"/>
                <w:szCs w:val="18"/>
              </w:rPr>
              <w:t>.</w:t>
            </w:r>
            <w:r w:rsidRPr="004B208C">
              <w:rPr>
                <w:rFonts w:ascii="Tahoma" w:hAnsi="Tahoma" w:cs="Tahoma"/>
                <w:sz w:val="18"/>
                <w:szCs w:val="18"/>
              </w:rPr>
              <w:t>000</w:t>
            </w:r>
          </w:p>
        </w:tc>
      </w:tr>
      <w:tr w:rsidR="00E74270" w:rsidRPr="004B208C" w:rsidTr="009869F4">
        <w:trPr>
          <w:trHeight w:val="236"/>
          <w:jc w:val="center"/>
        </w:trPr>
        <w:tc>
          <w:tcPr>
            <w:tcW w:w="1886" w:type="dxa"/>
            <w:vAlign w:val="bottom"/>
          </w:tcPr>
          <w:p w:rsidR="00E74270" w:rsidRPr="004B208C" w:rsidRDefault="00E74270" w:rsidP="00E74270">
            <w:pPr>
              <w:pStyle w:val="AppendixBodyText"/>
              <w:rPr>
                <w:rFonts w:ascii="Tahoma" w:hAnsi="Tahoma" w:cs="Tahoma"/>
                <w:sz w:val="18"/>
                <w:szCs w:val="18"/>
              </w:rPr>
            </w:pPr>
            <w:r w:rsidRPr="004B208C">
              <w:rPr>
                <w:rFonts w:ascii="Tahoma" w:hAnsi="Tahoma" w:cs="Tahoma"/>
                <w:sz w:val="18"/>
                <w:szCs w:val="18"/>
              </w:rPr>
              <w:t>Rublo Russo</w:t>
            </w:r>
          </w:p>
        </w:tc>
        <w:tc>
          <w:tcPr>
            <w:tcW w:w="1233" w:type="dxa"/>
            <w:vAlign w:val="bottom"/>
          </w:tcPr>
          <w:p w:rsidR="00E74270" w:rsidRPr="004B208C" w:rsidRDefault="00E74270" w:rsidP="00E74270">
            <w:pPr>
              <w:pStyle w:val="AppendixBodyText"/>
              <w:jc w:val="center"/>
              <w:rPr>
                <w:rFonts w:ascii="Tahoma" w:hAnsi="Tahoma" w:cs="Tahoma"/>
                <w:sz w:val="18"/>
                <w:szCs w:val="18"/>
              </w:rPr>
            </w:pPr>
            <w:r w:rsidRPr="004B208C">
              <w:rPr>
                <w:rFonts w:ascii="Tahoma" w:hAnsi="Tahoma" w:cs="Tahoma"/>
                <w:sz w:val="18"/>
                <w:szCs w:val="18"/>
              </w:rPr>
              <w:t>RUB</w:t>
            </w:r>
          </w:p>
        </w:tc>
        <w:tc>
          <w:tcPr>
            <w:tcW w:w="2902" w:type="dxa"/>
            <w:vAlign w:val="bottom"/>
          </w:tcPr>
          <w:p w:rsidR="00E74270" w:rsidRPr="004B208C" w:rsidRDefault="00E74270" w:rsidP="00984B9C">
            <w:pPr>
              <w:pStyle w:val="AppendixBodyText"/>
              <w:jc w:val="right"/>
              <w:rPr>
                <w:rFonts w:ascii="Tahoma" w:hAnsi="Tahoma" w:cs="Tahoma"/>
                <w:color w:val="000000"/>
                <w:sz w:val="18"/>
                <w:szCs w:val="18"/>
              </w:rPr>
            </w:pPr>
            <w:r w:rsidRPr="004B208C">
              <w:rPr>
                <w:rFonts w:ascii="Tahoma" w:hAnsi="Tahoma" w:cs="Tahoma"/>
                <w:sz w:val="18"/>
                <w:szCs w:val="18"/>
              </w:rPr>
              <w:t>8</w:t>
            </w:r>
            <w:r w:rsidR="00984B9C">
              <w:rPr>
                <w:rFonts w:ascii="Tahoma" w:hAnsi="Tahoma" w:cs="Tahoma"/>
                <w:sz w:val="18"/>
                <w:szCs w:val="18"/>
              </w:rPr>
              <w:t>.</w:t>
            </w:r>
            <w:r w:rsidRPr="004B208C">
              <w:rPr>
                <w:rFonts w:ascii="Tahoma" w:hAnsi="Tahoma" w:cs="Tahoma"/>
                <w:sz w:val="18"/>
                <w:szCs w:val="18"/>
              </w:rPr>
              <w:t>250</w:t>
            </w:r>
            <w:r w:rsidR="00984B9C">
              <w:rPr>
                <w:rFonts w:ascii="Tahoma" w:hAnsi="Tahoma" w:cs="Tahoma"/>
                <w:sz w:val="18"/>
                <w:szCs w:val="18"/>
              </w:rPr>
              <w:t>.</w:t>
            </w:r>
            <w:r w:rsidRPr="004B208C">
              <w:rPr>
                <w:rFonts w:ascii="Tahoma" w:hAnsi="Tahoma" w:cs="Tahoma"/>
                <w:sz w:val="18"/>
                <w:szCs w:val="18"/>
              </w:rPr>
              <w:t>000</w:t>
            </w:r>
          </w:p>
        </w:tc>
      </w:tr>
    </w:tbl>
    <w:p w:rsidR="00EB3A5F" w:rsidRPr="004B208C" w:rsidRDefault="00EB3A5F" w:rsidP="00EB3A5F">
      <w:pPr>
        <w:jc w:val="both"/>
        <w:rPr>
          <w:rFonts w:cs="Tahoma"/>
        </w:rPr>
      </w:pPr>
    </w:p>
    <w:p w:rsidR="00EB3A5F" w:rsidRPr="004B208C" w:rsidRDefault="00EB3A5F" w:rsidP="00EB3A5F">
      <w:pPr>
        <w:jc w:val="both"/>
        <w:rPr>
          <w:rFonts w:cs="Tahoma"/>
        </w:rPr>
      </w:pPr>
      <w:r w:rsidRPr="004B208C">
        <w:rPr>
          <w:rFonts w:cs="Tahoma"/>
        </w:rP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w:t>
      </w:r>
      <w:r w:rsidR="00172F11">
        <w:rPr>
          <w:rFonts w:cs="Tahoma"/>
        </w:rPr>
        <w:t xml:space="preserve"> </w:t>
      </w:r>
      <w:r w:rsidRPr="004B208C">
        <w:rPr>
          <w:rFonts w:cs="Tahoma"/>
        </w:rPr>
        <w:t>Os incidentes de PRS 24x7 Ilimitado não podem ser convertidos em horas ou</w:t>
      </w:r>
      <w:r w:rsidR="00984B9C">
        <w:rPr>
          <w:rFonts w:cs="Tahoma"/>
        </w:rPr>
        <w:t> </w:t>
      </w:r>
      <w:r w:rsidRPr="004B208C">
        <w:rPr>
          <w:rFonts w:cs="Tahoma"/>
        </w:rPr>
        <w:t xml:space="preserve">incidentes de Suporte para Resolução de Problemas Premier. </w:t>
      </w:r>
    </w:p>
    <w:p w:rsidR="00EB3A5F" w:rsidRPr="004B208C" w:rsidRDefault="00EB3A5F" w:rsidP="00EB3A5F">
      <w:pPr>
        <w:jc w:val="both"/>
        <w:rPr>
          <w:rFonts w:cs="Tahoma"/>
        </w:rPr>
      </w:pPr>
    </w:p>
    <w:p w:rsidR="00EB3A5F" w:rsidRPr="004B208C" w:rsidRDefault="00EB3A5F" w:rsidP="00EB3A5F">
      <w:pPr>
        <w:spacing w:line="276" w:lineRule="auto"/>
        <w:rPr>
          <w:rFonts w:cs="Tahoma"/>
        </w:rPr>
      </w:pPr>
      <w:r w:rsidRPr="004B208C">
        <w:rPr>
          <w:rFonts w:cs="Tahoma"/>
        </w:rPr>
        <w:t>(2) Além disso, os clientes que adquirirem licenças para o PDW e possuem um Contrato de Serviços Premier ativo estão qualificados para incidentes Ilimitados do PRS 24 horas por dia, 7 dias por semana, independentemente de estar inscrito em um SCE ou de seu gasto com SCE.</w:t>
      </w:r>
      <w:r w:rsidR="00172F11">
        <w:rPr>
          <w:rFonts w:cs="Tahoma"/>
        </w:rPr>
        <w:t xml:space="preserve"> </w:t>
      </w:r>
      <w:r w:rsidRPr="004B208C">
        <w:rPr>
          <w:rFonts w:cs="Tahoma"/>
        </w:rPr>
        <w:t xml:space="preserve">Na compra de licenças para o PDW, a Microsoft não concederá aos clientes incidentes com base no gasto de SA real neste produto. Os incidentes de PRS 24x7 Ilimitado não podem ser convertidos em horas ou incidentes de Suporte para Resolução de Problemas Premier. </w:t>
      </w:r>
    </w:p>
    <w:p w:rsidR="00EB3A5F" w:rsidRPr="004B208C" w:rsidRDefault="00EB3A5F" w:rsidP="00EB3A5F">
      <w:pPr>
        <w:jc w:val="both"/>
        <w:rPr>
          <w:rFonts w:cs="Tahoma"/>
        </w:rPr>
      </w:pPr>
    </w:p>
    <w:p w:rsidR="00EB3A5F" w:rsidRPr="004B208C" w:rsidRDefault="00EB3A5F" w:rsidP="00EB3A5F">
      <w:pPr>
        <w:jc w:val="both"/>
        <w:rPr>
          <w:rFonts w:cs="Tahoma"/>
        </w:rPr>
      </w:pPr>
      <w:r w:rsidRPr="004B208C">
        <w:rPr>
          <w:rFonts w:cs="Tahoma"/>
          <w:color w:val="000000"/>
        </w:rP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w:t>
      </w:r>
      <w:r w:rsidR="00984B9C">
        <w:rPr>
          <w:rFonts w:cs="Tahoma"/>
          <w:color w:val="000000"/>
        </w:rPr>
        <w:t> </w:t>
      </w:r>
      <w:r w:rsidRPr="004B208C">
        <w:rPr>
          <w:rFonts w:cs="Tahoma"/>
          <w:color w:val="000000"/>
        </w:rPr>
        <w:t>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w:t>
      </w:r>
      <w:r w:rsidR="00172F11">
        <w:rPr>
          <w:rFonts w:cs="Tahoma"/>
          <w:color w:val="000000"/>
        </w:rPr>
        <w:t xml:space="preserve"> </w:t>
      </w:r>
      <w:r w:rsidRPr="004B208C">
        <w:rPr>
          <w:rFonts w:cs="Tahoma"/>
          <w:color w:val="000000"/>
        </w:rPr>
        <w:t>Consulte a</w:t>
      </w:r>
      <w:r w:rsidR="00984B9C">
        <w:rPr>
          <w:rFonts w:cs="Tahoma"/>
          <w:color w:val="000000"/>
        </w:rPr>
        <w:t> </w:t>
      </w:r>
      <w:r w:rsidRPr="004B208C">
        <w:rPr>
          <w:rFonts w:cs="Tahoma"/>
          <w:color w:val="000000"/>
        </w:rPr>
        <w:t>tabela a seguir:</w:t>
      </w:r>
    </w:p>
    <w:p w:rsidR="00EB3A5F" w:rsidRPr="004B208C" w:rsidRDefault="00EB3A5F" w:rsidP="00EB3A5F">
      <w:pPr>
        <w:jc w:val="both"/>
        <w:rPr>
          <w:rFonts w:cs="Tahoma"/>
        </w:rPr>
      </w:pPr>
    </w:p>
    <w:p w:rsidR="00EB3A5F" w:rsidRPr="004B208C" w:rsidRDefault="00EB3A5F" w:rsidP="00EB3A5F">
      <w:pPr>
        <w:jc w:val="both"/>
        <w:rPr>
          <w:rFonts w:cs="Tahoma"/>
        </w:rPr>
      </w:pPr>
      <w:r w:rsidRPr="004B208C">
        <w:rPr>
          <w:rFonts w:cs="Tahoma"/>
          <w:color w:val="000000"/>
        </w:rPr>
        <w:t>A seguinte tabela se aplica a clientes que possuam um SCE ou tenham licenças para PDW:</w:t>
      </w:r>
    </w:p>
    <w:p w:rsidR="00EB3A5F" w:rsidRPr="004B208C" w:rsidRDefault="00EB3A5F" w:rsidP="00EB3A5F">
      <w:pPr>
        <w:rPr>
          <w:rFonts w:cs="Tahoma"/>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4B208C"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EB3A5F" w:rsidRPr="004B208C" w:rsidRDefault="00EB3A5F" w:rsidP="00892A1D">
            <w:pPr>
              <w:jc w:val="center"/>
              <w:rPr>
                <w:rFonts w:cs="Tahoma"/>
                <w:color w:val="000000"/>
              </w:rPr>
            </w:pPr>
            <w:r w:rsidRPr="004B208C">
              <w:rPr>
                <w:rFonts w:cs="Tahoma"/>
                <w:b/>
                <w:bCs/>
                <w:color w:val="000000"/>
              </w:rPr>
              <w:t>Média de Gasto de SA Anual</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EB3A5F" w:rsidRPr="004B208C" w:rsidRDefault="00EB3A5F" w:rsidP="00892A1D">
            <w:pPr>
              <w:jc w:val="center"/>
              <w:rPr>
                <w:rFonts w:cs="Tahoma"/>
                <w:color w:val="000000"/>
              </w:rPr>
            </w:pPr>
            <w:r w:rsidRPr="004B208C">
              <w:rPr>
                <w:rFonts w:cs="Tahoma"/>
                <w:b/>
                <w:bCs/>
                <w:color w:val="000000"/>
              </w:rPr>
              <w:t>Contatos de suporte permitidos</w:t>
            </w:r>
          </w:p>
        </w:tc>
      </w:tr>
      <w:tr w:rsidR="00EB3A5F" w:rsidRPr="004B208C"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B208C" w:rsidRDefault="00EB3A5F" w:rsidP="00984B9C">
            <w:pPr>
              <w:jc w:val="center"/>
              <w:rPr>
                <w:rFonts w:cs="Tahoma"/>
                <w:color w:val="000000"/>
              </w:rPr>
            </w:pPr>
            <w:r w:rsidRPr="004B208C">
              <w:rPr>
                <w:rFonts w:cs="Tahoma"/>
                <w:color w:val="000000"/>
              </w:rPr>
              <w:t>$250</w:t>
            </w:r>
            <w:r w:rsidR="00984B9C">
              <w:rPr>
                <w:rFonts w:cs="Tahoma"/>
                <w:color w:val="000000"/>
              </w:rPr>
              <w:t>.</w:t>
            </w:r>
            <w:r w:rsidRPr="004B208C">
              <w:rPr>
                <w:rFonts w:cs="Tahoma"/>
                <w:color w:val="000000"/>
              </w:rPr>
              <w:t>000 - $374</w:t>
            </w:r>
            <w:r w:rsidR="00984B9C">
              <w:rPr>
                <w:rFonts w:cs="Tahoma"/>
                <w:color w:val="000000"/>
              </w:rPr>
              <w:t>.</w:t>
            </w:r>
            <w:r w:rsidRPr="004B208C">
              <w:rPr>
                <w:rFonts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B208C" w:rsidRDefault="00EB3A5F" w:rsidP="00892A1D">
            <w:pPr>
              <w:jc w:val="center"/>
              <w:rPr>
                <w:rFonts w:cs="Tahoma"/>
                <w:color w:val="000000"/>
              </w:rPr>
            </w:pPr>
            <w:r w:rsidRPr="004B208C">
              <w:rPr>
                <w:rFonts w:cs="Tahoma"/>
                <w:color w:val="000000"/>
              </w:rPr>
              <w:t>4</w:t>
            </w:r>
          </w:p>
        </w:tc>
      </w:tr>
      <w:tr w:rsidR="00EB3A5F" w:rsidRPr="004B208C"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B208C" w:rsidRDefault="00EB3A5F" w:rsidP="00984B9C">
            <w:pPr>
              <w:jc w:val="center"/>
              <w:rPr>
                <w:rFonts w:cs="Tahoma"/>
              </w:rPr>
            </w:pPr>
            <w:r w:rsidRPr="004B208C">
              <w:rPr>
                <w:rFonts w:cs="Tahoma"/>
              </w:rPr>
              <w:t>$375</w:t>
            </w:r>
            <w:r w:rsidR="00984B9C">
              <w:rPr>
                <w:rFonts w:cs="Tahoma"/>
              </w:rPr>
              <w:t>.</w:t>
            </w:r>
            <w:r w:rsidRPr="004B208C">
              <w:rPr>
                <w:rFonts w:cs="Tahoma"/>
              </w:rPr>
              <w:t>000 - $499</w:t>
            </w:r>
            <w:r w:rsidR="00984B9C">
              <w:rPr>
                <w:rFonts w:cs="Tahoma"/>
              </w:rPr>
              <w:t>.</w:t>
            </w:r>
            <w:r w:rsidRPr="004B208C">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B208C" w:rsidRDefault="00EB3A5F" w:rsidP="00892A1D">
            <w:pPr>
              <w:jc w:val="center"/>
              <w:rPr>
                <w:rFonts w:cs="Tahoma"/>
              </w:rPr>
            </w:pPr>
            <w:r w:rsidRPr="004B208C">
              <w:rPr>
                <w:rFonts w:cs="Tahoma"/>
              </w:rPr>
              <w:t>5</w:t>
            </w:r>
          </w:p>
        </w:tc>
      </w:tr>
      <w:tr w:rsidR="00EB3A5F" w:rsidRPr="004B208C"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B208C" w:rsidRDefault="00EB3A5F" w:rsidP="00984B9C">
            <w:pPr>
              <w:jc w:val="center"/>
              <w:rPr>
                <w:rFonts w:cs="Tahoma"/>
              </w:rPr>
            </w:pPr>
            <w:r w:rsidRPr="004B208C">
              <w:rPr>
                <w:rFonts w:cs="Tahoma"/>
              </w:rPr>
              <w:t>$500</w:t>
            </w:r>
            <w:r w:rsidR="00984B9C">
              <w:rPr>
                <w:rFonts w:cs="Tahoma"/>
              </w:rPr>
              <w:t>.</w:t>
            </w:r>
            <w:r w:rsidRPr="004B208C">
              <w:rPr>
                <w:rFonts w:cs="Tahoma"/>
              </w:rPr>
              <w:t>000 - $624</w:t>
            </w:r>
            <w:r w:rsidR="00984B9C">
              <w:rPr>
                <w:rFonts w:cs="Tahoma"/>
              </w:rPr>
              <w:t>.</w:t>
            </w:r>
            <w:r w:rsidRPr="004B208C">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B208C" w:rsidRDefault="00EB3A5F" w:rsidP="00892A1D">
            <w:pPr>
              <w:jc w:val="center"/>
              <w:rPr>
                <w:rFonts w:cs="Tahoma"/>
              </w:rPr>
            </w:pPr>
            <w:r w:rsidRPr="004B208C">
              <w:rPr>
                <w:rFonts w:cs="Tahoma"/>
              </w:rPr>
              <w:t>6</w:t>
            </w:r>
          </w:p>
        </w:tc>
      </w:tr>
      <w:tr w:rsidR="00EB3A5F" w:rsidRPr="004B208C"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B208C" w:rsidRDefault="00EB3A5F" w:rsidP="00984B9C">
            <w:pPr>
              <w:jc w:val="center"/>
              <w:rPr>
                <w:rFonts w:cs="Tahoma"/>
              </w:rPr>
            </w:pPr>
            <w:r w:rsidRPr="004B208C">
              <w:rPr>
                <w:rFonts w:cs="Tahoma"/>
              </w:rPr>
              <w:t>$625</w:t>
            </w:r>
            <w:r w:rsidR="00984B9C">
              <w:rPr>
                <w:rFonts w:cs="Tahoma"/>
              </w:rPr>
              <w:t>.</w:t>
            </w:r>
            <w:r w:rsidRPr="004B208C">
              <w:rPr>
                <w:rFonts w:cs="Tahoma"/>
              </w:rPr>
              <w:t>000 - $749</w:t>
            </w:r>
            <w:r w:rsidR="00984B9C">
              <w:rPr>
                <w:rFonts w:cs="Tahoma"/>
              </w:rPr>
              <w:t>.</w:t>
            </w:r>
            <w:r w:rsidRPr="004B208C">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B208C" w:rsidRDefault="00EB3A5F" w:rsidP="00892A1D">
            <w:pPr>
              <w:jc w:val="center"/>
              <w:rPr>
                <w:rFonts w:cs="Tahoma"/>
              </w:rPr>
            </w:pPr>
            <w:r w:rsidRPr="004B208C">
              <w:rPr>
                <w:rFonts w:cs="Tahoma"/>
              </w:rPr>
              <w:t>7</w:t>
            </w:r>
          </w:p>
        </w:tc>
      </w:tr>
      <w:tr w:rsidR="00EB3A5F" w:rsidRPr="004B208C"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4B208C" w:rsidRDefault="00EB3A5F" w:rsidP="00984B9C">
            <w:pPr>
              <w:jc w:val="center"/>
              <w:rPr>
                <w:rFonts w:cs="Tahoma"/>
              </w:rPr>
            </w:pPr>
            <w:r w:rsidRPr="004B208C">
              <w:rPr>
                <w:rFonts w:cs="Tahoma"/>
              </w:rPr>
              <w:t>$750</w:t>
            </w:r>
            <w:r w:rsidR="00984B9C">
              <w:rPr>
                <w:rFonts w:cs="Tahoma"/>
              </w:rPr>
              <w:t>.</w:t>
            </w:r>
            <w:r w:rsidRPr="004B208C">
              <w:rPr>
                <w:rFonts w:cs="Tahoma"/>
              </w:rPr>
              <w:t>000 - $874</w:t>
            </w:r>
            <w:r w:rsidR="00984B9C">
              <w:rPr>
                <w:rFonts w:cs="Tahoma"/>
              </w:rPr>
              <w:t>.</w:t>
            </w:r>
            <w:r w:rsidRPr="004B208C">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4B208C" w:rsidRDefault="00EB3A5F" w:rsidP="00892A1D">
            <w:pPr>
              <w:jc w:val="center"/>
              <w:rPr>
                <w:rFonts w:cs="Tahoma"/>
              </w:rPr>
            </w:pPr>
            <w:r w:rsidRPr="004B208C">
              <w:rPr>
                <w:rFonts w:cs="Tahoma"/>
              </w:rPr>
              <w:t>8</w:t>
            </w:r>
          </w:p>
        </w:tc>
      </w:tr>
    </w:tbl>
    <w:p w:rsidR="00EB3A5F" w:rsidRPr="004B208C" w:rsidRDefault="00EB3A5F" w:rsidP="00EB3A5F">
      <w:pPr>
        <w:jc w:val="both"/>
        <w:rPr>
          <w:rFonts w:cs="Tahoma"/>
        </w:rPr>
      </w:pPr>
    </w:p>
    <w:p w:rsidR="00EB3A5F" w:rsidRPr="004B208C" w:rsidRDefault="00EB3A5F" w:rsidP="00EB3A5F">
      <w:pPr>
        <w:jc w:val="both"/>
        <w:rPr>
          <w:rFonts w:cs="Tahoma"/>
        </w:rPr>
      </w:pPr>
      <w:r w:rsidRPr="004B208C">
        <w:rPr>
          <w:rFonts w:cs="Tahoma"/>
        </w:rPr>
        <w:t>As solicitações de suporte devem ser iniciadas via telefone ou Web por um contato designado do cliente e seguir o</w:t>
      </w:r>
      <w:r w:rsidR="007D3B3A">
        <w:rPr>
          <w:rFonts w:cs="Tahoma"/>
        </w:rPr>
        <w:t> </w:t>
      </w:r>
      <w:r w:rsidRPr="004B208C">
        <w:rPr>
          <w:rFonts w:cs="Tahoma"/>
        </w:rPr>
        <w:t>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w:t>
      </w:r>
      <w:r w:rsidR="007D3B3A">
        <w:rPr>
          <w:rFonts w:cs="Tahoma"/>
        </w:rPr>
        <w:t> </w:t>
      </w:r>
      <w:r w:rsidRPr="004B208C">
        <w:rPr>
          <w:rFonts w:cs="Tahoma"/>
        </w:rPr>
        <w:t xml:space="preserve">incidente será contabilizado de acordo com o Contrato de Serviços Premier do cliente. </w:t>
      </w:r>
    </w:p>
    <w:p w:rsidR="00023FE7" w:rsidRPr="00984B9C" w:rsidRDefault="00023FE7" w:rsidP="00F42FB8">
      <w:pPr>
        <w:pStyle w:val="Heading3"/>
        <w:rPr>
          <w:rFonts w:ascii="Tahoma" w:hAnsi="Tahoma" w:cs="Tahoma"/>
          <w:b w:val="0"/>
          <w:sz w:val="18"/>
          <w:szCs w:val="18"/>
        </w:rPr>
      </w:pPr>
    </w:p>
    <w:p w:rsidR="00620185" w:rsidRPr="004B208C" w:rsidRDefault="00620185" w:rsidP="00F42FB8">
      <w:pPr>
        <w:pStyle w:val="Heading3"/>
        <w:rPr>
          <w:rFonts w:ascii="Tahoma" w:hAnsi="Tahoma" w:cs="Tahoma"/>
        </w:rPr>
      </w:pPr>
      <w:bookmarkStart w:id="735" w:name="_Toc336338238"/>
      <w:bookmarkStart w:id="736" w:name="_Toc370981353"/>
      <w:r w:rsidRPr="004B208C">
        <w:rPr>
          <w:rFonts w:ascii="Tahoma" w:hAnsi="Tahoma" w:cs="Tahoma"/>
          <w:color w:val="000000"/>
          <w:sz w:val="24"/>
          <w:szCs w:val="18"/>
        </w:rPr>
        <w:t>System Center Advisor</w:t>
      </w:r>
      <w:bookmarkEnd w:id="735"/>
      <w:bookmarkEnd w:id="736"/>
    </w:p>
    <w:p w:rsidR="00620185" w:rsidRPr="004B208C" w:rsidRDefault="00620185" w:rsidP="00F42FB8">
      <w:pPr>
        <w:rPr>
          <w:rFonts w:cs="Tahoma"/>
        </w:rPr>
      </w:pPr>
    </w:p>
    <w:p w:rsidR="001C1727" w:rsidRPr="004B208C" w:rsidRDefault="00F56FC9">
      <w:pPr>
        <w:rPr>
          <w:rFonts w:cs="Tahoma"/>
        </w:rPr>
      </w:pPr>
      <w:r w:rsidRPr="004B208C">
        <w:rPr>
          <w:rFonts w:cs="Tahoma"/>
          <w:szCs w:val="18"/>
        </w:rPr>
        <w:t xml:space="preserve">Os clientes com cobertura de Software Assurance ativa para licenças de software para as edições do Windows Server, SQL Server, Exchange Server e SharePoint Server identificadas na tabela a seguir estão qualificados para usar o System Center Advisor conforme definido nos Direitos de Uso do Produto. </w:t>
      </w:r>
    </w:p>
    <w:p w:rsidR="003479E5" w:rsidRDefault="003479E5" w:rsidP="00792D1E">
      <w:pPr>
        <w:outlineLvl w:val="2"/>
        <w:rPr>
          <w:rFonts w:cs="Tahoma"/>
        </w:rPr>
      </w:pPr>
    </w:p>
    <w:p w:rsidR="00984B9C" w:rsidRDefault="00984B9C" w:rsidP="00792D1E">
      <w:pPr>
        <w:outlineLvl w:val="2"/>
        <w:rPr>
          <w:rFonts w:cs="Tahoma"/>
        </w:rPr>
      </w:pPr>
    </w:p>
    <w:p w:rsidR="00984B9C" w:rsidRPr="004B208C" w:rsidRDefault="00984B9C"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4B208C" w:rsidTr="00984B9C">
        <w:tc>
          <w:tcPr>
            <w:tcW w:w="3760" w:type="dxa"/>
            <w:gridSpan w:val="2"/>
            <w:shd w:val="clear" w:color="auto" w:fill="FABF8F"/>
          </w:tcPr>
          <w:p w:rsidR="00A13BC3" w:rsidRPr="004B208C" w:rsidRDefault="00A13BC3" w:rsidP="007E466C">
            <w:pPr>
              <w:spacing w:before="120" w:after="120" w:line="276" w:lineRule="auto"/>
              <w:jc w:val="center"/>
              <w:rPr>
                <w:rFonts w:cs="Tahoma"/>
                <w:b/>
                <w:bCs/>
                <w:color w:val="000000"/>
                <w:szCs w:val="18"/>
                <w:lang w:eastAsia="ja-JP"/>
              </w:rPr>
            </w:pPr>
            <w:r w:rsidRPr="004B208C">
              <w:rPr>
                <w:rFonts w:cs="Tahoma"/>
                <w:b/>
                <w:bCs/>
                <w:color w:val="000000"/>
                <w:szCs w:val="18"/>
              </w:rPr>
              <w:lastRenderedPageBreak/>
              <w:t>Software* para Servidores Qualificado</w:t>
            </w:r>
          </w:p>
        </w:tc>
        <w:tc>
          <w:tcPr>
            <w:tcW w:w="1774" w:type="dxa"/>
            <w:shd w:val="clear" w:color="auto" w:fill="FABF8F"/>
          </w:tcPr>
          <w:p w:rsidR="00A13BC3" w:rsidRPr="004B208C" w:rsidRDefault="00A13BC3" w:rsidP="003479E5">
            <w:pPr>
              <w:spacing w:after="200" w:line="276" w:lineRule="auto"/>
              <w:jc w:val="center"/>
              <w:rPr>
                <w:rFonts w:cs="Tahoma"/>
                <w:b/>
                <w:bCs/>
                <w:color w:val="000000"/>
                <w:szCs w:val="18"/>
                <w:lang w:eastAsia="ja-JP"/>
              </w:rPr>
            </w:pPr>
          </w:p>
        </w:tc>
        <w:tc>
          <w:tcPr>
            <w:tcW w:w="1830" w:type="dxa"/>
            <w:shd w:val="clear" w:color="auto" w:fill="FABF8F"/>
          </w:tcPr>
          <w:p w:rsidR="00A13BC3" w:rsidRPr="004B208C" w:rsidRDefault="00A13BC3" w:rsidP="003479E5">
            <w:pPr>
              <w:spacing w:after="200" w:line="276" w:lineRule="auto"/>
              <w:jc w:val="center"/>
              <w:rPr>
                <w:rFonts w:cs="Tahoma"/>
                <w:b/>
                <w:bCs/>
                <w:color w:val="000000"/>
                <w:szCs w:val="18"/>
                <w:lang w:eastAsia="ja-JP"/>
              </w:rPr>
            </w:pPr>
          </w:p>
        </w:tc>
        <w:tc>
          <w:tcPr>
            <w:tcW w:w="1474" w:type="dxa"/>
            <w:shd w:val="clear" w:color="auto" w:fill="FABF8F"/>
          </w:tcPr>
          <w:p w:rsidR="00A13BC3" w:rsidRPr="004B208C" w:rsidRDefault="00A13BC3" w:rsidP="003479E5">
            <w:pPr>
              <w:spacing w:after="200" w:line="276" w:lineRule="auto"/>
              <w:jc w:val="center"/>
              <w:rPr>
                <w:rFonts w:cs="Tahoma"/>
                <w:b/>
                <w:bCs/>
                <w:color w:val="000000"/>
                <w:szCs w:val="18"/>
                <w:lang w:eastAsia="ja-JP"/>
              </w:rPr>
            </w:pPr>
          </w:p>
        </w:tc>
      </w:tr>
      <w:tr w:rsidR="00A13BC3" w:rsidRPr="004B208C" w:rsidTr="00984B9C">
        <w:tc>
          <w:tcPr>
            <w:tcW w:w="1912" w:type="dxa"/>
            <w:shd w:val="clear" w:color="auto" w:fill="FABF8F"/>
            <w:vAlign w:val="center"/>
          </w:tcPr>
          <w:p w:rsidR="00A13BC3" w:rsidRPr="004B208C" w:rsidRDefault="00A13BC3" w:rsidP="007E466C">
            <w:pPr>
              <w:spacing w:before="120" w:after="120" w:line="276" w:lineRule="auto"/>
              <w:jc w:val="center"/>
              <w:rPr>
                <w:rFonts w:cs="Tahoma"/>
                <w:color w:val="000000"/>
                <w:szCs w:val="18"/>
                <w:lang w:eastAsia="ja-JP"/>
              </w:rPr>
            </w:pPr>
            <w:r w:rsidRPr="004B208C">
              <w:rPr>
                <w:rFonts w:cs="Tahoma"/>
                <w:b/>
                <w:bCs/>
                <w:color w:val="000000"/>
                <w:szCs w:val="18"/>
              </w:rPr>
              <w:t>Windows Server</w:t>
            </w:r>
          </w:p>
        </w:tc>
        <w:tc>
          <w:tcPr>
            <w:tcW w:w="1848" w:type="dxa"/>
            <w:shd w:val="clear" w:color="auto" w:fill="FABF8F"/>
            <w:vAlign w:val="center"/>
          </w:tcPr>
          <w:p w:rsidR="00A13BC3" w:rsidRPr="004B208C" w:rsidRDefault="00A13BC3" w:rsidP="007E466C">
            <w:pPr>
              <w:spacing w:before="120" w:after="120" w:line="276" w:lineRule="auto"/>
              <w:jc w:val="center"/>
              <w:rPr>
                <w:rFonts w:cs="Tahoma"/>
                <w:color w:val="000000"/>
                <w:szCs w:val="18"/>
                <w:lang w:eastAsia="ja-JP"/>
              </w:rPr>
            </w:pPr>
            <w:r w:rsidRPr="004B208C">
              <w:rPr>
                <w:rFonts w:cs="Tahoma"/>
                <w:b/>
                <w:bCs/>
                <w:color w:val="000000"/>
                <w:szCs w:val="18"/>
              </w:rPr>
              <w:t>SQL Server</w:t>
            </w:r>
          </w:p>
        </w:tc>
        <w:tc>
          <w:tcPr>
            <w:tcW w:w="1774" w:type="dxa"/>
            <w:shd w:val="clear" w:color="auto" w:fill="FABF8F"/>
            <w:vAlign w:val="center"/>
          </w:tcPr>
          <w:p w:rsidR="00A13BC3" w:rsidRPr="004B208C" w:rsidRDefault="00A13BC3" w:rsidP="007E466C">
            <w:pPr>
              <w:spacing w:before="120" w:after="120" w:line="276" w:lineRule="auto"/>
              <w:jc w:val="center"/>
              <w:rPr>
                <w:rFonts w:cs="Tahoma"/>
                <w:b/>
                <w:bCs/>
                <w:color w:val="000000"/>
                <w:szCs w:val="18"/>
                <w:lang w:eastAsia="ja-JP"/>
              </w:rPr>
            </w:pPr>
            <w:r w:rsidRPr="004B208C">
              <w:rPr>
                <w:rFonts w:cs="Tahoma"/>
                <w:b/>
                <w:bCs/>
                <w:color w:val="000000"/>
                <w:szCs w:val="18"/>
              </w:rPr>
              <w:t>Exchange Server</w:t>
            </w:r>
          </w:p>
        </w:tc>
        <w:tc>
          <w:tcPr>
            <w:tcW w:w="1830" w:type="dxa"/>
            <w:shd w:val="clear" w:color="auto" w:fill="FABF8F"/>
            <w:vAlign w:val="center"/>
          </w:tcPr>
          <w:p w:rsidR="00A13BC3" w:rsidRPr="004B208C" w:rsidRDefault="00A13BC3" w:rsidP="007E466C">
            <w:pPr>
              <w:spacing w:before="120" w:after="120" w:line="276" w:lineRule="auto"/>
              <w:jc w:val="center"/>
              <w:rPr>
                <w:rFonts w:cs="Tahoma"/>
                <w:b/>
                <w:bCs/>
                <w:color w:val="000000"/>
                <w:szCs w:val="18"/>
                <w:lang w:eastAsia="ja-JP"/>
              </w:rPr>
            </w:pPr>
            <w:r w:rsidRPr="004B208C">
              <w:rPr>
                <w:rFonts w:cs="Tahoma"/>
                <w:b/>
                <w:bCs/>
                <w:color w:val="000000"/>
                <w:szCs w:val="18"/>
              </w:rPr>
              <w:t>SharePoint Server</w:t>
            </w:r>
          </w:p>
        </w:tc>
        <w:tc>
          <w:tcPr>
            <w:tcW w:w="1474" w:type="dxa"/>
            <w:shd w:val="clear" w:color="auto" w:fill="FABF8F"/>
            <w:vAlign w:val="center"/>
          </w:tcPr>
          <w:p w:rsidR="00A13BC3" w:rsidRPr="004B208C" w:rsidRDefault="00A13BC3" w:rsidP="007E466C">
            <w:pPr>
              <w:spacing w:before="120" w:after="120" w:line="276" w:lineRule="auto"/>
              <w:jc w:val="center"/>
              <w:rPr>
                <w:rFonts w:cs="Tahoma"/>
                <w:b/>
                <w:bCs/>
                <w:color w:val="000000"/>
                <w:szCs w:val="18"/>
                <w:lang w:eastAsia="ja-JP"/>
              </w:rPr>
            </w:pPr>
            <w:r w:rsidRPr="004B208C">
              <w:rPr>
                <w:rFonts w:cs="Tahoma"/>
                <w:b/>
                <w:bCs/>
                <w:color w:val="000000"/>
                <w:szCs w:val="18"/>
              </w:rPr>
              <w:t>Lync Server</w:t>
            </w:r>
          </w:p>
        </w:tc>
      </w:tr>
      <w:tr w:rsidR="00A13BC3" w:rsidRPr="004B208C" w:rsidTr="00984B9C">
        <w:tc>
          <w:tcPr>
            <w:tcW w:w="1912"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Windows Server Datacenter</w:t>
            </w:r>
          </w:p>
        </w:tc>
        <w:tc>
          <w:tcPr>
            <w:tcW w:w="1848"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 xml:space="preserve">SQL Server Parallel Data Warehouse </w:t>
            </w:r>
          </w:p>
        </w:tc>
        <w:tc>
          <w:tcPr>
            <w:tcW w:w="1774"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Exchange Small Business Server</w:t>
            </w:r>
          </w:p>
        </w:tc>
        <w:tc>
          <w:tcPr>
            <w:tcW w:w="1830"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SharePoint Server Enterprise para Sites da Internet</w:t>
            </w:r>
          </w:p>
        </w:tc>
        <w:tc>
          <w:tcPr>
            <w:tcW w:w="1474"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Lync Server 2010 Enterprise Edition</w:t>
            </w:r>
          </w:p>
        </w:tc>
      </w:tr>
      <w:tr w:rsidR="00A13BC3" w:rsidRPr="004B208C" w:rsidTr="00984B9C">
        <w:tc>
          <w:tcPr>
            <w:tcW w:w="1912" w:type="dxa"/>
          </w:tcPr>
          <w:p w:rsidR="00A13BC3" w:rsidRPr="004B208C" w:rsidRDefault="00A13BC3" w:rsidP="003479E5">
            <w:pPr>
              <w:spacing w:after="200" w:line="276" w:lineRule="auto"/>
              <w:jc w:val="center"/>
              <w:rPr>
                <w:rFonts w:cs="Tahoma"/>
                <w:szCs w:val="18"/>
              </w:rPr>
            </w:pPr>
            <w:r w:rsidRPr="004B208C">
              <w:rPr>
                <w:rFonts w:cs="Tahoma"/>
                <w:color w:val="000000"/>
                <w:szCs w:val="18"/>
              </w:rPr>
              <w:t>Windows Server Enterprise</w:t>
            </w:r>
          </w:p>
        </w:tc>
        <w:tc>
          <w:tcPr>
            <w:tcW w:w="1848" w:type="dxa"/>
          </w:tcPr>
          <w:p w:rsidR="00A13BC3" w:rsidRPr="004B208C" w:rsidRDefault="00A13BC3" w:rsidP="003479E5">
            <w:pPr>
              <w:spacing w:after="200" w:line="276" w:lineRule="auto"/>
              <w:jc w:val="center"/>
              <w:rPr>
                <w:rFonts w:cs="Tahoma"/>
                <w:szCs w:val="18"/>
                <w:lang w:eastAsia="ja-JP"/>
              </w:rPr>
            </w:pPr>
            <w:r w:rsidRPr="004B208C">
              <w:rPr>
                <w:rFonts w:cs="Tahoma"/>
                <w:color w:val="000000"/>
                <w:szCs w:val="18"/>
              </w:rPr>
              <w:t>SQL Server Datacenter</w:t>
            </w:r>
          </w:p>
        </w:tc>
        <w:tc>
          <w:tcPr>
            <w:tcW w:w="1774"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Exchange Server Enterprise</w:t>
            </w:r>
          </w:p>
        </w:tc>
        <w:tc>
          <w:tcPr>
            <w:tcW w:w="1830"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SharePoint Server Standard para Sites de Internet</w:t>
            </w:r>
          </w:p>
        </w:tc>
        <w:tc>
          <w:tcPr>
            <w:tcW w:w="1474"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Lync Server 2010 Standard Edition</w:t>
            </w:r>
          </w:p>
        </w:tc>
      </w:tr>
      <w:tr w:rsidR="00A13BC3" w:rsidRPr="004B208C" w:rsidTr="00984B9C">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color w:val="000000"/>
                <w:szCs w:val="18"/>
              </w:rPr>
              <w:t>Windows Server Standard</w:t>
            </w:r>
          </w:p>
        </w:tc>
        <w:tc>
          <w:tcPr>
            <w:tcW w:w="1848" w:type="dxa"/>
          </w:tcPr>
          <w:p w:rsidR="00A13BC3" w:rsidRPr="004B208C" w:rsidRDefault="00A13BC3" w:rsidP="003479E5">
            <w:pPr>
              <w:spacing w:after="200" w:line="276" w:lineRule="auto"/>
              <w:jc w:val="center"/>
              <w:rPr>
                <w:rFonts w:cs="Tahoma"/>
                <w:szCs w:val="18"/>
                <w:lang w:eastAsia="ja-JP"/>
              </w:rPr>
            </w:pPr>
            <w:r w:rsidRPr="004B208C">
              <w:rPr>
                <w:rFonts w:cs="Tahoma"/>
                <w:szCs w:val="18"/>
              </w:rPr>
              <w:t>SQL Server Enterprise</w:t>
            </w:r>
          </w:p>
        </w:tc>
        <w:tc>
          <w:tcPr>
            <w:tcW w:w="1774"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Exchange Server Standard</w:t>
            </w:r>
          </w:p>
        </w:tc>
        <w:tc>
          <w:tcPr>
            <w:tcW w:w="1830" w:type="dxa"/>
          </w:tcPr>
          <w:p w:rsidR="00A13BC3" w:rsidRPr="004B208C" w:rsidRDefault="00A13BC3" w:rsidP="003479E5">
            <w:pPr>
              <w:spacing w:after="200" w:line="276" w:lineRule="auto"/>
              <w:jc w:val="center"/>
              <w:rPr>
                <w:rFonts w:cs="Tahoma"/>
                <w:color w:val="000000"/>
                <w:szCs w:val="18"/>
                <w:lang w:eastAsia="ja-JP"/>
              </w:rPr>
            </w:pPr>
            <w:r w:rsidRPr="004B208C">
              <w:rPr>
                <w:rFonts w:cs="Tahoma"/>
                <w:color w:val="000000"/>
                <w:szCs w:val="18"/>
              </w:rPr>
              <w:t>SharePoint Server</w:t>
            </w:r>
          </w:p>
        </w:tc>
        <w:tc>
          <w:tcPr>
            <w:tcW w:w="1474" w:type="dxa"/>
          </w:tcPr>
          <w:p w:rsidR="00A13BC3" w:rsidRPr="004B208C" w:rsidRDefault="00A13BC3" w:rsidP="003479E5">
            <w:pPr>
              <w:spacing w:after="200" w:line="276" w:lineRule="auto"/>
              <w:jc w:val="center"/>
              <w:rPr>
                <w:rFonts w:cs="Tahoma"/>
                <w:color w:val="000000"/>
                <w:szCs w:val="18"/>
                <w:lang w:eastAsia="ja-JP"/>
              </w:rPr>
            </w:pPr>
          </w:p>
        </w:tc>
      </w:tr>
      <w:tr w:rsidR="00A13BC3" w:rsidRPr="004B208C" w:rsidTr="00984B9C">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szCs w:val="18"/>
              </w:rPr>
              <w:t>Complemento do Windows Small Business Server Premium</w:t>
            </w:r>
          </w:p>
        </w:tc>
        <w:tc>
          <w:tcPr>
            <w:tcW w:w="1848" w:type="dxa"/>
          </w:tcPr>
          <w:p w:rsidR="00A13BC3" w:rsidRPr="004B208C" w:rsidRDefault="00A13BC3" w:rsidP="003479E5">
            <w:pPr>
              <w:spacing w:after="200" w:line="276" w:lineRule="auto"/>
              <w:jc w:val="center"/>
              <w:rPr>
                <w:rFonts w:cs="Tahoma"/>
                <w:szCs w:val="18"/>
                <w:lang w:eastAsia="ja-JP"/>
              </w:rPr>
            </w:pPr>
            <w:r w:rsidRPr="004B208C">
              <w:rPr>
                <w:rFonts w:cs="Tahoma"/>
                <w:szCs w:val="18"/>
              </w:rPr>
              <w:t>SQL Server Standard</w:t>
            </w:r>
          </w:p>
        </w:tc>
        <w:tc>
          <w:tcPr>
            <w:tcW w:w="1774" w:type="dxa"/>
          </w:tcPr>
          <w:p w:rsidR="00A13BC3" w:rsidRPr="004B208C" w:rsidRDefault="00A13BC3" w:rsidP="003479E5">
            <w:pPr>
              <w:spacing w:after="200" w:line="276" w:lineRule="auto"/>
              <w:jc w:val="center"/>
              <w:rPr>
                <w:rFonts w:cs="Tahoma"/>
                <w:szCs w:val="18"/>
                <w:lang w:eastAsia="ja-JP"/>
              </w:rPr>
            </w:pPr>
          </w:p>
        </w:tc>
        <w:tc>
          <w:tcPr>
            <w:tcW w:w="1830" w:type="dxa"/>
          </w:tcPr>
          <w:p w:rsidR="00A13BC3" w:rsidRPr="004B208C" w:rsidRDefault="00A13BC3" w:rsidP="003479E5">
            <w:pPr>
              <w:spacing w:after="200" w:line="276" w:lineRule="auto"/>
              <w:jc w:val="center"/>
              <w:rPr>
                <w:rFonts w:cs="Tahoma"/>
                <w:szCs w:val="18"/>
                <w:lang w:eastAsia="ja-JP"/>
              </w:rPr>
            </w:pPr>
          </w:p>
        </w:tc>
        <w:tc>
          <w:tcPr>
            <w:tcW w:w="1474" w:type="dxa"/>
          </w:tcPr>
          <w:p w:rsidR="00A13BC3" w:rsidRPr="004B208C" w:rsidRDefault="00A13BC3" w:rsidP="003479E5">
            <w:pPr>
              <w:spacing w:after="200" w:line="276" w:lineRule="auto"/>
              <w:jc w:val="center"/>
              <w:rPr>
                <w:rFonts w:cs="Tahoma"/>
                <w:szCs w:val="18"/>
                <w:lang w:eastAsia="ja-JP"/>
              </w:rPr>
            </w:pPr>
          </w:p>
        </w:tc>
      </w:tr>
      <w:tr w:rsidR="00A13BC3" w:rsidRPr="004B208C" w:rsidTr="00984B9C">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szCs w:val="18"/>
              </w:rPr>
              <w:t>Windows Small Business Server Standard</w:t>
            </w:r>
          </w:p>
        </w:tc>
        <w:tc>
          <w:tcPr>
            <w:tcW w:w="1848" w:type="dxa"/>
          </w:tcPr>
          <w:p w:rsidR="00A13BC3" w:rsidRPr="004B208C" w:rsidRDefault="00A13BC3" w:rsidP="003479E5">
            <w:pPr>
              <w:spacing w:after="200" w:line="276" w:lineRule="auto"/>
              <w:jc w:val="center"/>
              <w:rPr>
                <w:rFonts w:cs="Tahoma"/>
                <w:szCs w:val="18"/>
                <w:lang w:eastAsia="ja-JP"/>
              </w:rPr>
            </w:pPr>
            <w:r w:rsidRPr="004B208C">
              <w:rPr>
                <w:rFonts w:cs="Tahoma"/>
                <w:szCs w:val="18"/>
              </w:rPr>
              <w:t>SQL Server Workgroup</w:t>
            </w:r>
          </w:p>
        </w:tc>
        <w:tc>
          <w:tcPr>
            <w:tcW w:w="1774" w:type="dxa"/>
          </w:tcPr>
          <w:p w:rsidR="00A13BC3" w:rsidRPr="004B208C" w:rsidRDefault="00A13BC3" w:rsidP="003479E5">
            <w:pPr>
              <w:spacing w:after="200" w:line="276" w:lineRule="auto"/>
              <w:jc w:val="center"/>
              <w:rPr>
                <w:rFonts w:cs="Tahoma"/>
                <w:szCs w:val="18"/>
                <w:lang w:eastAsia="ja-JP"/>
              </w:rPr>
            </w:pPr>
          </w:p>
        </w:tc>
        <w:tc>
          <w:tcPr>
            <w:tcW w:w="1830" w:type="dxa"/>
          </w:tcPr>
          <w:p w:rsidR="00A13BC3" w:rsidRPr="004B208C" w:rsidRDefault="00A13BC3" w:rsidP="003479E5">
            <w:pPr>
              <w:spacing w:after="200" w:line="276" w:lineRule="auto"/>
              <w:jc w:val="center"/>
              <w:rPr>
                <w:rFonts w:cs="Tahoma"/>
                <w:szCs w:val="18"/>
                <w:lang w:eastAsia="ja-JP"/>
              </w:rPr>
            </w:pPr>
          </w:p>
        </w:tc>
        <w:tc>
          <w:tcPr>
            <w:tcW w:w="1474" w:type="dxa"/>
          </w:tcPr>
          <w:p w:rsidR="00A13BC3" w:rsidRPr="004B208C" w:rsidRDefault="00A13BC3" w:rsidP="003479E5">
            <w:pPr>
              <w:spacing w:after="200" w:line="276" w:lineRule="auto"/>
              <w:jc w:val="center"/>
              <w:rPr>
                <w:rFonts w:cs="Tahoma"/>
                <w:szCs w:val="18"/>
                <w:lang w:eastAsia="ja-JP"/>
              </w:rPr>
            </w:pPr>
          </w:p>
        </w:tc>
      </w:tr>
      <w:tr w:rsidR="00A13BC3" w:rsidRPr="004B208C" w:rsidTr="00984B9C">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szCs w:val="18"/>
              </w:rPr>
              <w:t>Windows Small Business Server Essentials</w:t>
            </w:r>
          </w:p>
        </w:tc>
        <w:tc>
          <w:tcPr>
            <w:tcW w:w="1848" w:type="dxa"/>
          </w:tcPr>
          <w:p w:rsidR="00A13BC3" w:rsidRPr="004B208C" w:rsidRDefault="00A13BC3" w:rsidP="003479E5">
            <w:pPr>
              <w:spacing w:after="200" w:line="276" w:lineRule="auto"/>
              <w:jc w:val="center"/>
              <w:rPr>
                <w:rFonts w:cs="Tahoma"/>
                <w:szCs w:val="18"/>
                <w:lang w:eastAsia="ja-JP"/>
              </w:rPr>
            </w:pPr>
            <w:r w:rsidRPr="004B208C">
              <w:rPr>
                <w:rFonts w:cs="Tahoma"/>
                <w:szCs w:val="18"/>
              </w:rPr>
              <w:t>SQL Server Small Business</w:t>
            </w:r>
          </w:p>
        </w:tc>
        <w:tc>
          <w:tcPr>
            <w:tcW w:w="1774" w:type="dxa"/>
          </w:tcPr>
          <w:p w:rsidR="00A13BC3" w:rsidRPr="004B208C" w:rsidRDefault="00A13BC3" w:rsidP="003479E5">
            <w:pPr>
              <w:spacing w:after="200" w:line="276" w:lineRule="auto"/>
              <w:jc w:val="center"/>
              <w:rPr>
                <w:rFonts w:cs="Tahoma"/>
                <w:szCs w:val="18"/>
                <w:lang w:eastAsia="ja-JP"/>
              </w:rPr>
            </w:pPr>
          </w:p>
        </w:tc>
        <w:tc>
          <w:tcPr>
            <w:tcW w:w="1830" w:type="dxa"/>
          </w:tcPr>
          <w:p w:rsidR="00A13BC3" w:rsidRPr="004B208C" w:rsidRDefault="00A13BC3" w:rsidP="003479E5">
            <w:pPr>
              <w:spacing w:after="200" w:line="276" w:lineRule="auto"/>
              <w:jc w:val="center"/>
              <w:rPr>
                <w:rFonts w:cs="Tahoma"/>
                <w:szCs w:val="18"/>
                <w:lang w:eastAsia="ja-JP"/>
              </w:rPr>
            </w:pPr>
          </w:p>
        </w:tc>
        <w:tc>
          <w:tcPr>
            <w:tcW w:w="1474" w:type="dxa"/>
          </w:tcPr>
          <w:p w:rsidR="00A13BC3" w:rsidRPr="004B208C" w:rsidRDefault="00A13BC3" w:rsidP="003479E5">
            <w:pPr>
              <w:spacing w:after="200" w:line="276" w:lineRule="auto"/>
              <w:jc w:val="center"/>
              <w:rPr>
                <w:rFonts w:cs="Tahoma"/>
                <w:szCs w:val="18"/>
                <w:lang w:eastAsia="ja-JP"/>
              </w:rPr>
            </w:pPr>
          </w:p>
        </w:tc>
      </w:tr>
      <w:tr w:rsidR="00A13BC3" w:rsidRPr="004B208C" w:rsidTr="00984B9C">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szCs w:val="18"/>
              </w:rPr>
              <w:t>Windows Web Server</w:t>
            </w:r>
          </w:p>
        </w:tc>
        <w:tc>
          <w:tcPr>
            <w:tcW w:w="1848" w:type="dxa"/>
          </w:tcPr>
          <w:p w:rsidR="00A13BC3" w:rsidRPr="004B208C" w:rsidRDefault="00A13BC3" w:rsidP="003479E5">
            <w:pPr>
              <w:spacing w:after="200" w:line="276" w:lineRule="auto"/>
              <w:jc w:val="center"/>
              <w:rPr>
                <w:rFonts w:cs="Tahoma"/>
                <w:szCs w:val="18"/>
                <w:lang w:eastAsia="ja-JP"/>
              </w:rPr>
            </w:pPr>
            <w:r w:rsidRPr="004B208C">
              <w:rPr>
                <w:rFonts w:cs="Tahoma"/>
                <w:szCs w:val="18"/>
              </w:rPr>
              <w:t>SQL Server Web</w:t>
            </w:r>
          </w:p>
        </w:tc>
        <w:tc>
          <w:tcPr>
            <w:tcW w:w="1774" w:type="dxa"/>
          </w:tcPr>
          <w:p w:rsidR="00A13BC3" w:rsidRPr="004B208C" w:rsidRDefault="00A13BC3" w:rsidP="003479E5">
            <w:pPr>
              <w:spacing w:after="200" w:line="276" w:lineRule="auto"/>
              <w:jc w:val="center"/>
              <w:rPr>
                <w:rFonts w:cs="Tahoma"/>
                <w:szCs w:val="18"/>
                <w:lang w:eastAsia="ja-JP"/>
              </w:rPr>
            </w:pPr>
          </w:p>
        </w:tc>
        <w:tc>
          <w:tcPr>
            <w:tcW w:w="1830" w:type="dxa"/>
          </w:tcPr>
          <w:p w:rsidR="00A13BC3" w:rsidRPr="004B208C" w:rsidRDefault="00A13BC3" w:rsidP="003479E5">
            <w:pPr>
              <w:spacing w:after="200" w:line="276" w:lineRule="auto"/>
              <w:jc w:val="center"/>
              <w:rPr>
                <w:rFonts w:cs="Tahoma"/>
                <w:szCs w:val="18"/>
                <w:lang w:eastAsia="ja-JP"/>
              </w:rPr>
            </w:pPr>
          </w:p>
        </w:tc>
        <w:tc>
          <w:tcPr>
            <w:tcW w:w="1474" w:type="dxa"/>
          </w:tcPr>
          <w:p w:rsidR="00A13BC3" w:rsidRPr="004B208C" w:rsidRDefault="00A13BC3" w:rsidP="003479E5">
            <w:pPr>
              <w:spacing w:after="200" w:line="276" w:lineRule="auto"/>
              <w:jc w:val="center"/>
              <w:rPr>
                <w:rFonts w:cs="Tahoma"/>
                <w:szCs w:val="18"/>
                <w:lang w:eastAsia="ja-JP"/>
              </w:rPr>
            </w:pPr>
          </w:p>
        </w:tc>
      </w:tr>
      <w:tr w:rsidR="00A13BC3" w:rsidRPr="004B208C" w:rsidTr="00984B9C">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szCs w:val="18"/>
              </w:rPr>
              <w:t>Windows HPC Server Suite</w:t>
            </w:r>
          </w:p>
        </w:tc>
        <w:tc>
          <w:tcPr>
            <w:tcW w:w="1848" w:type="dxa"/>
          </w:tcPr>
          <w:p w:rsidR="00A13BC3" w:rsidRPr="004B208C" w:rsidRDefault="00A13BC3" w:rsidP="003479E5">
            <w:pPr>
              <w:spacing w:after="200" w:line="276" w:lineRule="auto"/>
              <w:jc w:val="center"/>
              <w:rPr>
                <w:rFonts w:cs="Tahoma"/>
                <w:szCs w:val="18"/>
                <w:lang w:eastAsia="ja-JP"/>
              </w:rPr>
            </w:pPr>
            <w:r w:rsidRPr="004B208C">
              <w:rPr>
                <w:rFonts w:cs="Tahoma"/>
                <w:szCs w:val="18"/>
              </w:rPr>
              <w:t>SQL Server Developer</w:t>
            </w:r>
          </w:p>
        </w:tc>
        <w:tc>
          <w:tcPr>
            <w:tcW w:w="1774" w:type="dxa"/>
          </w:tcPr>
          <w:p w:rsidR="00A13BC3" w:rsidRPr="004B208C" w:rsidRDefault="00A13BC3" w:rsidP="003479E5">
            <w:pPr>
              <w:spacing w:after="200" w:line="276" w:lineRule="auto"/>
              <w:jc w:val="center"/>
              <w:rPr>
                <w:rFonts w:cs="Tahoma"/>
                <w:szCs w:val="18"/>
                <w:lang w:eastAsia="ja-JP"/>
              </w:rPr>
            </w:pPr>
          </w:p>
        </w:tc>
        <w:tc>
          <w:tcPr>
            <w:tcW w:w="1830" w:type="dxa"/>
          </w:tcPr>
          <w:p w:rsidR="00A13BC3" w:rsidRPr="004B208C" w:rsidRDefault="00A13BC3" w:rsidP="003479E5">
            <w:pPr>
              <w:spacing w:after="200" w:line="276" w:lineRule="auto"/>
              <w:jc w:val="center"/>
              <w:rPr>
                <w:rFonts w:cs="Tahoma"/>
                <w:szCs w:val="18"/>
                <w:lang w:eastAsia="ja-JP"/>
              </w:rPr>
            </w:pPr>
          </w:p>
        </w:tc>
        <w:tc>
          <w:tcPr>
            <w:tcW w:w="1474" w:type="dxa"/>
          </w:tcPr>
          <w:p w:rsidR="00A13BC3" w:rsidRPr="004B208C" w:rsidRDefault="00A13BC3" w:rsidP="003479E5">
            <w:pPr>
              <w:spacing w:after="200" w:line="276" w:lineRule="auto"/>
              <w:jc w:val="center"/>
              <w:rPr>
                <w:rFonts w:cs="Tahoma"/>
                <w:szCs w:val="18"/>
                <w:lang w:eastAsia="ja-JP"/>
              </w:rPr>
            </w:pPr>
          </w:p>
        </w:tc>
      </w:tr>
      <w:tr w:rsidR="00A13BC3" w:rsidRPr="004B208C" w:rsidTr="00984B9C">
        <w:tc>
          <w:tcPr>
            <w:tcW w:w="1912" w:type="dxa"/>
          </w:tcPr>
          <w:p w:rsidR="00A13BC3" w:rsidRPr="004B208C" w:rsidRDefault="00A13BC3" w:rsidP="00894563">
            <w:pPr>
              <w:spacing w:after="200" w:line="276" w:lineRule="auto"/>
              <w:jc w:val="center"/>
              <w:rPr>
                <w:rFonts w:cs="Tahoma"/>
                <w:szCs w:val="18"/>
                <w:lang w:eastAsia="ja-JP"/>
              </w:rPr>
            </w:pPr>
            <w:r w:rsidRPr="004B208C">
              <w:rPr>
                <w:rFonts w:cs="Tahoma"/>
                <w:szCs w:val="18"/>
              </w:rPr>
              <w:t>Windows Server HPC Edition</w:t>
            </w:r>
          </w:p>
        </w:tc>
        <w:tc>
          <w:tcPr>
            <w:tcW w:w="1848" w:type="dxa"/>
          </w:tcPr>
          <w:p w:rsidR="00A13BC3" w:rsidRPr="004B208C" w:rsidRDefault="00A13BC3" w:rsidP="003479E5">
            <w:pPr>
              <w:spacing w:after="200" w:line="276" w:lineRule="auto"/>
              <w:jc w:val="center"/>
              <w:rPr>
                <w:rFonts w:cs="Tahoma"/>
                <w:szCs w:val="18"/>
                <w:lang w:eastAsia="ja-JP"/>
              </w:rPr>
            </w:pPr>
            <w:r w:rsidRPr="004B208C">
              <w:rPr>
                <w:rFonts w:cs="Tahoma"/>
                <w:szCs w:val="18"/>
              </w:rPr>
              <w:t>SQL Server Business Intelligence</w:t>
            </w:r>
          </w:p>
        </w:tc>
        <w:tc>
          <w:tcPr>
            <w:tcW w:w="1774" w:type="dxa"/>
          </w:tcPr>
          <w:p w:rsidR="00A13BC3" w:rsidRPr="004B208C" w:rsidRDefault="00A13BC3" w:rsidP="003479E5">
            <w:pPr>
              <w:spacing w:after="200" w:line="276" w:lineRule="auto"/>
              <w:jc w:val="center"/>
              <w:rPr>
                <w:rFonts w:cs="Tahoma"/>
                <w:szCs w:val="18"/>
                <w:lang w:eastAsia="ja-JP"/>
              </w:rPr>
            </w:pPr>
          </w:p>
        </w:tc>
        <w:tc>
          <w:tcPr>
            <w:tcW w:w="1830" w:type="dxa"/>
          </w:tcPr>
          <w:p w:rsidR="00A13BC3" w:rsidRPr="004B208C" w:rsidRDefault="00A13BC3" w:rsidP="003479E5">
            <w:pPr>
              <w:spacing w:after="200" w:line="276" w:lineRule="auto"/>
              <w:jc w:val="center"/>
              <w:rPr>
                <w:rFonts w:cs="Tahoma"/>
                <w:szCs w:val="18"/>
                <w:lang w:eastAsia="ja-JP"/>
              </w:rPr>
            </w:pPr>
          </w:p>
        </w:tc>
        <w:tc>
          <w:tcPr>
            <w:tcW w:w="1474" w:type="dxa"/>
          </w:tcPr>
          <w:p w:rsidR="00A13BC3" w:rsidRPr="004B208C" w:rsidRDefault="00A13BC3" w:rsidP="003479E5">
            <w:pPr>
              <w:spacing w:after="200" w:line="276" w:lineRule="auto"/>
              <w:jc w:val="center"/>
              <w:rPr>
                <w:rFonts w:cs="Tahoma"/>
                <w:szCs w:val="18"/>
                <w:lang w:eastAsia="ja-JP"/>
              </w:rPr>
            </w:pPr>
          </w:p>
        </w:tc>
      </w:tr>
      <w:tr w:rsidR="00A13BC3" w:rsidRPr="004B208C" w:rsidTr="00984B9C">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szCs w:val="18"/>
              </w:rPr>
              <w:t xml:space="preserve">Core Infrastructure Server Suite Datacenter </w:t>
            </w:r>
          </w:p>
        </w:tc>
        <w:tc>
          <w:tcPr>
            <w:tcW w:w="1848" w:type="dxa"/>
          </w:tcPr>
          <w:p w:rsidR="00A13BC3" w:rsidRPr="004B208C" w:rsidRDefault="00A13BC3" w:rsidP="003479E5">
            <w:pPr>
              <w:spacing w:after="200" w:line="276" w:lineRule="auto"/>
              <w:jc w:val="center"/>
              <w:rPr>
                <w:rFonts w:cs="Tahoma"/>
                <w:szCs w:val="18"/>
              </w:rPr>
            </w:pPr>
          </w:p>
        </w:tc>
        <w:tc>
          <w:tcPr>
            <w:tcW w:w="1774" w:type="dxa"/>
          </w:tcPr>
          <w:p w:rsidR="00A13BC3" w:rsidRPr="004B208C" w:rsidRDefault="00A13BC3" w:rsidP="003479E5">
            <w:pPr>
              <w:spacing w:after="200" w:line="276" w:lineRule="auto"/>
              <w:jc w:val="center"/>
              <w:rPr>
                <w:rFonts w:cs="Tahoma"/>
                <w:szCs w:val="18"/>
              </w:rPr>
            </w:pPr>
          </w:p>
        </w:tc>
        <w:tc>
          <w:tcPr>
            <w:tcW w:w="1830" w:type="dxa"/>
          </w:tcPr>
          <w:p w:rsidR="00A13BC3" w:rsidRPr="004B208C" w:rsidRDefault="00A13BC3" w:rsidP="003479E5">
            <w:pPr>
              <w:spacing w:after="200" w:line="276" w:lineRule="auto"/>
              <w:jc w:val="center"/>
              <w:rPr>
                <w:rFonts w:cs="Tahoma"/>
                <w:szCs w:val="18"/>
              </w:rPr>
            </w:pPr>
          </w:p>
        </w:tc>
        <w:tc>
          <w:tcPr>
            <w:tcW w:w="1474" w:type="dxa"/>
          </w:tcPr>
          <w:p w:rsidR="00A13BC3" w:rsidRPr="004B208C" w:rsidRDefault="00A13BC3" w:rsidP="003479E5">
            <w:pPr>
              <w:spacing w:after="200" w:line="276" w:lineRule="auto"/>
              <w:jc w:val="center"/>
              <w:rPr>
                <w:rFonts w:cs="Tahoma"/>
                <w:szCs w:val="18"/>
              </w:rPr>
            </w:pPr>
          </w:p>
        </w:tc>
      </w:tr>
      <w:tr w:rsidR="00A13BC3" w:rsidRPr="004B208C" w:rsidTr="002A6416">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szCs w:val="18"/>
              </w:rPr>
              <w:t>Core Infrastructure Server Suite Enterprise</w:t>
            </w:r>
          </w:p>
        </w:tc>
        <w:tc>
          <w:tcPr>
            <w:tcW w:w="1848" w:type="dxa"/>
          </w:tcPr>
          <w:p w:rsidR="00A13BC3" w:rsidRPr="004B208C" w:rsidRDefault="00A13BC3" w:rsidP="003479E5">
            <w:pPr>
              <w:spacing w:after="200" w:line="276" w:lineRule="auto"/>
              <w:jc w:val="center"/>
              <w:rPr>
                <w:rFonts w:cs="Tahoma"/>
                <w:szCs w:val="18"/>
              </w:rPr>
            </w:pPr>
          </w:p>
        </w:tc>
        <w:tc>
          <w:tcPr>
            <w:tcW w:w="1774" w:type="dxa"/>
          </w:tcPr>
          <w:p w:rsidR="00A13BC3" w:rsidRPr="004B208C" w:rsidRDefault="00A13BC3" w:rsidP="003479E5">
            <w:pPr>
              <w:spacing w:after="200" w:line="276" w:lineRule="auto"/>
              <w:jc w:val="center"/>
              <w:rPr>
                <w:rFonts w:cs="Tahoma"/>
                <w:szCs w:val="18"/>
              </w:rPr>
            </w:pPr>
          </w:p>
        </w:tc>
        <w:tc>
          <w:tcPr>
            <w:tcW w:w="1830" w:type="dxa"/>
          </w:tcPr>
          <w:p w:rsidR="00A13BC3" w:rsidRPr="004B208C" w:rsidRDefault="00A13BC3" w:rsidP="003479E5">
            <w:pPr>
              <w:spacing w:after="200" w:line="276" w:lineRule="auto"/>
              <w:jc w:val="center"/>
              <w:rPr>
                <w:rFonts w:cs="Tahoma"/>
                <w:szCs w:val="18"/>
              </w:rPr>
            </w:pPr>
          </w:p>
        </w:tc>
        <w:tc>
          <w:tcPr>
            <w:tcW w:w="1474" w:type="dxa"/>
          </w:tcPr>
          <w:p w:rsidR="00A13BC3" w:rsidRPr="004B208C" w:rsidRDefault="00A13BC3" w:rsidP="003479E5">
            <w:pPr>
              <w:spacing w:after="200" w:line="276" w:lineRule="auto"/>
              <w:jc w:val="center"/>
              <w:rPr>
                <w:rFonts w:cs="Tahoma"/>
                <w:szCs w:val="18"/>
              </w:rPr>
            </w:pPr>
          </w:p>
        </w:tc>
      </w:tr>
      <w:tr w:rsidR="00A13BC3" w:rsidRPr="004B208C" w:rsidTr="002A6416">
        <w:tc>
          <w:tcPr>
            <w:tcW w:w="1912" w:type="dxa"/>
          </w:tcPr>
          <w:p w:rsidR="00A13BC3" w:rsidRPr="004B208C" w:rsidRDefault="00A13BC3" w:rsidP="003479E5">
            <w:pPr>
              <w:spacing w:after="200" w:line="276" w:lineRule="auto"/>
              <w:jc w:val="center"/>
              <w:rPr>
                <w:rFonts w:cs="Tahoma"/>
                <w:szCs w:val="18"/>
                <w:lang w:eastAsia="ja-JP"/>
              </w:rPr>
            </w:pPr>
            <w:r w:rsidRPr="004B208C">
              <w:rPr>
                <w:rFonts w:cs="Tahoma"/>
                <w:szCs w:val="18"/>
              </w:rPr>
              <w:t>Core Infrastructure Server Suite Standard</w:t>
            </w:r>
          </w:p>
        </w:tc>
        <w:tc>
          <w:tcPr>
            <w:tcW w:w="1848" w:type="dxa"/>
          </w:tcPr>
          <w:p w:rsidR="00A13BC3" w:rsidRPr="004B208C" w:rsidRDefault="00A13BC3" w:rsidP="003479E5">
            <w:pPr>
              <w:spacing w:after="200" w:line="276" w:lineRule="auto"/>
              <w:jc w:val="center"/>
              <w:rPr>
                <w:rFonts w:cs="Tahoma"/>
                <w:szCs w:val="18"/>
              </w:rPr>
            </w:pPr>
          </w:p>
        </w:tc>
        <w:tc>
          <w:tcPr>
            <w:tcW w:w="1774" w:type="dxa"/>
          </w:tcPr>
          <w:p w:rsidR="00A13BC3" w:rsidRPr="004B208C" w:rsidRDefault="00A13BC3" w:rsidP="003479E5">
            <w:pPr>
              <w:spacing w:after="200" w:line="276" w:lineRule="auto"/>
              <w:jc w:val="center"/>
              <w:rPr>
                <w:rFonts w:cs="Tahoma"/>
                <w:szCs w:val="18"/>
              </w:rPr>
            </w:pPr>
          </w:p>
        </w:tc>
        <w:tc>
          <w:tcPr>
            <w:tcW w:w="1830" w:type="dxa"/>
          </w:tcPr>
          <w:p w:rsidR="00A13BC3" w:rsidRPr="004B208C" w:rsidRDefault="00A13BC3" w:rsidP="003479E5">
            <w:pPr>
              <w:spacing w:after="200" w:line="276" w:lineRule="auto"/>
              <w:jc w:val="center"/>
              <w:rPr>
                <w:rFonts w:cs="Tahoma"/>
                <w:szCs w:val="18"/>
              </w:rPr>
            </w:pPr>
          </w:p>
        </w:tc>
        <w:tc>
          <w:tcPr>
            <w:tcW w:w="1474" w:type="dxa"/>
          </w:tcPr>
          <w:p w:rsidR="00A13BC3" w:rsidRPr="004B208C" w:rsidRDefault="00A13BC3" w:rsidP="003479E5">
            <w:pPr>
              <w:spacing w:after="200" w:line="276" w:lineRule="auto"/>
              <w:jc w:val="center"/>
              <w:rPr>
                <w:rFonts w:cs="Tahoma"/>
                <w:szCs w:val="18"/>
              </w:rPr>
            </w:pPr>
          </w:p>
        </w:tc>
      </w:tr>
    </w:tbl>
    <w:p w:rsidR="003479E5" w:rsidRPr="004B208C" w:rsidRDefault="003479E5" w:rsidP="00792D1E">
      <w:pPr>
        <w:rPr>
          <w:rFonts w:cs="Tahoma"/>
        </w:rPr>
      </w:pPr>
    </w:p>
    <w:p w:rsidR="003479E5" w:rsidRPr="004B208C" w:rsidRDefault="003479E5" w:rsidP="00792D1E">
      <w:pPr>
        <w:rPr>
          <w:rFonts w:cs="Tahoma"/>
        </w:rPr>
      </w:pPr>
      <w:r w:rsidRPr="004B208C">
        <w:rPr>
          <w:rFonts w:cs="Tahoma"/>
          <w:bCs/>
          <w:szCs w:val="18"/>
        </w:rPr>
        <w:t>*A cobertura de Software Assurance para CALs do Software para Servidores Qualificado não qualifica os clientes para</w:t>
      </w:r>
      <w:r w:rsidR="00984B9C">
        <w:rPr>
          <w:rFonts w:cs="Tahoma"/>
          <w:bCs/>
          <w:szCs w:val="18"/>
        </w:rPr>
        <w:t> </w:t>
      </w:r>
      <w:r w:rsidRPr="004B208C">
        <w:rPr>
          <w:rFonts w:cs="Tahoma"/>
          <w:bCs/>
          <w:szCs w:val="18"/>
        </w:rPr>
        <w:t>o benefícios do Software Assurance do System Center Advisor.</w:t>
      </w:r>
      <w:r w:rsidR="00172F11">
        <w:rPr>
          <w:rFonts w:cs="Tahoma"/>
          <w:bCs/>
          <w:szCs w:val="18"/>
        </w:rPr>
        <w:t xml:space="preserve"> </w:t>
      </w:r>
      <w:r w:rsidRPr="004B208C">
        <w:rPr>
          <w:rFonts w:cs="Tahoma"/>
          <w:bCs/>
          <w:szCs w:val="18"/>
        </w:rPr>
        <w:t>Os clientes devem ter cobertura nas licenças de</w:t>
      </w:r>
      <w:r w:rsidR="00984B9C">
        <w:rPr>
          <w:rFonts w:cs="Tahoma"/>
          <w:bCs/>
          <w:szCs w:val="18"/>
        </w:rPr>
        <w:t> </w:t>
      </w:r>
      <w:r w:rsidRPr="004B208C">
        <w:rPr>
          <w:rFonts w:cs="Tahoma"/>
          <w:bCs/>
          <w:szCs w:val="18"/>
        </w:rPr>
        <w:t>software de acordo com as quais o Software do Servidor Qualificado está em execução.</w:t>
      </w:r>
    </w:p>
    <w:p w:rsidR="003479E5" w:rsidRPr="004B208C" w:rsidRDefault="003479E5" w:rsidP="00792D1E">
      <w:pPr>
        <w:rPr>
          <w:rFonts w:cs="Tahoma"/>
        </w:rPr>
      </w:pPr>
    </w:p>
    <w:p w:rsidR="000D454E" w:rsidRPr="004B208C" w:rsidRDefault="000D454E" w:rsidP="00792D1E">
      <w:pPr>
        <w:rPr>
          <w:rFonts w:cs="Tahoma"/>
        </w:rPr>
      </w:pPr>
      <w:r w:rsidRPr="004B208C">
        <w:rPr>
          <w:rFonts w:cs="Tahoma"/>
          <w:szCs w:val="18"/>
        </w:rPr>
        <w:lastRenderedPageBreak/>
        <w:t>Os clientes com cobertura de Software Assurance ativa para Licenças de Gerenciamento identificadas na tabela a</w:t>
      </w:r>
      <w:r w:rsidR="00984B9C">
        <w:rPr>
          <w:rFonts w:cs="Tahoma"/>
          <w:szCs w:val="18"/>
        </w:rPr>
        <w:t> </w:t>
      </w:r>
      <w:r w:rsidRPr="004B208C">
        <w:rPr>
          <w:rFonts w:cs="Tahoma"/>
          <w:szCs w:val="18"/>
        </w:rPr>
        <w:t>seguir estão qualificados para usar o System Center Advisor conforme definido nos Direitos de Uso do Produto.</w:t>
      </w:r>
    </w:p>
    <w:p w:rsidR="000D454E" w:rsidRPr="004B208C"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4B208C"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4B208C" w:rsidRDefault="000D454E" w:rsidP="007E466C">
            <w:pPr>
              <w:spacing w:before="120" w:after="120" w:line="276" w:lineRule="auto"/>
              <w:jc w:val="center"/>
              <w:rPr>
                <w:rFonts w:cs="Tahoma"/>
                <w:b/>
                <w:color w:val="000000"/>
                <w:szCs w:val="18"/>
                <w:lang w:eastAsia="ja-JP"/>
              </w:rPr>
            </w:pPr>
            <w:r w:rsidRPr="004B208C">
              <w:rPr>
                <w:rFonts w:cs="Tahoma"/>
                <w:b/>
                <w:color w:val="000000"/>
                <w:szCs w:val="18"/>
              </w:rPr>
              <w:t>Licenças de Gerenciamento de Qualificação</w:t>
            </w:r>
          </w:p>
        </w:tc>
      </w:tr>
      <w:tr w:rsidR="000D454E" w:rsidRPr="004B208C"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B208C" w:rsidRDefault="000D454E" w:rsidP="00964A88">
            <w:pPr>
              <w:spacing w:before="120" w:after="120"/>
              <w:jc w:val="center"/>
              <w:rPr>
                <w:rFonts w:cs="Tahoma"/>
                <w:color w:val="000000"/>
                <w:szCs w:val="18"/>
                <w:lang w:eastAsia="ja-JP"/>
              </w:rPr>
            </w:pPr>
            <w:r w:rsidRPr="004B208C">
              <w:rPr>
                <w:rFonts w:cs="Tahoma"/>
                <w:color w:val="000000"/>
                <w:szCs w:val="18"/>
              </w:rPr>
              <w:t>Licença de Gerenciamento do System Center 2012 Datacenter</w:t>
            </w:r>
            <w:r w:rsidR="00964A88">
              <w:rPr>
                <w:rFonts w:cs="Tahoma"/>
                <w:color w:val="000000"/>
                <w:szCs w:val="18"/>
              </w:rPr>
              <w:t> </w:t>
            </w:r>
            <w:r w:rsidRPr="004B208C">
              <w:rPr>
                <w:rFonts w:cs="Tahoma"/>
                <w:color w:val="000000"/>
                <w:szCs w:val="18"/>
              </w:rPr>
              <w:t>Server</w:t>
            </w:r>
          </w:p>
        </w:tc>
      </w:tr>
      <w:tr w:rsidR="000D454E" w:rsidRPr="004B208C"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4B208C" w:rsidRDefault="000D454E" w:rsidP="00964A88">
            <w:pPr>
              <w:spacing w:before="120" w:after="120" w:line="276" w:lineRule="auto"/>
              <w:jc w:val="center"/>
              <w:rPr>
                <w:rFonts w:cs="Tahoma"/>
                <w:szCs w:val="18"/>
              </w:rPr>
            </w:pPr>
            <w:r w:rsidRPr="004B208C">
              <w:rPr>
                <w:rFonts w:cs="Tahoma"/>
                <w:color w:val="000000"/>
                <w:szCs w:val="18"/>
              </w:rPr>
              <w:t>Licença de Gerenciamento do System Center 2012 Standard</w:t>
            </w:r>
            <w:r w:rsidR="00964A88">
              <w:rPr>
                <w:rFonts w:cs="Tahoma"/>
                <w:color w:val="000000"/>
                <w:szCs w:val="18"/>
              </w:rPr>
              <w:t> </w:t>
            </w:r>
            <w:r w:rsidRPr="004B208C">
              <w:rPr>
                <w:rFonts w:cs="Tahoma"/>
                <w:color w:val="000000"/>
                <w:szCs w:val="18"/>
              </w:rPr>
              <w:t>Server</w:t>
            </w:r>
          </w:p>
        </w:tc>
      </w:tr>
    </w:tbl>
    <w:p w:rsidR="00E06FE8" w:rsidRPr="004B208C" w:rsidRDefault="000E6E21" w:rsidP="00E06FE8">
      <w:pPr>
        <w:keepNext/>
        <w:keepLines/>
        <w:spacing w:before="40" w:line="259" w:lineRule="auto"/>
        <w:outlineLvl w:val="2"/>
        <w:rPr>
          <w:rFonts w:cs="Tahoma"/>
        </w:rPr>
      </w:pPr>
      <w:bookmarkStart w:id="737" w:name="_Toc336338239"/>
      <w:r w:rsidRPr="004B208C">
        <w:rPr>
          <w:rFonts w:eastAsiaTheme="majorEastAsia" w:cs="Tahoma"/>
          <w:color w:val="000000"/>
          <w:szCs w:val="18"/>
        </w:rPr>
        <w:cr/>
      </w:r>
      <w:r w:rsidRPr="004B208C">
        <w:rPr>
          <w:rFonts w:eastAsiaTheme="majorEastAsia" w:cs="Tahoma"/>
          <w:b/>
          <w:color w:val="000000"/>
          <w:sz w:val="24"/>
          <w:szCs w:val="18"/>
        </w:rPr>
        <w:t>System Center Global Service Monitor</w:t>
      </w:r>
    </w:p>
    <w:p w:rsidR="00E06FE8" w:rsidRPr="004B208C" w:rsidRDefault="00E06FE8" w:rsidP="007E466C">
      <w:pPr>
        <w:rPr>
          <w:rFonts w:cs="Tahoma"/>
        </w:rPr>
      </w:pPr>
      <w:r w:rsidRPr="004B208C">
        <w:rPr>
          <w:rFonts w:cs="Tahoma"/>
          <w:szCs w:val="18"/>
        </w:rPr>
        <w:t>Os clientes com cobertura de Software Assurance ativa para Licenças de Gerenciamento identificadas na tabela a</w:t>
      </w:r>
      <w:r w:rsidR="00964A88">
        <w:rPr>
          <w:rFonts w:cs="Tahoma"/>
          <w:szCs w:val="18"/>
        </w:rPr>
        <w:t> </w:t>
      </w:r>
      <w:r w:rsidRPr="004B208C">
        <w:rPr>
          <w:rFonts w:cs="Tahoma"/>
          <w:szCs w:val="18"/>
        </w:rPr>
        <w:t>seguir estão qualificados para usar o System Center Global Service Monitor conforme definido nos Direitos de Uso</w:t>
      </w:r>
      <w:r w:rsidR="00964A88">
        <w:rPr>
          <w:rFonts w:cs="Tahoma"/>
          <w:szCs w:val="18"/>
        </w:rPr>
        <w:t> </w:t>
      </w:r>
      <w:r w:rsidRPr="004B208C">
        <w:rPr>
          <w:rFonts w:cs="Tahoma"/>
          <w:szCs w:val="18"/>
        </w:rPr>
        <w:t>do</w:t>
      </w:r>
      <w:r w:rsidR="00964A88">
        <w:rPr>
          <w:rFonts w:cs="Tahoma"/>
          <w:szCs w:val="18"/>
        </w:rPr>
        <w:t> </w:t>
      </w:r>
      <w:r w:rsidRPr="004B208C">
        <w:rPr>
          <w:rFonts w:cs="Tahoma"/>
          <w:szCs w:val="18"/>
        </w:rPr>
        <w:t>Produto.</w:t>
      </w:r>
    </w:p>
    <w:p w:rsidR="000E6E21" w:rsidRPr="004B208C" w:rsidRDefault="000E6E21" w:rsidP="007E466C">
      <w:pPr>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4B208C"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4B208C" w:rsidRDefault="00E06FE8" w:rsidP="007E466C">
            <w:pPr>
              <w:spacing w:before="120" w:after="120"/>
              <w:jc w:val="center"/>
              <w:rPr>
                <w:rFonts w:cs="Tahoma"/>
                <w:b/>
                <w:szCs w:val="18"/>
              </w:rPr>
            </w:pPr>
            <w:r w:rsidRPr="004B208C">
              <w:rPr>
                <w:rFonts w:cs="Tahoma"/>
                <w:b/>
                <w:szCs w:val="18"/>
              </w:rPr>
              <w:t>Licenças de Gerenciamento de Qualificação</w:t>
            </w:r>
          </w:p>
        </w:tc>
      </w:tr>
      <w:tr w:rsidR="000E6E21" w:rsidRPr="004B208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B208C" w:rsidRDefault="00E06FE8" w:rsidP="007E466C">
            <w:pPr>
              <w:spacing w:before="120" w:after="120"/>
              <w:jc w:val="center"/>
              <w:rPr>
                <w:rFonts w:cs="Tahoma"/>
                <w:szCs w:val="18"/>
              </w:rPr>
            </w:pPr>
            <w:r w:rsidRPr="004B208C">
              <w:rPr>
                <w:rFonts w:cs="Tahoma"/>
                <w:szCs w:val="18"/>
              </w:rPr>
              <w:t>Licença de Gerenciamento do System Center Datacenter Server</w:t>
            </w:r>
          </w:p>
        </w:tc>
      </w:tr>
      <w:tr w:rsidR="000E6E21" w:rsidRPr="004B208C"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4B208C" w:rsidRDefault="00E06FE8" w:rsidP="007E466C">
            <w:pPr>
              <w:spacing w:before="120" w:after="120"/>
              <w:jc w:val="center"/>
              <w:rPr>
                <w:rFonts w:cs="Tahoma"/>
                <w:szCs w:val="18"/>
              </w:rPr>
            </w:pPr>
            <w:r w:rsidRPr="004B208C">
              <w:rPr>
                <w:rFonts w:cs="Tahoma"/>
                <w:szCs w:val="18"/>
              </w:rPr>
              <w:t>Licença de Gerenciamento do System Center Standard Server</w:t>
            </w:r>
          </w:p>
        </w:tc>
      </w:tr>
    </w:tbl>
    <w:p w:rsidR="00E06FE8" w:rsidRPr="004B208C" w:rsidRDefault="00E06FE8">
      <w:pPr>
        <w:rPr>
          <w:rFonts w:cs="Tahoma"/>
        </w:rPr>
      </w:pPr>
    </w:p>
    <w:p w:rsidR="00023FE7" w:rsidRPr="004B208C" w:rsidRDefault="00023FE7">
      <w:pPr>
        <w:pStyle w:val="Heading3"/>
        <w:rPr>
          <w:rFonts w:ascii="Tahoma" w:hAnsi="Tahoma" w:cs="Tahoma"/>
        </w:rPr>
      </w:pPr>
      <w:bookmarkStart w:id="738" w:name="_Toc370981354"/>
      <w:r w:rsidRPr="004B208C">
        <w:rPr>
          <w:rFonts w:ascii="Tahoma" w:hAnsi="Tahoma" w:cs="Tahoma"/>
          <w:sz w:val="24"/>
        </w:rPr>
        <w:t>Backup Passivo para Recuperação de Desastres</w:t>
      </w:r>
      <w:bookmarkEnd w:id="737"/>
      <w:bookmarkEnd w:id="738"/>
      <w:r w:rsidRPr="004B208C">
        <w:rPr>
          <w:rFonts w:ascii="Tahoma" w:hAnsi="Tahoma" w:cs="Tahoma"/>
          <w:sz w:val="24"/>
        </w:rPr>
        <w:t xml:space="preserve"> </w:t>
      </w:r>
    </w:p>
    <w:p w:rsidR="00023FE7" w:rsidRPr="004B208C" w:rsidRDefault="00023FE7">
      <w:pPr>
        <w:rPr>
          <w:rFonts w:cs="Tahoma"/>
        </w:rPr>
      </w:pPr>
    </w:p>
    <w:p w:rsidR="008A15A8" w:rsidRPr="004B208C" w:rsidRDefault="008A15A8" w:rsidP="00792D1E">
      <w:pPr>
        <w:rPr>
          <w:rFonts w:cs="Tahoma"/>
        </w:rPr>
      </w:pPr>
      <w:r w:rsidRPr="004B208C">
        <w:rPr>
          <w:rFonts w:eastAsia="Calibri" w:cs="Tahoma"/>
          <w:szCs w:val="18"/>
        </w:rPr>
        <w:t>Os clientes com Software Assurance para produtos de servidor qualificados e CALs relacionadas estão qualificados para licenças de servidor complementares desses produtos com fins de recuperação de desastre (DR).</w:t>
      </w:r>
    </w:p>
    <w:p w:rsidR="00792D1E" w:rsidRPr="004B208C" w:rsidRDefault="00792D1E" w:rsidP="00792D1E">
      <w:pPr>
        <w:rPr>
          <w:rFonts w:cs="Tahoma"/>
        </w:rPr>
      </w:pPr>
    </w:p>
    <w:p w:rsidR="00023FE7" w:rsidRPr="004B208C" w:rsidRDefault="00023FE7" w:rsidP="00792D1E">
      <w:pPr>
        <w:pStyle w:val="AppendixFlushBulletedList"/>
        <w:tabs>
          <w:tab w:val="clear" w:pos="360"/>
          <w:tab w:val="num" w:pos="0"/>
        </w:tabs>
        <w:ind w:left="0" w:firstLine="0"/>
        <w:rPr>
          <w:rFonts w:ascii="Tahoma" w:hAnsi="Tahoma" w:cs="Tahoma"/>
        </w:rPr>
      </w:pPr>
      <w:r w:rsidRPr="004B208C">
        <w:rPr>
          <w:rFonts w:ascii="Tahoma" w:hAnsi="Tahoma" w:cs="Tahoma"/>
          <w:sz w:val="18"/>
          <w:szCs w:val="18"/>
        </w:rPr>
        <w:t>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“passivo” apenas para fins de DR durante o prazo de sua cobertura do Software Assurance.</w:t>
      </w:r>
      <w:r w:rsidR="00172F11">
        <w:rPr>
          <w:rFonts w:ascii="Tahoma" w:hAnsi="Tahoma" w:cs="Tahoma"/>
          <w:sz w:val="18"/>
          <w:szCs w:val="18"/>
        </w:rPr>
        <w:t xml:space="preserve"> </w:t>
      </w:r>
      <w:r w:rsidRPr="004B208C">
        <w:rPr>
          <w:rFonts w:ascii="Tahoma" w:hAnsi="Tahoma" w:cs="Tahoma"/>
          <w:sz w:val="18"/>
          <w:szCs w:val="18"/>
        </w:rPr>
        <w:t>A implantação e o uso do software sob as licenças de DR pelos clientes estão sujeitos aos termos e condições de seus contratos de licença.</w:t>
      </w:r>
    </w:p>
    <w:p w:rsidR="00FE5F1D" w:rsidRPr="00964A88" w:rsidRDefault="00FE5F1D" w:rsidP="00792D1E">
      <w:pPr>
        <w:pStyle w:val="AppendixBodyText"/>
        <w:spacing w:after="0"/>
        <w:rPr>
          <w:rFonts w:ascii="Tahoma" w:hAnsi="Tahoma" w:cs="Tahoma"/>
          <w:sz w:val="18"/>
          <w:szCs w:val="18"/>
        </w:rPr>
      </w:pPr>
    </w:p>
    <w:p w:rsidR="00023FE7" w:rsidRPr="004B208C" w:rsidRDefault="00023FE7" w:rsidP="00792D1E">
      <w:pPr>
        <w:pStyle w:val="Heading3"/>
        <w:rPr>
          <w:rFonts w:ascii="Tahoma" w:hAnsi="Tahoma" w:cs="Tahoma"/>
        </w:rPr>
      </w:pPr>
      <w:bookmarkStart w:id="739" w:name="_Toc336338240"/>
      <w:bookmarkStart w:id="740" w:name="_Toc370981355"/>
      <w:r w:rsidRPr="004B208C">
        <w:rPr>
          <w:rFonts w:ascii="Tahoma" w:hAnsi="Tahoma" w:cs="Tahoma"/>
          <w:sz w:val="24"/>
        </w:rPr>
        <w:t>Serviços de Assinatura do TechNet SA</w:t>
      </w:r>
      <w:bookmarkEnd w:id="739"/>
      <w:bookmarkEnd w:id="740"/>
    </w:p>
    <w:p w:rsidR="00023FE7" w:rsidRPr="004B208C" w:rsidRDefault="00023FE7" w:rsidP="00792D1E">
      <w:pPr>
        <w:rPr>
          <w:rFonts w:cs="Tahoma"/>
        </w:rPr>
      </w:pPr>
    </w:p>
    <w:p w:rsidR="004A4D28" w:rsidRPr="00964A88" w:rsidRDefault="00A65414" w:rsidP="00792D1E">
      <w:pPr>
        <w:pStyle w:val="AppendixBodyText"/>
        <w:spacing w:after="0"/>
        <w:rPr>
          <w:rFonts w:ascii="Tahoma" w:hAnsi="Tahoma" w:cs="Tahoma"/>
          <w:sz w:val="18"/>
          <w:szCs w:val="18"/>
        </w:rPr>
      </w:pPr>
      <w:r w:rsidRPr="00964A88">
        <w:rPr>
          <w:rFonts w:ascii="Tahoma" w:eastAsia="Calibri" w:hAnsi="Tahoma" w:cs="Tahoma"/>
          <w:sz w:val="18"/>
          <w:szCs w:val="18"/>
        </w:rPr>
        <w:t xml:space="preserve">Os clientes com Software Assurance para produtos qualificados em qualquer pool de servidores de produtos estão qualificados para o suporte de Serviços de Assinatura do TechNet SA durante o prazo da cobertura do Software Assurance. </w:t>
      </w:r>
      <w:r w:rsidRPr="00964A88">
        <w:rPr>
          <w:rFonts w:ascii="Tahoma" w:hAnsi="Tahoma" w:cs="Tahoma"/>
          <w:sz w:val="18"/>
          <w:szCs w:val="18"/>
        </w:rPr>
        <w:t>Isso fornece aos profissionais de TI respostas a questões técnicas de colegas do setor.</w:t>
      </w:r>
      <w:r w:rsidR="00172F11" w:rsidRPr="00964A88">
        <w:rPr>
          <w:rFonts w:ascii="Tahoma" w:hAnsi="Tahoma" w:cs="Tahoma"/>
          <w:sz w:val="18"/>
          <w:szCs w:val="18"/>
        </w:rPr>
        <w:t xml:space="preserve"> </w:t>
      </w:r>
      <w:r w:rsidRPr="00964A88">
        <w:rPr>
          <w:rFonts w:ascii="Tahoma" w:hAnsi="Tahoma" w:cs="Tahoma"/>
          <w:sz w:val="18"/>
          <w:szCs w:val="18"/>
        </w:rPr>
        <w:t>Os profissionais de</w:t>
      </w:r>
      <w:r w:rsidR="00964A88">
        <w:rPr>
          <w:rFonts w:ascii="Tahoma" w:hAnsi="Tahoma" w:cs="Tahoma"/>
          <w:sz w:val="18"/>
          <w:szCs w:val="18"/>
        </w:rPr>
        <w:t> </w:t>
      </w:r>
      <w:r w:rsidRPr="00964A88">
        <w:rPr>
          <w:rFonts w:ascii="Tahoma" w:hAnsi="Tahoma" w:cs="Tahoma"/>
          <w:sz w:val="18"/>
          <w:szCs w:val="18"/>
        </w:rPr>
        <w:t>suporte da Microsoft monitoram os grupos de notícias a fim de ajudar a garantir a precisão.</w:t>
      </w:r>
      <w:r w:rsidR="00172F11" w:rsidRPr="00964A88">
        <w:rPr>
          <w:rFonts w:ascii="Tahoma" w:hAnsi="Tahoma" w:cs="Tahoma"/>
          <w:sz w:val="18"/>
          <w:szCs w:val="18"/>
        </w:rPr>
        <w:t xml:space="preserve"> </w:t>
      </w:r>
      <w:r w:rsidRPr="00964A88">
        <w:rPr>
          <w:rFonts w:ascii="Tahoma" w:hAnsi="Tahoma" w:cs="Tahoma"/>
          <w:sz w:val="18"/>
          <w:szCs w:val="18"/>
        </w:rPr>
        <w:t>Os clientes qualificados recebem IDs de Usuário que fornecem acesso aos serviços online.</w:t>
      </w:r>
      <w:r w:rsidR="00172F11" w:rsidRPr="00964A88">
        <w:rPr>
          <w:rFonts w:ascii="Tahoma" w:hAnsi="Tahoma" w:cs="Tahoma"/>
          <w:sz w:val="18"/>
          <w:szCs w:val="18"/>
        </w:rPr>
        <w:t xml:space="preserve"> </w:t>
      </w:r>
    </w:p>
    <w:p w:rsidR="00FE5F1D" w:rsidRPr="00964A88" w:rsidRDefault="00FE5F1D" w:rsidP="00792D1E">
      <w:pPr>
        <w:pStyle w:val="AppendixBodyText"/>
        <w:spacing w:after="0"/>
        <w:rPr>
          <w:rFonts w:ascii="Tahoma" w:hAnsi="Tahoma" w:cs="Tahoma"/>
          <w:sz w:val="18"/>
          <w:szCs w:val="18"/>
        </w:rPr>
      </w:pPr>
    </w:p>
    <w:p w:rsidR="00023FE7" w:rsidRPr="00964A88" w:rsidRDefault="00023FE7" w:rsidP="00792D1E">
      <w:pPr>
        <w:pStyle w:val="AppendixBodyText"/>
        <w:spacing w:after="0"/>
        <w:rPr>
          <w:rFonts w:ascii="Tahoma" w:hAnsi="Tahoma" w:cs="Tahoma"/>
          <w:sz w:val="18"/>
          <w:szCs w:val="18"/>
        </w:rPr>
      </w:pPr>
      <w:r w:rsidRPr="00964A88">
        <w:rPr>
          <w:rFonts w:ascii="Tahoma" w:hAnsi="Tahoma" w:cs="Tahoma"/>
          <w:sz w:val="18"/>
          <w:szCs w:val="18"/>
        </w:rPr>
        <w:t>Os clientes receberão uma ID de Usuário para cada produto qualificado com cobertura do Software Assurance, conforme mostrado a seguir:</w:t>
      </w:r>
    </w:p>
    <w:p w:rsidR="00023FE7" w:rsidRPr="00964A88" w:rsidRDefault="00023FE7" w:rsidP="00792D1E">
      <w:pPr>
        <w:pStyle w:val="AppendixBodyText"/>
        <w:spacing w:after="0"/>
        <w:rPr>
          <w:rFonts w:ascii="Tahoma"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4B208C"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B208C" w:rsidRDefault="0036654E" w:rsidP="00D824E9">
            <w:pPr>
              <w:pStyle w:val="AppendixTableHeadings"/>
              <w:keepNext/>
              <w:rPr>
                <w:rFonts w:ascii="Tahoma" w:hAnsi="Tahoma" w:cs="Tahoma"/>
                <w:sz w:val="20"/>
                <w:szCs w:val="20"/>
              </w:rPr>
            </w:pPr>
            <w:r w:rsidRPr="004B208C">
              <w:rPr>
                <w:rFonts w:ascii="Tahoma" w:hAnsi="Tahoma" w:cs="Tahoma"/>
                <w:sz w:val="20"/>
                <w:szCs w:val="20"/>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B208C" w:rsidRDefault="0036654E" w:rsidP="00964A88">
            <w:pPr>
              <w:pStyle w:val="AppendixTableHeadings"/>
              <w:rPr>
                <w:rFonts w:ascii="Tahoma" w:hAnsi="Tahoma" w:cs="Tahoma"/>
                <w:sz w:val="20"/>
                <w:szCs w:val="20"/>
              </w:rPr>
            </w:pPr>
            <w:r w:rsidRPr="004B208C">
              <w:rPr>
                <w:rFonts w:ascii="Tahoma" w:hAnsi="Tahoma" w:cs="Tahoma"/>
                <w:sz w:val="20"/>
                <w:szCs w:val="20"/>
              </w:rPr>
              <w:t>Open License, Open Value Subscription – Soluções Educacionais, Open Value e</w:t>
            </w:r>
            <w:r w:rsidR="00964A88">
              <w:rPr>
                <w:rFonts w:ascii="Tahoma" w:hAnsi="Tahoma" w:cs="Tahoma"/>
                <w:sz w:val="20"/>
                <w:szCs w:val="20"/>
              </w:rPr>
              <w:t> </w:t>
            </w:r>
            <w:r w:rsidRPr="004B208C">
              <w:rPr>
                <w:rFonts w:ascii="Tahoma" w:hAnsi="Tahoma" w:cs="Tahoma"/>
                <w:sz w:val="20"/>
                <w:szCs w:val="20"/>
              </w:rPr>
              <w:t>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4B208C" w:rsidRDefault="0036654E">
            <w:pPr>
              <w:pStyle w:val="AppendixTableHeadings"/>
              <w:rPr>
                <w:rFonts w:ascii="Tahoma" w:hAnsi="Tahoma" w:cs="Tahoma"/>
                <w:sz w:val="20"/>
                <w:szCs w:val="20"/>
              </w:rPr>
            </w:pPr>
            <w:r w:rsidRPr="004B208C">
              <w:rPr>
                <w:rFonts w:ascii="Tahoma" w:hAnsi="Tahoma" w:cs="Tahoma"/>
                <w:sz w:val="20"/>
                <w:szCs w:val="20"/>
              </w:rPr>
              <w:t>Select/Select Plus/Contrato Enterprise</w:t>
            </w:r>
          </w:p>
        </w:tc>
      </w:tr>
      <w:tr w:rsidR="0036654E" w:rsidRPr="004B208C"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B208C" w:rsidRDefault="0036654E" w:rsidP="00D824E9">
            <w:pPr>
              <w:pStyle w:val="AppendixTableText"/>
              <w:keepNext/>
              <w:rPr>
                <w:rFonts w:ascii="Tahoma" w:hAnsi="Tahoma" w:cs="Tahoma"/>
                <w:b/>
              </w:rPr>
            </w:pPr>
            <w:r w:rsidRPr="004B208C">
              <w:rPr>
                <w:rFonts w:ascii="Tahoma" w:hAnsi="Tahoma" w:cs="Tahoma"/>
                <w:b/>
                <w:sz w:val="20"/>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B208C" w:rsidRDefault="0036654E" w:rsidP="00A9099B">
            <w:pPr>
              <w:pStyle w:val="AppendixTableText"/>
              <w:rPr>
                <w:rFonts w:ascii="Tahoma" w:hAnsi="Tahoma" w:cs="Tahoma"/>
              </w:rPr>
            </w:pPr>
            <w:r w:rsidRPr="004B208C">
              <w:rPr>
                <w:rFonts w:ascii="Tahoma" w:hAnsi="Tahoma" w:cs="Tahoma"/>
              </w:rPr>
              <w:t>1 ID de Usuário por</w:t>
            </w:r>
          </w:p>
          <w:p w:rsidR="0036654E" w:rsidRPr="004B208C" w:rsidRDefault="0036654E" w:rsidP="00A9099B">
            <w:pPr>
              <w:pStyle w:val="AppendixTableText"/>
              <w:rPr>
                <w:rFonts w:ascii="Tahoma" w:hAnsi="Tahoma" w:cs="Tahoma"/>
              </w:rPr>
            </w:pPr>
            <w:r w:rsidRPr="004B208C">
              <w:rPr>
                <w:rFonts w:ascii="Tahoma" w:hAnsi="Tahoma" w:cs="Tahoma"/>
              </w:rPr>
              <w:t>Licença de Servidor</w:t>
            </w:r>
          </w:p>
          <w:p w:rsidR="0036654E" w:rsidRPr="004B208C" w:rsidRDefault="0036654E">
            <w:pPr>
              <w:pStyle w:val="AppendixTableText"/>
              <w:rPr>
                <w:rFonts w:ascii="Tahoma" w:hAnsi="Tahoma" w:cs="Tahoma"/>
              </w:rPr>
            </w:pPr>
            <w:r w:rsidRPr="004B208C">
              <w:rPr>
                <w:rFonts w:ascii="Tahoma" w:hAnsi="Tahoma" w:cs="Tahoma"/>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4B208C" w:rsidRDefault="0036654E" w:rsidP="00A9099B">
            <w:pPr>
              <w:pStyle w:val="AppendixTableText"/>
              <w:rPr>
                <w:rFonts w:ascii="Tahoma" w:hAnsi="Tahoma" w:cs="Tahoma"/>
              </w:rPr>
            </w:pPr>
            <w:r w:rsidRPr="004B208C">
              <w:rPr>
                <w:rFonts w:ascii="Tahoma" w:hAnsi="Tahoma" w:cs="Tahoma"/>
              </w:rPr>
              <w:t>1 ID de Usuário por</w:t>
            </w:r>
          </w:p>
          <w:p w:rsidR="0036654E" w:rsidRPr="004B208C" w:rsidRDefault="0036654E">
            <w:pPr>
              <w:pStyle w:val="AppendixTableText"/>
              <w:rPr>
                <w:rFonts w:ascii="Tahoma" w:hAnsi="Tahoma" w:cs="Tahoma"/>
              </w:rPr>
            </w:pPr>
            <w:r w:rsidRPr="004B208C">
              <w:rPr>
                <w:rFonts w:ascii="Tahoma" w:hAnsi="Tahoma" w:cs="Tahoma"/>
              </w:rPr>
              <w:t>Licença de Servidor</w:t>
            </w:r>
          </w:p>
        </w:tc>
      </w:tr>
    </w:tbl>
    <w:p w:rsidR="00B2460D" w:rsidRPr="00964A88" w:rsidRDefault="00B2460D">
      <w:pPr>
        <w:pStyle w:val="AppendixBodyText"/>
        <w:rPr>
          <w:rFonts w:ascii="Tahoma" w:hAnsi="Tahoma" w:cs="Tahoma"/>
          <w:sz w:val="18"/>
          <w:szCs w:val="18"/>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69"/>
        <w:gridCol w:w="1152"/>
        <w:gridCol w:w="1343"/>
        <w:gridCol w:w="1350"/>
        <w:gridCol w:w="1420"/>
        <w:gridCol w:w="1323"/>
        <w:gridCol w:w="1593"/>
      </w:tblGrid>
      <w:tr w:rsidR="0043190C" w:rsidRPr="004B208C" w:rsidTr="00964A88">
        <w:trPr>
          <w:trHeight w:val="178"/>
        </w:trPr>
        <w:tc>
          <w:tcPr>
            <w:tcW w:w="1269" w:type="dxa"/>
            <w:shd w:val="clear" w:color="auto" w:fill="FFCC99"/>
            <w:vAlign w:val="center"/>
          </w:tcPr>
          <w:p w:rsidR="0043190C" w:rsidRPr="004B208C" w:rsidRDefault="0043190C" w:rsidP="00964A88">
            <w:pPr>
              <w:pStyle w:val="AppendixTableHeadings"/>
              <w:keepNext/>
              <w:spacing w:line="240" w:lineRule="auto"/>
              <w:rPr>
                <w:rFonts w:ascii="Tahoma" w:hAnsi="Tahoma" w:cs="Tahoma"/>
                <w:sz w:val="20"/>
                <w:szCs w:val="20"/>
              </w:rPr>
            </w:pPr>
            <w:r w:rsidRPr="004B208C">
              <w:rPr>
                <w:rFonts w:ascii="Tahoma" w:hAnsi="Tahoma" w:cs="Tahoma"/>
                <w:sz w:val="20"/>
                <w:szCs w:val="20"/>
              </w:rPr>
              <w:lastRenderedPageBreak/>
              <w:t>Pool de Produtos</w:t>
            </w:r>
          </w:p>
        </w:tc>
        <w:tc>
          <w:tcPr>
            <w:tcW w:w="1152" w:type="dxa"/>
            <w:shd w:val="clear" w:color="auto" w:fill="FFCC99"/>
            <w:vAlign w:val="center"/>
          </w:tcPr>
          <w:p w:rsidR="0043190C" w:rsidRPr="004B208C" w:rsidRDefault="0043190C" w:rsidP="00964A88">
            <w:pPr>
              <w:pStyle w:val="AppendixTableHeadings"/>
              <w:keepNext/>
              <w:spacing w:line="240" w:lineRule="auto"/>
              <w:rPr>
                <w:rFonts w:ascii="Tahoma" w:hAnsi="Tahoma" w:cs="Tahoma"/>
                <w:sz w:val="20"/>
                <w:szCs w:val="20"/>
              </w:rPr>
            </w:pPr>
            <w:r w:rsidRPr="004B208C">
              <w:rPr>
                <w:rFonts w:ascii="Tahoma" w:hAnsi="Tahoma" w:cs="Tahoma"/>
                <w:sz w:val="20"/>
                <w:szCs w:val="20"/>
              </w:rPr>
              <w:t>Open Value com SAM</w:t>
            </w:r>
          </w:p>
        </w:tc>
        <w:tc>
          <w:tcPr>
            <w:tcW w:w="1343" w:type="dxa"/>
            <w:shd w:val="clear" w:color="auto" w:fill="FFCC99"/>
            <w:vAlign w:val="center"/>
          </w:tcPr>
          <w:p w:rsidR="0043190C" w:rsidRPr="004B208C" w:rsidRDefault="0043190C" w:rsidP="00964A88">
            <w:pPr>
              <w:pStyle w:val="AppendixTableHeadings"/>
              <w:keepNext/>
              <w:spacing w:line="240" w:lineRule="auto"/>
              <w:rPr>
                <w:rFonts w:ascii="Tahoma" w:hAnsi="Tahoma" w:cs="Tahoma"/>
              </w:rPr>
            </w:pPr>
            <w:r w:rsidRPr="004B208C">
              <w:rPr>
                <w:rFonts w:ascii="Tahoma" w:hAnsi="Tahoma" w:cs="Tahoma"/>
                <w:sz w:val="20"/>
                <w:szCs w:val="20"/>
              </w:rPr>
              <w:t>SAM</w:t>
            </w:r>
          </w:p>
          <w:p w:rsidR="0043190C" w:rsidRPr="004B208C" w:rsidRDefault="0043190C" w:rsidP="00DE0856">
            <w:pPr>
              <w:pStyle w:val="AppendixTableHeadings"/>
              <w:keepNext/>
              <w:spacing w:line="240" w:lineRule="auto"/>
              <w:rPr>
                <w:rFonts w:ascii="Tahoma" w:hAnsi="Tahoma" w:cs="Tahoma"/>
                <w:sz w:val="20"/>
                <w:szCs w:val="20"/>
              </w:rPr>
            </w:pPr>
            <w:r w:rsidRPr="004B208C">
              <w:rPr>
                <w:rFonts w:ascii="Tahoma" w:hAnsi="Tahoma" w:cs="Tahoma"/>
                <w:sz w:val="20"/>
                <w:szCs w:val="20"/>
              </w:rPr>
              <w:t>250-2</w:t>
            </w:r>
            <w:r w:rsidR="00DE0856">
              <w:rPr>
                <w:rFonts w:ascii="Tahoma" w:hAnsi="Tahoma" w:cs="Tahoma"/>
                <w:sz w:val="20"/>
                <w:szCs w:val="20"/>
              </w:rPr>
              <w:t>.</w:t>
            </w:r>
            <w:r w:rsidRPr="004B208C">
              <w:rPr>
                <w:rFonts w:ascii="Tahoma" w:hAnsi="Tahoma" w:cs="Tahoma"/>
                <w:sz w:val="20"/>
                <w:szCs w:val="20"/>
              </w:rPr>
              <w:t xml:space="preserve">399 </w:t>
            </w:r>
          </w:p>
        </w:tc>
        <w:tc>
          <w:tcPr>
            <w:tcW w:w="1350" w:type="dxa"/>
            <w:shd w:val="clear" w:color="auto" w:fill="FFCC99"/>
            <w:vAlign w:val="center"/>
          </w:tcPr>
          <w:p w:rsidR="0043190C" w:rsidRPr="004B208C" w:rsidRDefault="0043190C" w:rsidP="00964A88">
            <w:pPr>
              <w:pStyle w:val="AppendixTableHeadings"/>
              <w:keepNext/>
              <w:spacing w:line="240" w:lineRule="auto"/>
              <w:rPr>
                <w:rFonts w:ascii="Tahoma" w:hAnsi="Tahoma" w:cs="Tahoma"/>
              </w:rPr>
            </w:pPr>
            <w:r w:rsidRPr="004B208C">
              <w:rPr>
                <w:rFonts w:ascii="Tahoma" w:hAnsi="Tahoma" w:cs="Tahoma"/>
                <w:sz w:val="20"/>
                <w:szCs w:val="20"/>
              </w:rPr>
              <w:t>SAM</w:t>
            </w:r>
          </w:p>
          <w:p w:rsidR="0043190C" w:rsidRPr="004B208C" w:rsidRDefault="0043190C" w:rsidP="00DE0856">
            <w:pPr>
              <w:pStyle w:val="AppendixTableHeadings"/>
              <w:keepNext/>
              <w:spacing w:line="240" w:lineRule="auto"/>
              <w:rPr>
                <w:rFonts w:ascii="Tahoma" w:hAnsi="Tahoma" w:cs="Tahoma"/>
                <w:sz w:val="20"/>
                <w:szCs w:val="20"/>
              </w:rPr>
            </w:pPr>
            <w:r w:rsidRPr="004B208C">
              <w:rPr>
                <w:rFonts w:ascii="Tahoma" w:hAnsi="Tahoma" w:cs="Tahoma"/>
                <w:sz w:val="20"/>
                <w:szCs w:val="20"/>
              </w:rPr>
              <w:t>2</w:t>
            </w:r>
            <w:r w:rsidR="00DE0856">
              <w:rPr>
                <w:rFonts w:ascii="Tahoma" w:hAnsi="Tahoma" w:cs="Tahoma"/>
                <w:sz w:val="20"/>
                <w:szCs w:val="20"/>
              </w:rPr>
              <w:t>.</w:t>
            </w:r>
            <w:r w:rsidRPr="004B208C">
              <w:rPr>
                <w:rFonts w:ascii="Tahoma" w:hAnsi="Tahoma" w:cs="Tahoma"/>
                <w:sz w:val="20"/>
                <w:szCs w:val="20"/>
              </w:rPr>
              <w:t>400-5</w:t>
            </w:r>
            <w:r w:rsidR="00DE0856">
              <w:rPr>
                <w:rFonts w:ascii="Tahoma" w:hAnsi="Tahoma" w:cs="Tahoma"/>
                <w:sz w:val="20"/>
                <w:szCs w:val="20"/>
              </w:rPr>
              <w:t>.</w:t>
            </w:r>
            <w:r w:rsidRPr="004B208C">
              <w:rPr>
                <w:rFonts w:ascii="Tahoma" w:hAnsi="Tahoma" w:cs="Tahoma"/>
                <w:sz w:val="20"/>
                <w:szCs w:val="20"/>
              </w:rPr>
              <w:t>999</w:t>
            </w:r>
          </w:p>
        </w:tc>
        <w:tc>
          <w:tcPr>
            <w:tcW w:w="1420" w:type="dxa"/>
            <w:shd w:val="clear" w:color="auto" w:fill="FFCC99"/>
            <w:vAlign w:val="center"/>
          </w:tcPr>
          <w:p w:rsidR="0043190C" w:rsidRPr="004B208C" w:rsidRDefault="0043190C" w:rsidP="00964A88">
            <w:pPr>
              <w:pStyle w:val="AppendixTableHeadings"/>
              <w:keepNext/>
              <w:spacing w:line="240" w:lineRule="auto"/>
              <w:rPr>
                <w:rFonts w:ascii="Tahoma" w:hAnsi="Tahoma" w:cs="Tahoma"/>
              </w:rPr>
            </w:pPr>
            <w:r w:rsidRPr="004B208C">
              <w:rPr>
                <w:rFonts w:ascii="Tahoma" w:hAnsi="Tahoma" w:cs="Tahoma"/>
                <w:sz w:val="20"/>
                <w:szCs w:val="20"/>
              </w:rPr>
              <w:t>SAM</w:t>
            </w:r>
          </w:p>
          <w:p w:rsidR="0043190C" w:rsidRPr="004B208C" w:rsidRDefault="0043190C" w:rsidP="00DE0856">
            <w:pPr>
              <w:pStyle w:val="AppendixTableHeadings"/>
              <w:keepNext/>
              <w:spacing w:line="240" w:lineRule="auto"/>
              <w:rPr>
                <w:rFonts w:ascii="Tahoma" w:hAnsi="Tahoma" w:cs="Tahoma"/>
                <w:sz w:val="20"/>
                <w:szCs w:val="20"/>
              </w:rPr>
            </w:pPr>
            <w:r w:rsidRPr="004B208C">
              <w:rPr>
                <w:rFonts w:ascii="Tahoma" w:hAnsi="Tahoma" w:cs="Tahoma"/>
                <w:sz w:val="20"/>
                <w:szCs w:val="20"/>
              </w:rPr>
              <w:t>6</w:t>
            </w:r>
            <w:r w:rsidR="00DE0856">
              <w:rPr>
                <w:rFonts w:ascii="Tahoma" w:hAnsi="Tahoma" w:cs="Tahoma"/>
                <w:sz w:val="20"/>
                <w:szCs w:val="20"/>
              </w:rPr>
              <w:t>.</w:t>
            </w:r>
            <w:r w:rsidRPr="004B208C">
              <w:rPr>
                <w:rFonts w:ascii="Tahoma" w:hAnsi="Tahoma" w:cs="Tahoma"/>
                <w:sz w:val="20"/>
                <w:szCs w:val="20"/>
              </w:rPr>
              <w:t>000-14</w:t>
            </w:r>
            <w:r w:rsidR="00DE0856">
              <w:rPr>
                <w:rFonts w:ascii="Tahoma" w:hAnsi="Tahoma" w:cs="Tahoma"/>
                <w:sz w:val="20"/>
                <w:szCs w:val="20"/>
              </w:rPr>
              <w:t>.</w:t>
            </w:r>
            <w:r w:rsidRPr="004B208C">
              <w:rPr>
                <w:rFonts w:ascii="Tahoma" w:hAnsi="Tahoma" w:cs="Tahoma"/>
                <w:sz w:val="20"/>
                <w:szCs w:val="20"/>
              </w:rPr>
              <w:t>999</w:t>
            </w:r>
          </w:p>
        </w:tc>
        <w:tc>
          <w:tcPr>
            <w:tcW w:w="1323" w:type="dxa"/>
            <w:shd w:val="clear" w:color="auto" w:fill="FFCC99"/>
            <w:vAlign w:val="center"/>
          </w:tcPr>
          <w:p w:rsidR="0043190C" w:rsidRPr="004B208C" w:rsidRDefault="0043190C" w:rsidP="00964A88">
            <w:pPr>
              <w:pStyle w:val="AppendixTableHeadings"/>
              <w:keepNext/>
              <w:spacing w:line="240" w:lineRule="auto"/>
              <w:rPr>
                <w:rFonts w:ascii="Tahoma" w:hAnsi="Tahoma" w:cs="Tahoma"/>
              </w:rPr>
            </w:pPr>
            <w:r w:rsidRPr="004B208C">
              <w:rPr>
                <w:rFonts w:ascii="Tahoma" w:hAnsi="Tahoma" w:cs="Tahoma"/>
                <w:sz w:val="20"/>
                <w:szCs w:val="20"/>
              </w:rPr>
              <w:t>SAM</w:t>
            </w:r>
          </w:p>
          <w:p w:rsidR="0043190C" w:rsidRPr="004B208C" w:rsidRDefault="0043190C" w:rsidP="00DE0856">
            <w:pPr>
              <w:pStyle w:val="AppendixTableHeadings"/>
              <w:keepNext/>
              <w:spacing w:line="240" w:lineRule="auto"/>
              <w:rPr>
                <w:rFonts w:ascii="Tahoma" w:hAnsi="Tahoma" w:cs="Tahoma"/>
                <w:sz w:val="20"/>
                <w:szCs w:val="20"/>
              </w:rPr>
            </w:pPr>
            <w:r w:rsidRPr="004B208C">
              <w:rPr>
                <w:rFonts w:ascii="Tahoma" w:hAnsi="Tahoma" w:cs="Tahoma"/>
                <w:sz w:val="20"/>
                <w:szCs w:val="20"/>
              </w:rPr>
              <w:t>15</w:t>
            </w:r>
            <w:r w:rsidR="00DE0856">
              <w:rPr>
                <w:rFonts w:ascii="Tahoma" w:hAnsi="Tahoma" w:cs="Tahoma"/>
                <w:sz w:val="20"/>
                <w:szCs w:val="20"/>
              </w:rPr>
              <w:t>.</w:t>
            </w:r>
            <w:r w:rsidRPr="004B208C">
              <w:rPr>
                <w:rFonts w:ascii="Tahoma" w:hAnsi="Tahoma" w:cs="Tahoma"/>
                <w:sz w:val="20"/>
                <w:szCs w:val="20"/>
              </w:rPr>
              <w:t>000+</w:t>
            </w:r>
          </w:p>
        </w:tc>
        <w:tc>
          <w:tcPr>
            <w:tcW w:w="1593" w:type="dxa"/>
            <w:shd w:val="clear" w:color="auto" w:fill="FFCC99"/>
            <w:vAlign w:val="center"/>
          </w:tcPr>
          <w:p w:rsidR="0043190C" w:rsidRPr="004B208C" w:rsidRDefault="0043190C" w:rsidP="00964A88">
            <w:pPr>
              <w:pStyle w:val="AppendixTableHeadings"/>
              <w:keepNext/>
              <w:spacing w:line="240" w:lineRule="auto"/>
              <w:rPr>
                <w:rFonts w:ascii="Tahoma" w:hAnsi="Tahoma" w:cs="Tahoma"/>
                <w:sz w:val="20"/>
                <w:szCs w:val="20"/>
              </w:rPr>
            </w:pPr>
            <w:r w:rsidRPr="004B208C">
              <w:rPr>
                <w:rFonts w:ascii="Tahoma" w:hAnsi="Tahoma" w:cs="Tahoma"/>
                <w:sz w:val="20"/>
                <w:szCs w:val="20"/>
              </w:rPr>
              <w:t>Academic Select/Select Plus para Academic/</w:t>
            </w:r>
            <w:r w:rsidR="00964A88">
              <w:rPr>
                <w:rFonts w:ascii="Tahoma" w:hAnsi="Tahoma" w:cs="Tahoma"/>
                <w:sz w:val="20"/>
                <w:szCs w:val="20"/>
              </w:rPr>
              <w:br/>
            </w:r>
            <w:r w:rsidRPr="004B208C">
              <w:rPr>
                <w:rFonts w:ascii="Tahoma" w:hAnsi="Tahoma" w:cs="Tahoma"/>
                <w:sz w:val="20"/>
                <w:szCs w:val="20"/>
              </w:rPr>
              <w:t>Open com SAM</w:t>
            </w:r>
          </w:p>
        </w:tc>
      </w:tr>
      <w:tr w:rsidR="0043190C" w:rsidRPr="004B208C" w:rsidTr="00964A88">
        <w:trPr>
          <w:trHeight w:val="236"/>
        </w:trPr>
        <w:tc>
          <w:tcPr>
            <w:tcW w:w="1269"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b/>
              </w:rPr>
              <w:t>Pool de</w:t>
            </w:r>
            <w:r w:rsidRPr="004B208C">
              <w:rPr>
                <w:rFonts w:ascii="Tahoma" w:hAnsi="Tahoma" w:cs="Tahoma"/>
              </w:rPr>
              <w:t xml:space="preserve"> </w:t>
            </w:r>
            <w:r w:rsidRPr="004B208C">
              <w:rPr>
                <w:rFonts w:ascii="Tahoma" w:hAnsi="Tahoma" w:cs="Tahoma"/>
                <w:b/>
              </w:rPr>
              <w:t>aplicativos</w:t>
            </w:r>
          </w:p>
        </w:tc>
        <w:tc>
          <w:tcPr>
            <w:tcW w:w="1152"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1 ID de Usuário por contrato</w:t>
            </w:r>
          </w:p>
        </w:tc>
        <w:tc>
          <w:tcPr>
            <w:tcW w:w="1343"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2 IDs de Usuário por</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Registro</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Qualificado</w:t>
            </w:r>
          </w:p>
        </w:tc>
        <w:tc>
          <w:tcPr>
            <w:tcW w:w="1350"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5 IDs de Usuário por</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Registro</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Qualificado</w:t>
            </w:r>
          </w:p>
        </w:tc>
        <w:tc>
          <w:tcPr>
            <w:tcW w:w="1420"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10 IDs de Usuário por</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Registro</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Qualificado</w:t>
            </w:r>
          </w:p>
        </w:tc>
        <w:tc>
          <w:tcPr>
            <w:tcW w:w="1323"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20 IDs de Usuário por</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Registro</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Qualificado</w:t>
            </w:r>
          </w:p>
        </w:tc>
        <w:tc>
          <w:tcPr>
            <w:tcW w:w="1593"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1 ID de Usuário</w:t>
            </w:r>
            <w:r w:rsidR="00964A88">
              <w:rPr>
                <w:rFonts w:ascii="Tahoma" w:hAnsi="Tahoma" w:cs="Tahoma"/>
              </w:rPr>
              <w:t> </w:t>
            </w:r>
            <w:r w:rsidRPr="004B208C">
              <w:rPr>
                <w:rFonts w:ascii="Tahoma" w:hAnsi="Tahoma" w:cs="Tahoma"/>
              </w:rPr>
              <w:t>por registro/contrato</w:t>
            </w:r>
          </w:p>
        </w:tc>
      </w:tr>
      <w:tr w:rsidR="0043190C" w:rsidRPr="004B208C" w:rsidTr="00964A88">
        <w:trPr>
          <w:trHeight w:val="236"/>
        </w:trPr>
        <w:tc>
          <w:tcPr>
            <w:tcW w:w="1269"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b/>
              </w:rPr>
              <w:t>Pool de</w:t>
            </w:r>
            <w:r w:rsidRPr="004B208C">
              <w:rPr>
                <w:rFonts w:ascii="Tahoma" w:hAnsi="Tahoma" w:cs="Tahoma"/>
              </w:rPr>
              <w:t xml:space="preserve"> </w:t>
            </w:r>
            <w:r w:rsidRPr="004B208C">
              <w:rPr>
                <w:rFonts w:ascii="Tahoma" w:hAnsi="Tahoma" w:cs="Tahoma"/>
                <w:b/>
              </w:rPr>
              <w:t>sistemas</w:t>
            </w:r>
          </w:p>
        </w:tc>
        <w:tc>
          <w:tcPr>
            <w:tcW w:w="1152"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1 ID de Usuário por contrato</w:t>
            </w:r>
          </w:p>
        </w:tc>
        <w:tc>
          <w:tcPr>
            <w:tcW w:w="1343"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2 IDs de Usuário por</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Registro</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Qualificado</w:t>
            </w:r>
          </w:p>
        </w:tc>
        <w:tc>
          <w:tcPr>
            <w:tcW w:w="1350" w:type="dxa"/>
            <w:vAlign w:val="center"/>
          </w:tcPr>
          <w:p w:rsidR="0043190C" w:rsidRPr="004B208C" w:rsidRDefault="00F30075" w:rsidP="00964A88">
            <w:pPr>
              <w:pStyle w:val="AppendixTableText"/>
              <w:keepNext/>
              <w:spacing w:line="240" w:lineRule="auto"/>
              <w:rPr>
                <w:rFonts w:ascii="Tahoma" w:hAnsi="Tahoma" w:cs="Tahoma"/>
              </w:rPr>
            </w:pPr>
            <w:r w:rsidRPr="004B208C">
              <w:rPr>
                <w:rFonts w:ascii="Tahoma" w:hAnsi="Tahoma" w:cs="Tahoma"/>
              </w:rPr>
              <w:t>3 IDs de Usuário por</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Registro</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Qualificado</w:t>
            </w:r>
          </w:p>
        </w:tc>
        <w:tc>
          <w:tcPr>
            <w:tcW w:w="1420" w:type="dxa"/>
            <w:vAlign w:val="center"/>
          </w:tcPr>
          <w:p w:rsidR="0043190C" w:rsidRPr="004B208C" w:rsidRDefault="00F30075" w:rsidP="00964A88">
            <w:pPr>
              <w:pStyle w:val="AppendixTableText"/>
              <w:keepNext/>
              <w:spacing w:line="240" w:lineRule="auto"/>
              <w:rPr>
                <w:rFonts w:ascii="Tahoma" w:hAnsi="Tahoma" w:cs="Tahoma"/>
              </w:rPr>
            </w:pPr>
            <w:r w:rsidRPr="004B208C">
              <w:rPr>
                <w:rFonts w:ascii="Tahoma" w:hAnsi="Tahoma" w:cs="Tahoma"/>
              </w:rPr>
              <w:t>5 IDs de Usuário por</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Registro</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Qualificado</w:t>
            </w:r>
          </w:p>
        </w:tc>
        <w:tc>
          <w:tcPr>
            <w:tcW w:w="1323" w:type="dxa"/>
            <w:vAlign w:val="center"/>
          </w:tcPr>
          <w:p w:rsidR="0043190C" w:rsidRPr="004B208C" w:rsidRDefault="00F30075" w:rsidP="00964A88">
            <w:pPr>
              <w:pStyle w:val="AppendixTableText"/>
              <w:keepNext/>
              <w:spacing w:line="240" w:lineRule="auto"/>
              <w:rPr>
                <w:rFonts w:ascii="Tahoma" w:hAnsi="Tahoma" w:cs="Tahoma"/>
              </w:rPr>
            </w:pPr>
            <w:r w:rsidRPr="004B208C">
              <w:rPr>
                <w:rFonts w:ascii="Tahoma" w:hAnsi="Tahoma" w:cs="Tahoma"/>
              </w:rPr>
              <w:t>10 IDs de Usuário por</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Registro</w:t>
            </w:r>
          </w:p>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Qualificado</w:t>
            </w:r>
          </w:p>
        </w:tc>
        <w:tc>
          <w:tcPr>
            <w:tcW w:w="1593" w:type="dxa"/>
            <w:vAlign w:val="center"/>
          </w:tcPr>
          <w:p w:rsidR="0043190C" w:rsidRPr="004B208C" w:rsidRDefault="0043190C" w:rsidP="00964A88">
            <w:pPr>
              <w:pStyle w:val="AppendixTableText"/>
              <w:keepNext/>
              <w:spacing w:line="240" w:lineRule="auto"/>
              <w:rPr>
                <w:rFonts w:ascii="Tahoma" w:hAnsi="Tahoma" w:cs="Tahoma"/>
              </w:rPr>
            </w:pPr>
            <w:r w:rsidRPr="004B208C">
              <w:rPr>
                <w:rFonts w:ascii="Tahoma" w:hAnsi="Tahoma" w:cs="Tahoma"/>
              </w:rPr>
              <w:t>1 ID de Usuário</w:t>
            </w:r>
            <w:r w:rsidR="00964A88">
              <w:rPr>
                <w:rFonts w:ascii="Tahoma" w:hAnsi="Tahoma" w:cs="Tahoma"/>
              </w:rPr>
              <w:t> </w:t>
            </w:r>
            <w:r w:rsidRPr="004B208C">
              <w:rPr>
                <w:rFonts w:ascii="Tahoma" w:hAnsi="Tahoma" w:cs="Tahoma"/>
              </w:rPr>
              <w:t>por registro/contrato</w:t>
            </w:r>
          </w:p>
        </w:tc>
      </w:tr>
    </w:tbl>
    <w:p w:rsidR="009D26EE" w:rsidRPr="00964A88" w:rsidRDefault="009D26EE" w:rsidP="00792D1E">
      <w:pPr>
        <w:pStyle w:val="AppendixFlushBulletedList"/>
        <w:tabs>
          <w:tab w:val="clear" w:pos="360"/>
          <w:tab w:val="num" w:pos="0"/>
        </w:tabs>
        <w:ind w:left="0" w:firstLine="0"/>
        <w:rPr>
          <w:rFonts w:ascii="Tahoma" w:hAnsi="Tahoma" w:cs="Tahoma"/>
          <w:sz w:val="18"/>
          <w:szCs w:val="18"/>
        </w:rPr>
      </w:pPr>
      <w:r w:rsidRPr="00964A88">
        <w:rPr>
          <w:rFonts w:ascii="Tahoma" w:hAnsi="Tahoma" w:cs="Tahoma"/>
          <w:sz w:val="18"/>
          <w:szCs w:val="18"/>
        </w:rPr>
        <w:t>Cada ID de Usuário qualifica um indivíduo para registrar e obter acesso ao site de serviços online apenas para Assinantes, o que inclui, mas não se limita a: Atendimento via Chat, Grupos de Notícias Gerenciados e conteúdos premium.</w:t>
      </w:r>
    </w:p>
    <w:p w:rsidR="00792D1E" w:rsidRPr="00964A88" w:rsidRDefault="00792D1E" w:rsidP="00792D1E">
      <w:pPr>
        <w:pStyle w:val="AppendixFlushBulletedList"/>
        <w:tabs>
          <w:tab w:val="clear" w:pos="360"/>
          <w:tab w:val="num" w:pos="0"/>
        </w:tabs>
        <w:ind w:left="0" w:firstLine="0"/>
        <w:rPr>
          <w:rFonts w:ascii="Tahoma" w:hAnsi="Tahoma" w:cs="Tahoma"/>
          <w:sz w:val="18"/>
          <w:szCs w:val="18"/>
        </w:rPr>
      </w:pPr>
    </w:p>
    <w:p w:rsidR="008C0608" w:rsidRPr="00964A88" w:rsidRDefault="008C0608" w:rsidP="00792D1E">
      <w:pPr>
        <w:pStyle w:val="AppendixFlushBulletedList"/>
        <w:tabs>
          <w:tab w:val="clear" w:pos="360"/>
          <w:tab w:val="num" w:pos="0"/>
        </w:tabs>
        <w:ind w:left="0" w:firstLine="0"/>
        <w:rPr>
          <w:rFonts w:ascii="Tahoma" w:hAnsi="Tahoma" w:cs="Tahoma"/>
          <w:sz w:val="18"/>
          <w:szCs w:val="18"/>
        </w:rPr>
      </w:pPr>
      <w:r w:rsidRPr="00964A88">
        <w:rPr>
          <w:rFonts w:ascii="Tahoma" w:hAnsi="Tahoma" w:cs="Tahoma"/>
          <w:sz w:val="18"/>
          <w:szCs w:val="18"/>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rsidR="00792D1E" w:rsidRPr="00964A88" w:rsidRDefault="00792D1E" w:rsidP="00792D1E">
      <w:pPr>
        <w:pStyle w:val="AppendixFlushBulletedList"/>
        <w:tabs>
          <w:tab w:val="clear" w:pos="360"/>
          <w:tab w:val="num" w:pos="0"/>
        </w:tabs>
        <w:ind w:left="0" w:firstLine="0"/>
        <w:rPr>
          <w:rFonts w:ascii="Tahoma" w:hAnsi="Tahoma" w:cs="Tahoma"/>
          <w:sz w:val="18"/>
          <w:szCs w:val="18"/>
        </w:rPr>
      </w:pPr>
    </w:p>
    <w:p w:rsidR="00023FE7" w:rsidRPr="00964A88" w:rsidRDefault="009D26EE" w:rsidP="00792D1E">
      <w:pPr>
        <w:pStyle w:val="AppendixBodyText"/>
        <w:spacing w:after="0"/>
        <w:rPr>
          <w:rFonts w:ascii="Tahoma" w:hAnsi="Tahoma" w:cs="Tahoma"/>
          <w:sz w:val="18"/>
          <w:szCs w:val="18"/>
        </w:rPr>
      </w:pPr>
      <w:r w:rsidRPr="00964A88">
        <w:rPr>
          <w:rFonts w:ascii="Tahoma" w:hAnsi="Tahoma" w:cs="Tahoma"/>
          <w:sz w:val="18"/>
          <w:szCs w:val="18"/>
        </w:rPr>
        <w:t>O uso de software dos Serviços de Assinatura do TechNet SA pelos clientes está sujeito aos termos e condições de</w:t>
      </w:r>
      <w:r w:rsidR="00964A88">
        <w:rPr>
          <w:rFonts w:ascii="Tahoma" w:hAnsi="Tahoma" w:cs="Tahoma"/>
          <w:sz w:val="18"/>
          <w:szCs w:val="18"/>
        </w:rPr>
        <w:t> </w:t>
      </w:r>
      <w:r w:rsidRPr="00964A88">
        <w:rPr>
          <w:rFonts w:ascii="Tahoma" w:hAnsi="Tahoma" w:cs="Tahoma"/>
          <w:sz w:val="18"/>
          <w:szCs w:val="18"/>
        </w:rPr>
        <w:t>seu contrato de licença.</w:t>
      </w:r>
    </w:p>
    <w:p w:rsidR="004D4D43" w:rsidRPr="00964A88" w:rsidRDefault="004D4D43" w:rsidP="00F0652C">
      <w:pPr>
        <w:pStyle w:val="Heading3"/>
        <w:rPr>
          <w:rFonts w:ascii="Tahoma" w:hAnsi="Tahoma" w:cs="Tahoma"/>
          <w:b w:val="0"/>
          <w:sz w:val="18"/>
          <w:szCs w:val="18"/>
        </w:rPr>
      </w:pPr>
    </w:p>
    <w:p w:rsidR="00023FE7" w:rsidRPr="004B208C" w:rsidRDefault="00023FE7" w:rsidP="00F0652C">
      <w:pPr>
        <w:pStyle w:val="Heading3"/>
        <w:rPr>
          <w:rFonts w:ascii="Tahoma" w:hAnsi="Tahoma" w:cs="Tahoma"/>
        </w:rPr>
      </w:pPr>
      <w:bookmarkStart w:id="741" w:name="_Toc336338241"/>
      <w:bookmarkStart w:id="742" w:name="_Toc370981356"/>
      <w:r w:rsidRPr="004B208C">
        <w:rPr>
          <w:rFonts w:ascii="Tahoma" w:hAnsi="Tahoma" w:cs="Tahoma"/>
          <w:sz w:val="24"/>
        </w:rPr>
        <w:t>TechNet Plus Direct</w:t>
      </w:r>
      <w:bookmarkEnd w:id="741"/>
      <w:bookmarkEnd w:id="742"/>
    </w:p>
    <w:p w:rsidR="00F0652C" w:rsidRPr="004B208C" w:rsidRDefault="00F0652C" w:rsidP="00F0652C">
      <w:pPr>
        <w:rPr>
          <w:rFonts w:cs="Tahoma"/>
        </w:rPr>
      </w:pPr>
    </w:p>
    <w:p w:rsidR="00792D1E" w:rsidRPr="004B208C" w:rsidRDefault="00A65414" w:rsidP="00792D1E">
      <w:pPr>
        <w:pStyle w:val="AppendixBodyText"/>
        <w:spacing w:after="0"/>
        <w:rPr>
          <w:rFonts w:ascii="Tahoma" w:hAnsi="Tahoma" w:cs="Tahoma"/>
        </w:rPr>
      </w:pPr>
      <w:r w:rsidRPr="004B208C">
        <w:rPr>
          <w:rFonts w:ascii="Tahoma" w:hAnsi="Tahoma" w:cs="Tahoma"/>
          <w:sz w:val="18"/>
          <w:szCs w:val="18"/>
        </w:rPr>
        <w:t>Os clientes com Software Assurance para produtos qualificados no pool de servidores estão qualificados para uma Assinatura do TechNet Plus Direct durante o prazo de suas coberturas do Software Assurance.</w:t>
      </w:r>
      <w:r w:rsidR="00172F11">
        <w:rPr>
          <w:rFonts w:ascii="Tahoma" w:hAnsi="Tahoma" w:cs="Tahoma"/>
          <w:sz w:val="18"/>
          <w:szCs w:val="18"/>
        </w:rPr>
        <w:t xml:space="preserve"> </w:t>
      </w:r>
      <w:r w:rsidRPr="004B208C">
        <w:rPr>
          <w:rFonts w:ascii="Tahoma" w:hAnsi="Tahoma" w:cs="Tahoma"/>
          <w:sz w:val="18"/>
          <w:szCs w:val="18"/>
        </w:rPr>
        <w:t>Isso fornece aos profissionais de TI acesso ao conteúdo do TechNet Plus Direct, o que inclui a Base de Dados de Conhecimento Microsoft, treinamentos técnicos, downloads, patches de segurança, service packs e artigos como fazer.</w:t>
      </w:r>
      <w:r w:rsidR="00172F11">
        <w:rPr>
          <w:rFonts w:ascii="Tahoma" w:hAnsi="Tahoma" w:cs="Tahoma"/>
          <w:sz w:val="18"/>
          <w:szCs w:val="18"/>
        </w:rPr>
        <w:t xml:space="preserve"> </w:t>
      </w:r>
      <w:r w:rsidRPr="004B208C">
        <w:rPr>
          <w:rFonts w:ascii="Tahoma" w:hAnsi="Tahoma" w:cs="Tahoma"/>
          <w:sz w:val="18"/>
          <w:szCs w:val="18"/>
        </w:rPr>
        <w:t>Além disso, os clientes também receberão os seguintes benefícios:</w:t>
      </w:r>
    </w:p>
    <w:p w:rsidR="00023FE7" w:rsidRPr="00964A88" w:rsidRDefault="00023FE7" w:rsidP="00792D1E">
      <w:pPr>
        <w:pStyle w:val="AppendixBodyText"/>
        <w:spacing w:after="0"/>
        <w:rPr>
          <w:rFonts w:ascii="Tahoma" w:hAnsi="Tahoma" w:cs="Tahoma"/>
          <w:sz w:val="18"/>
          <w:szCs w:val="18"/>
        </w:rPr>
      </w:pPr>
    </w:p>
    <w:p w:rsidR="00023FE7" w:rsidRPr="00964A88" w:rsidRDefault="00023FE7" w:rsidP="00A1385C">
      <w:pPr>
        <w:pStyle w:val="AppendixFlushBulletedList"/>
        <w:numPr>
          <w:ilvl w:val="0"/>
          <w:numId w:val="106"/>
        </w:numPr>
        <w:spacing w:after="60"/>
        <w:ind w:left="1440"/>
        <w:rPr>
          <w:rFonts w:ascii="Tahoma" w:hAnsi="Tahoma" w:cs="Tahoma"/>
          <w:sz w:val="18"/>
          <w:szCs w:val="18"/>
        </w:rPr>
      </w:pPr>
      <w:r w:rsidRPr="00964A88">
        <w:rPr>
          <w:rFonts w:ascii="Tahoma" w:hAnsi="Tahoma" w:cs="Tahoma"/>
          <w:sz w:val="18"/>
          <w:szCs w:val="18"/>
        </w:rPr>
        <w:t xml:space="preserve">Acesso para baixar softwares de versão completa licenciados para fins de avaliação; inclui sistemas operacionais e servidores da Microsoft e software do Office System. </w:t>
      </w:r>
    </w:p>
    <w:p w:rsidR="00023FE7" w:rsidRPr="00964A88" w:rsidRDefault="00023FE7" w:rsidP="00A1385C">
      <w:pPr>
        <w:pStyle w:val="AppendixFlushBulletedList"/>
        <w:numPr>
          <w:ilvl w:val="0"/>
          <w:numId w:val="106"/>
        </w:numPr>
        <w:spacing w:after="60"/>
        <w:ind w:left="1440"/>
        <w:rPr>
          <w:rFonts w:ascii="Tahoma" w:hAnsi="Tahoma" w:cs="Tahoma"/>
          <w:sz w:val="18"/>
          <w:szCs w:val="18"/>
        </w:rPr>
      </w:pPr>
      <w:r w:rsidRPr="00964A88">
        <w:rPr>
          <w:rFonts w:ascii="Tahoma" w:hAnsi="Tahoma" w:cs="Tahoma"/>
          <w:sz w:val="18"/>
          <w:szCs w:val="18"/>
        </w:rPr>
        <w:t xml:space="preserve">Acesso para baixar software Beta — versões de pré-lançamento de software da Microsoft </w:t>
      </w:r>
    </w:p>
    <w:p w:rsidR="00023FE7" w:rsidRPr="00964A88" w:rsidRDefault="00023FE7" w:rsidP="00A1385C">
      <w:pPr>
        <w:pStyle w:val="AppendixFlushBulletedList"/>
        <w:numPr>
          <w:ilvl w:val="0"/>
          <w:numId w:val="106"/>
        </w:numPr>
        <w:spacing w:after="60"/>
        <w:ind w:left="1440"/>
        <w:rPr>
          <w:rFonts w:ascii="Tahoma" w:hAnsi="Tahoma" w:cs="Tahoma"/>
          <w:sz w:val="18"/>
          <w:szCs w:val="18"/>
        </w:rPr>
      </w:pPr>
      <w:r w:rsidRPr="00964A88">
        <w:rPr>
          <w:rFonts w:ascii="Tahoma" w:hAnsi="Tahoma" w:cs="Tahoma"/>
          <w:sz w:val="18"/>
          <w:szCs w:val="18"/>
        </w:rPr>
        <w:t xml:space="preserve">Dois (2) incidentes de suporte técnico complementares por ano e 20% de desconto para incidentes de suporte por telefone adicionais adquiridos por um cliente. </w:t>
      </w:r>
    </w:p>
    <w:p w:rsidR="00023FE7" w:rsidRPr="00964A88" w:rsidRDefault="00023FE7" w:rsidP="00A1385C">
      <w:pPr>
        <w:pStyle w:val="AppendixFlushBulletedList"/>
        <w:numPr>
          <w:ilvl w:val="0"/>
          <w:numId w:val="106"/>
        </w:numPr>
        <w:spacing w:after="60"/>
        <w:ind w:left="1440"/>
        <w:rPr>
          <w:rFonts w:ascii="Tahoma" w:hAnsi="Tahoma" w:cs="Tahoma"/>
          <w:sz w:val="18"/>
          <w:szCs w:val="18"/>
        </w:rPr>
      </w:pPr>
      <w:r w:rsidRPr="00964A88">
        <w:rPr>
          <w:rFonts w:ascii="Tahoma" w:hAnsi="Tahoma" w:cs="Tahoma"/>
          <w:sz w:val="18"/>
          <w:szCs w:val="18"/>
        </w:rPr>
        <w:t xml:space="preserve">Suporte a Grupos de Notícias Gerenciados Ilimitado e serviço de Atendimento via Chat. </w:t>
      </w:r>
    </w:p>
    <w:p w:rsidR="00023FE7" w:rsidRPr="00964A88" w:rsidRDefault="00023FE7" w:rsidP="00792D1E">
      <w:pPr>
        <w:pStyle w:val="AppendixBodyText"/>
        <w:spacing w:after="0"/>
        <w:rPr>
          <w:rFonts w:ascii="Tahoma" w:hAnsi="Tahoma" w:cs="Tahoma"/>
          <w:sz w:val="18"/>
          <w:szCs w:val="18"/>
        </w:rPr>
      </w:pPr>
    </w:p>
    <w:p w:rsidR="00023FE7" w:rsidRPr="00964A88" w:rsidRDefault="00023FE7" w:rsidP="00792D1E">
      <w:pPr>
        <w:pStyle w:val="AppendixBodyText"/>
        <w:spacing w:after="0"/>
        <w:rPr>
          <w:rFonts w:ascii="Tahoma" w:hAnsi="Tahoma" w:cs="Tahoma"/>
          <w:sz w:val="18"/>
          <w:szCs w:val="18"/>
        </w:rPr>
      </w:pPr>
      <w:r w:rsidRPr="00964A88">
        <w:rPr>
          <w:rFonts w:ascii="Tahoma" w:hAnsi="Tahoma" w:cs="Tahoma"/>
          <w:sz w:val="18"/>
          <w:szCs w:val="18"/>
        </w:rPr>
        <w:t>Os clientes qualificados recebem uma assinatura por registro qualificado, conforme mostrado a seguir:</w:t>
      </w:r>
    </w:p>
    <w:p w:rsidR="00023FE7" w:rsidRPr="003F7778" w:rsidRDefault="00023FE7" w:rsidP="00792D1E">
      <w:pPr>
        <w:pStyle w:val="AppendixBodyText"/>
        <w:tabs>
          <w:tab w:val="left" w:pos="1425"/>
        </w:tabs>
        <w:spacing w:after="0"/>
        <w:rPr>
          <w:rFonts w:ascii="Tahoma" w:hAnsi="Tahoma" w:cs="Tahoma"/>
          <w:sz w:val="18"/>
          <w:szCs w:val="18"/>
        </w:rPr>
      </w:pPr>
    </w:p>
    <w:tbl>
      <w:tblPr>
        <w:tblW w:w="9459" w:type="dxa"/>
        <w:tblInd w:w="99" w:type="dxa"/>
        <w:tblCellMar>
          <w:left w:w="0" w:type="dxa"/>
          <w:right w:w="0" w:type="dxa"/>
        </w:tblCellMar>
        <w:tblLook w:val="0000" w:firstRow="0" w:lastRow="0" w:firstColumn="0" w:lastColumn="0" w:noHBand="0" w:noVBand="0"/>
      </w:tblPr>
      <w:tblGrid>
        <w:gridCol w:w="1440"/>
        <w:gridCol w:w="1647"/>
        <w:gridCol w:w="2014"/>
        <w:gridCol w:w="2109"/>
        <w:gridCol w:w="2249"/>
      </w:tblGrid>
      <w:tr w:rsidR="00270612" w:rsidRPr="004B208C" w:rsidTr="00E06B68">
        <w:trPr>
          <w:trHeight w:val="460"/>
        </w:trPr>
        <w:tc>
          <w:tcPr>
            <w:tcW w:w="144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B208C" w:rsidRDefault="00270612" w:rsidP="00D824E9">
            <w:pPr>
              <w:keepNext/>
              <w:jc w:val="center"/>
              <w:rPr>
                <w:rFonts w:cs="Tahoma"/>
                <w:b/>
                <w:bCs/>
                <w:color w:val="000000"/>
                <w:sz w:val="20"/>
                <w:szCs w:val="20"/>
                <w:highlight w:val="yellow"/>
              </w:rPr>
            </w:pPr>
            <w:r w:rsidRPr="004B208C">
              <w:rPr>
                <w:rFonts w:cs="Tahoma"/>
                <w:b/>
                <w:bCs/>
                <w:color w:val="000000"/>
                <w:sz w:val="20"/>
                <w:szCs w:val="20"/>
              </w:rPr>
              <w:t>Produto</w:t>
            </w:r>
          </w:p>
        </w:tc>
        <w:tc>
          <w:tcPr>
            <w:tcW w:w="1647"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B208C" w:rsidRDefault="00270612" w:rsidP="00CA4488">
            <w:pPr>
              <w:jc w:val="center"/>
              <w:rPr>
                <w:rFonts w:cs="Tahoma"/>
                <w:b/>
                <w:bCs/>
                <w:color w:val="000000"/>
                <w:sz w:val="20"/>
                <w:szCs w:val="20"/>
                <w:highlight w:val="yellow"/>
              </w:rPr>
            </w:pPr>
            <w:r w:rsidRPr="004B208C">
              <w:rPr>
                <w:rFonts w:cs="Tahoma"/>
                <w:b/>
                <w:bCs/>
                <w:color w:val="000000"/>
                <w:sz w:val="20"/>
                <w:szCs w:val="20"/>
              </w:rPr>
              <w:t>Licença Open</w:t>
            </w:r>
          </w:p>
        </w:tc>
        <w:tc>
          <w:tcPr>
            <w:tcW w:w="2014"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B208C" w:rsidRDefault="00270612" w:rsidP="00CA4488">
            <w:pPr>
              <w:jc w:val="center"/>
              <w:rPr>
                <w:rFonts w:cs="Tahoma"/>
                <w:b/>
                <w:bCs/>
                <w:color w:val="000000"/>
                <w:sz w:val="20"/>
                <w:szCs w:val="20"/>
                <w:highlight w:val="yellow"/>
              </w:rPr>
            </w:pPr>
            <w:r w:rsidRPr="004B208C">
              <w:rPr>
                <w:rFonts w:cs="Tahoma"/>
                <w:b/>
                <w:bCs/>
                <w:color w:val="000000"/>
                <w:sz w:val="20"/>
                <w:szCs w:val="20"/>
              </w:rPr>
              <w:t>Open Value</w:t>
            </w:r>
          </w:p>
        </w:tc>
        <w:tc>
          <w:tcPr>
            <w:tcW w:w="2109" w:type="dxa"/>
            <w:tcBorders>
              <w:top w:val="single" w:sz="8" w:space="0" w:color="auto"/>
              <w:left w:val="nil"/>
              <w:bottom w:val="single" w:sz="8" w:space="0" w:color="auto"/>
              <w:right w:val="single" w:sz="8" w:space="0" w:color="auto"/>
            </w:tcBorders>
            <w:shd w:val="clear" w:color="auto" w:fill="FFCC99"/>
            <w:vAlign w:val="center"/>
          </w:tcPr>
          <w:p w:rsidR="00270612" w:rsidRPr="004B208C" w:rsidRDefault="00270612" w:rsidP="00CA4488">
            <w:pPr>
              <w:jc w:val="center"/>
              <w:rPr>
                <w:rFonts w:cs="Tahoma"/>
                <w:b/>
                <w:bCs/>
                <w:color w:val="000000"/>
                <w:sz w:val="20"/>
                <w:szCs w:val="20"/>
              </w:rPr>
            </w:pPr>
            <w:r w:rsidRPr="004B208C">
              <w:rPr>
                <w:rFonts w:cs="Tahoma"/>
                <w:b/>
                <w:bCs/>
                <w:color w:val="000000"/>
                <w:sz w:val="20"/>
                <w:szCs w:val="20"/>
              </w:rPr>
              <w:t>Academic</w:t>
            </w:r>
          </w:p>
        </w:tc>
        <w:tc>
          <w:tcPr>
            <w:tcW w:w="224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4B208C" w:rsidRDefault="00270612" w:rsidP="00CA4488">
            <w:pPr>
              <w:jc w:val="center"/>
              <w:rPr>
                <w:rFonts w:cs="Tahoma"/>
                <w:b/>
                <w:bCs/>
                <w:color w:val="000000"/>
                <w:sz w:val="20"/>
                <w:szCs w:val="20"/>
                <w:highlight w:val="yellow"/>
              </w:rPr>
            </w:pPr>
            <w:r w:rsidRPr="004B208C">
              <w:rPr>
                <w:rFonts w:cs="Tahoma"/>
                <w:b/>
                <w:bCs/>
                <w:color w:val="000000"/>
                <w:sz w:val="20"/>
                <w:szCs w:val="20"/>
              </w:rPr>
              <w:t>Select (diferente de Academic)/Select Plus (diferente de Academic)/Contrato Enterprise</w:t>
            </w:r>
          </w:p>
        </w:tc>
      </w:tr>
      <w:tr w:rsidR="00270612" w:rsidRPr="004B208C" w:rsidTr="00E06B68">
        <w:trPr>
          <w:trHeight w:val="50"/>
        </w:trPr>
        <w:tc>
          <w:tcPr>
            <w:tcW w:w="144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B208C" w:rsidRDefault="00270612" w:rsidP="00CA4488">
            <w:pPr>
              <w:rPr>
                <w:rFonts w:cs="Tahoma"/>
                <w:color w:val="000000"/>
                <w:szCs w:val="18"/>
                <w:highlight w:val="yellow"/>
              </w:rPr>
            </w:pPr>
            <w:r w:rsidRPr="004B208C">
              <w:rPr>
                <w:rFonts w:cs="Tahoma"/>
                <w:b/>
                <w:bCs/>
                <w:iCs/>
                <w:color w:val="000000"/>
                <w:szCs w:val="18"/>
              </w:rPr>
              <w:t>Licenças de</w:t>
            </w:r>
            <w:r w:rsidRPr="004B208C">
              <w:rPr>
                <w:rFonts w:cs="Tahoma"/>
                <w:b/>
                <w:color w:val="000000"/>
                <w:szCs w:val="18"/>
              </w:rPr>
              <w:t xml:space="preserve"> servidor</w:t>
            </w:r>
          </w:p>
        </w:tc>
        <w:tc>
          <w:tcPr>
            <w:tcW w:w="1647"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B208C" w:rsidRDefault="00270612" w:rsidP="00CA4488">
            <w:pPr>
              <w:jc w:val="center"/>
              <w:rPr>
                <w:rFonts w:cs="Tahoma"/>
                <w:color w:val="000000"/>
                <w:szCs w:val="18"/>
                <w:highlight w:val="yellow"/>
              </w:rPr>
            </w:pPr>
            <w:r w:rsidRPr="004B208C">
              <w:rPr>
                <w:rFonts w:cs="Tahoma"/>
                <w:color w:val="000000"/>
                <w:szCs w:val="18"/>
              </w:rPr>
              <w:t>N/D</w:t>
            </w:r>
          </w:p>
        </w:tc>
        <w:tc>
          <w:tcPr>
            <w:tcW w:w="2014"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4B208C" w:rsidRDefault="00270612" w:rsidP="00CA4488">
            <w:pPr>
              <w:jc w:val="center"/>
              <w:rPr>
                <w:rFonts w:cs="Tahoma"/>
                <w:color w:val="000000"/>
                <w:szCs w:val="18"/>
                <w:highlight w:val="yellow"/>
              </w:rPr>
            </w:pPr>
            <w:r w:rsidRPr="004B208C">
              <w:rPr>
                <w:rFonts w:cs="Tahoma"/>
                <w:color w:val="000000"/>
                <w:szCs w:val="18"/>
              </w:rPr>
              <w:t>1 assinatura por registro</w:t>
            </w:r>
          </w:p>
        </w:tc>
        <w:tc>
          <w:tcPr>
            <w:tcW w:w="2109" w:type="dxa"/>
            <w:tcBorders>
              <w:top w:val="single" w:sz="8" w:space="0" w:color="auto"/>
              <w:left w:val="nil"/>
              <w:bottom w:val="single" w:sz="8" w:space="0" w:color="auto"/>
              <w:right w:val="single" w:sz="8" w:space="0" w:color="auto"/>
            </w:tcBorders>
          </w:tcPr>
          <w:p w:rsidR="00270612" w:rsidRPr="00E06B68" w:rsidRDefault="00270612" w:rsidP="00F30075">
            <w:pPr>
              <w:ind w:left="360"/>
              <w:rPr>
                <w:rFonts w:cs="Tahoma"/>
                <w:color w:val="000000"/>
                <w:szCs w:val="18"/>
              </w:rPr>
            </w:pPr>
            <w:r w:rsidRPr="00E06B68">
              <w:rPr>
                <w:rFonts w:cs="Tahoma"/>
                <w:color w:val="000000"/>
                <w:szCs w:val="18"/>
              </w:rPr>
              <w:t>1 assinatura por registro “</w:t>
            </w:r>
          </w:p>
        </w:tc>
        <w:tc>
          <w:tcPr>
            <w:tcW w:w="224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4B208C" w:rsidRDefault="00270612" w:rsidP="00CA4488">
            <w:pPr>
              <w:rPr>
                <w:rFonts w:cs="Tahoma"/>
                <w:color w:val="000000"/>
                <w:szCs w:val="18"/>
              </w:rPr>
            </w:pPr>
            <w:r w:rsidRPr="004B208C">
              <w:rPr>
                <w:rFonts w:cs="Tahoma"/>
                <w:color w:val="000000"/>
                <w:szCs w:val="18"/>
              </w:rPr>
              <w:t>1 assinatura por registro</w:t>
            </w:r>
          </w:p>
        </w:tc>
      </w:tr>
    </w:tbl>
    <w:p w:rsidR="00F30075" w:rsidRPr="004B208C" w:rsidRDefault="00F30075" w:rsidP="00F30075">
      <w:pPr>
        <w:tabs>
          <w:tab w:val="num" w:pos="0"/>
        </w:tabs>
        <w:rPr>
          <w:rFonts w:cs="Tahoma"/>
        </w:rPr>
      </w:pPr>
      <w:r w:rsidRPr="004B208C">
        <w:rPr>
          <w:rFonts w:cs="Tahoma"/>
          <w:i/>
          <w:color w:val="000000"/>
          <w:sz w:val="16"/>
          <w:szCs w:val="16"/>
        </w:rPr>
        <w:t>Se o cliente tiver uma cobertura ativa do SA para cinco licenças de software de servidor</w:t>
      </w:r>
    </w:p>
    <w:p w:rsidR="00270612" w:rsidRPr="00E06B68" w:rsidRDefault="00270612" w:rsidP="00270612">
      <w:pPr>
        <w:pStyle w:val="AppendixFlushBulletedList"/>
        <w:tabs>
          <w:tab w:val="clear" w:pos="360"/>
          <w:tab w:val="num" w:pos="0"/>
        </w:tabs>
        <w:ind w:left="0" w:firstLine="0"/>
        <w:rPr>
          <w:rFonts w:ascii="Tahoma" w:hAnsi="Tahoma" w:cs="Tahoma"/>
          <w:sz w:val="18"/>
          <w:szCs w:val="18"/>
        </w:rPr>
      </w:pPr>
    </w:p>
    <w:p w:rsidR="00270612" w:rsidRPr="00E06B68" w:rsidRDefault="00270612" w:rsidP="00270612">
      <w:pPr>
        <w:pStyle w:val="AppendixFlushBulletedList"/>
        <w:tabs>
          <w:tab w:val="clear" w:pos="360"/>
          <w:tab w:val="num" w:pos="0"/>
        </w:tabs>
        <w:ind w:left="0" w:firstLine="0"/>
        <w:rPr>
          <w:rFonts w:ascii="Tahoma" w:hAnsi="Tahoma" w:cs="Tahoma"/>
          <w:sz w:val="18"/>
          <w:szCs w:val="18"/>
        </w:rPr>
      </w:pPr>
      <w:r w:rsidRPr="00E06B68">
        <w:rPr>
          <w:rFonts w:ascii="Tahoma" w:hAnsi="Tahoma" w:cs="Tahoma"/>
          <w:color w:val="000000"/>
          <w:sz w:val="18"/>
          <w:szCs w:val="18"/>
        </w:rPr>
        <w:t>O uso de software, software de pré-lançamento e de avaliação do TechNet Plus Direct pelos clientes está sujeito aos termos e condições de seus contratos de licença.</w:t>
      </w:r>
      <w:r w:rsidR="00172F11" w:rsidRPr="00E06B68">
        <w:rPr>
          <w:rFonts w:ascii="Tahoma" w:hAnsi="Tahoma" w:cs="Tahoma"/>
          <w:color w:val="000000"/>
          <w:sz w:val="18"/>
          <w:szCs w:val="18"/>
        </w:rPr>
        <w:t xml:space="preserve"> </w:t>
      </w:r>
    </w:p>
    <w:p w:rsidR="00270612" w:rsidRPr="00765C3B" w:rsidRDefault="00270612" w:rsidP="00270612">
      <w:pPr>
        <w:pStyle w:val="AppendixFlushBulletedList"/>
        <w:tabs>
          <w:tab w:val="clear" w:pos="360"/>
          <w:tab w:val="num" w:pos="0"/>
        </w:tabs>
        <w:ind w:left="0" w:firstLine="0"/>
        <w:rPr>
          <w:rFonts w:ascii="Tahoma" w:hAnsi="Tahoma" w:cs="Tahoma"/>
          <w:sz w:val="18"/>
          <w:szCs w:val="18"/>
        </w:rPr>
      </w:pPr>
      <w:r w:rsidRPr="00765C3B">
        <w:rPr>
          <w:rFonts w:ascii="Tahoma" w:hAnsi="Tahoma" w:cs="Tahoma"/>
          <w:color w:val="000000"/>
          <w:sz w:val="18"/>
          <w:szCs w:val="18"/>
        </w:rPr>
        <w:t xml:space="preserve">O software de versão completa licenciado não possui uma bomba relógio e destina-se apenas para fins de avaliação – ela não deve ser usado em ambientes de produção. </w:t>
      </w:r>
    </w:p>
    <w:p w:rsidR="004D4D43" w:rsidRPr="00765C3B" w:rsidRDefault="004D4D43" w:rsidP="00270612">
      <w:pPr>
        <w:pStyle w:val="AppendixFlushBulletedList"/>
        <w:tabs>
          <w:tab w:val="clear" w:pos="360"/>
          <w:tab w:val="num" w:pos="0"/>
        </w:tabs>
        <w:ind w:left="0" w:firstLine="0"/>
        <w:rPr>
          <w:rFonts w:ascii="Tahoma" w:hAnsi="Tahoma" w:cs="Tahoma"/>
          <w:sz w:val="18"/>
          <w:szCs w:val="18"/>
        </w:rPr>
      </w:pPr>
    </w:p>
    <w:p w:rsidR="00270612" w:rsidRPr="00765C3B" w:rsidRDefault="00270612" w:rsidP="00270612">
      <w:pPr>
        <w:pStyle w:val="AppendixFlushBulletedList"/>
        <w:tabs>
          <w:tab w:val="clear" w:pos="360"/>
          <w:tab w:val="num" w:pos="0"/>
        </w:tabs>
        <w:ind w:left="0" w:firstLine="0"/>
        <w:rPr>
          <w:rFonts w:ascii="Tahoma" w:hAnsi="Tahoma" w:cs="Tahoma"/>
          <w:sz w:val="18"/>
          <w:szCs w:val="18"/>
        </w:rPr>
      </w:pPr>
      <w:r w:rsidRPr="00765C3B">
        <w:rPr>
          <w:rFonts w:ascii="Tahoma" w:hAnsi="Tahoma" w:cs="Tahoma"/>
          <w:color w:val="000000"/>
          <w:sz w:val="18"/>
          <w:szCs w:val="18"/>
        </w:rPr>
        <w:lastRenderedPageBreak/>
        <w:t>Os clientes do SA têm direito de compartilhar o conteúdo técnico dentro da organização, como a base de conhecimento, os treinamentos técnicos, os downloads, os service packs e os patches de segurança.</w:t>
      </w:r>
      <w:r w:rsidR="00172F11" w:rsidRPr="00765C3B">
        <w:rPr>
          <w:rFonts w:ascii="Tahoma" w:hAnsi="Tahoma" w:cs="Tahoma"/>
          <w:color w:val="000000"/>
          <w:sz w:val="18"/>
          <w:szCs w:val="18"/>
        </w:rPr>
        <w:t xml:space="preserve"> </w:t>
      </w:r>
      <w:r w:rsidRPr="00765C3B">
        <w:rPr>
          <w:rFonts w:ascii="Tahoma" w:hAnsi="Tahoma" w:cs="Tahoma"/>
          <w:color w:val="000000"/>
          <w:sz w:val="18"/>
          <w:szCs w:val="18"/>
        </w:rPr>
        <w:t>Entretanto, os</w:t>
      </w:r>
      <w:r w:rsidR="00765C3B">
        <w:rPr>
          <w:rFonts w:ascii="Tahoma" w:hAnsi="Tahoma" w:cs="Tahoma"/>
          <w:color w:val="000000"/>
          <w:sz w:val="18"/>
          <w:szCs w:val="18"/>
        </w:rPr>
        <w:t> </w:t>
      </w:r>
      <w:r w:rsidRPr="00765C3B">
        <w:rPr>
          <w:rFonts w:ascii="Tahoma" w:hAnsi="Tahoma" w:cs="Tahoma"/>
          <w:color w:val="000000"/>
          <w:sz w:val="18"/>
          <w:szCs w:val="18"/>
        </w:rPr>
        <w:t>benefícios a seguir são exclusivos do principal assinante e não podem ser compartilhados: software de versão completa para fins de avaliação, software beta, incidentes de suporte técnico e descontos, grupos de notícias gerenciados e atendimento via chat, além de outros serviços premium disponibilizados apenas por meio do site do</w:t>
      </w:r>
      <w:r w:rsidR="00765C3B">
        <w:rPr>
          <w:rFonts w:ascii="Tahoma" w:hAnsi="Tahoma" w:cs="Tahoma"/>
          <w:color w:val="000000"/>
          <w:sz w:val="18"/>
          <w:szCs w:val="18"/>
        </w:rPr>
        <w:t> </w:t>
      </w:r>
      <w:r w:rsidRPr="00765C3B">
        <w:rPr>
          <w:rFonts w:ascii="Tahoma" w:hAnsi="Tahoma" w:cs="Tahoma"/>
          <w:color w:val="000000"/>
          <w:sz w:val="18"/>
          <w:szCs w:val="18"/>
        </w:rPr>
        <w:t xml:space="preserve">TechNet Plus Direct. </w:t>
      </w:r>
    </w:p>
    <w:p w:rsidR="00792D1E" w:rsidRPr="00765C3B" w:rsidRDefault="00792D1E" w:rsidP="00270612">
      <w:pPr>
        <w:pStyle w:val="AppendixFlushBulletedList"/>
        <w:tabs>
          <w:tab w:val="clear" w:pos="360"/>
          <w:tab w:val="num" w:pos="0"/>
        </w:tabs>
        <w:ind w:left="0" w:firstLine="0"/>
        <w:rPr>
          <w:rFonts w:ascii="Tahoma" w:hAnsi="Tahoma" w:cs="Tahoma"/>
          <w:sz w:val="18"/>
          <w:szCs w:val="18"/>
        </w:rPr>
      </w:pPr>
    </w:p>
    <w:p w:rsidR="00270612" w:rsidRPr="00765C3B" w:rsidRDefault="00270612" w:rsidP="00270612">
      <w:pPr>
        <w:pStyle w:val="AppendixFlushBulletedList"/>
        <w:tabs>
          <w:tab w:val="clear" w:pos="360"/>
          <w:tab w:val="num" w:pos="0"/>
        </w:tabs>
        <w:ind w:left="0" w:firstLine="0"/>
        <w:rPr>
          <w:rFonts w:ascii="Tahoma" w:hAnsi="Tahoma" w:cs="Tahoma"/>
          <w:sz w:val="18"/>
          <w:szCs w:val="18"/>
        </w:rPr>
      </w:pPr>
      <w:r w:rsidRPr="00765C3B">
        <w:rPr>
          <w:rFonts w:ascii="Tahoma" w:hAnsi="Tahoma" w:cs="Tahoma"/>
          <w:color w:val="000000"/>
          <w:sz w:val="18"/>
          <w:szCs w:val="18"/>
        </w:rPr>
        <w:t>Nem todos os serviços e benefícios do TechNet Plus Direct estão disponíveis em todos os países/regiões.</w:t>
      </w:r>
      <w:r w:rsidR="00172F11" w:rsidRPr="00765C3B">
        <w:rPr>
          <w:rFonts w:ascii="Tahoma" w:hAnsi="Tahoma" w:cs="Tahoma"/>
          <w:color w:val="000000"/>
          <w:sz w:val="18"/>
          <w:szCs w:val="18"/>
        </w:rPr>
        <w:t xml:space="preserve"> </w:t>
      </w:r>
    </w:p>
    <w:p w:rsidR="00792D1E" w:rsidRPr="00765C3B" w:rsidRDefault="00792D1E" w:rsidP="00270612">
      <w:pPr>
        <w:pStyle w:val="AppendixFlushBulletedList"/>
        <w:tabs>
          <w:tab w:val="clear" w:pos="360"/>
          <w:tab w:val="num" w:pos="0"/>
        </w:tabs>
        <w:ind w:left="0" w:firstLine="0"/>
        <w:rPr>
          <w:rFonts w:ascii="Tahoma" w:hAnsi="Tahoma" w:cs="Tahoma"/>
          <w:sz w:val="18"/>
          <w:szCs w:val="18"/>
        </w:rPr>
      </w:pPr>
    </w:p>
    <w:p w:rsidR="00270612" w:rsidRPr="00765C3B" w:rsidRDefault="00270612" w:rsidP="00270612">
      <w:pPr>
        <w:pStyle w:val="AppendixFlushBulletedList"/>
        <w:tabs>
          <w:tab w:val="clear" w:pos="360"/>
          <w:tab w:val="num" w:pos="0"/>
        </w:tabs>
        <w:ind w:left="0" w:firstLine="0"/>
        <w:rPr>
          <w:rFonts w:ascii="Tahoma" w:hAnsi="Tahoma" w:cs="Tahoma"/>
          <w:sz w:val="18"/>
          <w:szCs w:val="18"/>
        </w:rPr>
      </w:pPr>
      <w:r w:rsidRPr="00765C3B">
        <w:rPr>
          <w:rFonts w:ascii="Tahoma" w:hAnsi="Tahoma" w:cs="Tahoma"/>
          <w:color w:val="000000"/>
          <w:sz w:val="18"/>
          <w:szCs w:val="18"/>
        </w:rPr>
        <w:t xml:space="preserve">Visite o site </w:t>
      </w:r>
      <w:hyperlink r:id="rId28" w:history="1">
        <w:r w:rsidR="00765C3B">
          <w:rPr>
            <w:rStyle w:val="Hyperlink"/>
            <w:rFonts w:ascii="Tahoma" w:hAnsi="Tahoma" w:cs="Tahoma"/>
            <w:color w:val="000000"/>
            <w:sz w:val="18"/>
            <w:szCs w:val="18"/>
          </w:rPr>
          <w:t>www.microsoft.com/technet/subscription</w:t>
        </w:r>
      </w:hyperlink>
      <w:r w:rsidRPr="00765C3B">
        <w:rPr>
          <w:rFonts w:ascii="Tahoma" w:hAnsi="Tahoma" w:cs="Tahoma"/>
          <w:color w:val="000000"/>
          <w:sz w:val="18"/>
          <w:szCs w:val="18"/>
        </w:rPr>
        <w:t xml:space="preserve"> para obter mais informações sobre a disponibilidade por</w:t>
      </w:r>
      <w:r w:rsidR="00765C3B">
        <w:rPr>
          <w:rFonts w:ascii="Tahoma" w:hAnsi="Tahoma" w:cs="Tahoma"/>
          <w:color w:val="000000"/>
          <w:sz w:val="18"/>
          <w:szCs w:val="18"/>
        </w:rPr>
        <w:t> </w:t>
      </w:r>
      <w:r w:rsidRPr="00765C3B">
        <w:rPr>
          <w:rFonts w:ascii="Tahoma" w:hAnsi="Tahoma" w:cs="Tahoma"/>
          <w:color w:val="000000"/>
          <w:sz w:val="18"/>
          <w:szCs w:val="18"/>
        </w:rPr>
        <w:t xml:space="preserve">país/região. </w:t>
      </w:r>
    </w:p>
    <w:p w:rsidR="00270612" w:rsidRPr="00765C3B" w:rsidRDefault="00270612" w:rsidP="00270612">
      <w:pPr>
        <w:pStyle w:val="AppendixFlushBulletedList"/>
        <w:tabs>
          <w:tab w:val="clear" w:pos="360"/>
          <w:tab w:val="num" w:pos="0"/>
        </w:tabs>
        <w:ind w:left="0" w:firstLine="0"/>
        <w:rPr>
          <w:rFonts w:ascii="Tahoma" w:hAnsi="Tahoma" w:cs="Tahoma"/>
          <w:sz w:val="18"/>
          <w:szCs w:val="18"/>
        </w:rPr>
      </w:pPr>
      <w:r w:rsidRPr="00765C3B">
        <w:rPr>
          <w:rFonts w:ascii="Tahoma" w:hAnsi="Tahoma" w:cs="Tahoma"/>
          <w:color w:val="000000"/>
          <w:sz w:val="18"/>
          <w:szCs w:val="18"/>
        </w:rPr>
        <w:t>Os direitos de uso de software, software de pré-lançamento e de avaliação do TechNet Plus Direct pelos clientes se</w:t>
      </w:r>
      <w:r w:rsidR="00765C3B">
        <w:rPr>
          <w:rFonts w:ascii="Tahoma" w:hAnsi="Tahoma" w:cs="Tahoma"/>
          <w:color w:val="000000"/>
          <w:sz w:val="18"/>
          <w:szCs w:val="18"/>
        </w:rPr>
        <w:t> </w:t>
      </w:r>
      <w:r w:rsidRPr="00765C3B">
        <w:rPr>
          <w:rFonts w:ascii="Tahoma" w:hAnsi="Tahoma" w:cs="Tahoma"/>
          <w:color w:val="000000"/>
          <w:sz w:val="18"/>
          <w:szCs w:val="18"/>
        </w:rPr>
        <w:t>encerram no término de suas coberturas do Software Assurance.</w:t>
      </w:r>
    </w:p>
    <w:p w:rsidR="00023FE7" w:rsidRPr="00765C3B" w:rsidRDefault="00023FE7">
      <w:pPr>
        <w:pStyle w:val="Heading3"/>
        <w:tabs>
          <w:tab w:val="num" w:pos="0"/>
        </w:tabs>
        <w:rPr>
          <w:rFonts w:ascii="Tahoma" w:hAnsi="Tahoma" w:cs="Tahoma"/>
          <w:sz w:val="18"/>
          <w:szCs w:val="18"/>
        </w:rPr>
      </w:pPr>
    </w:p>
    <w:p w:rsidR="004D4D43" w:rsidRPr="004B208C" w:rsidRDefault="004D4D43" w:rsidP="004D4D43">
      <w:pPr>
        <w:pStyle w:val="Heading3"/>
        <w:tabs>
          <w:tab w:val="num" w:pos="0"/>
        </w:tabs>
        <w:rPr>
          <w:rFonts w:ascii="Tahoma" w:hAnsi="Tahoma" w:cs="Tahoma"/>
        </w:rPr>
      </w:pPr>
      <w:bookmarkStart w:id="743" w:name="_Toc336338242"/>
      <w:bookmarkStart w:id="744" w:name="_Toc370981357"/>
      <w:r w:rsidRPr="004B208C">
        <w:rPr>
          <w:rFonts w:ascii="Tahoma" w:hAnsi="Tahoma" w:cs="Tahoma"/>
          <w:sz w:val="24"/>
        </w:rPr>
        <w:t>Mobilidade de Licença por meio do Software Assurance.</w:t>
      </w:r>
      <w:bookmarkEnd w:id="743"/>
      <w:bookmarkEnd w:id="744"/>
    </w:p>
    <w:p w:rsidR="004D4D43" w:rsidRPr="00765C3B" w:rsidRDefault="004D4D43" w:rsidP="0007218F">
      <w:pPr>
        <w:pStyle w:val="Heading3"/>
        <w:tabs>
          <w:tab w:val="num" w:pos="0"/>
        </w:tabs>
        <w:rPr>
          <w:rFonts w:ascii="Tahoma" w:hAnsi="Tahoma" w:cs="Tahoma"/>
          <w:sz w:val="18"/>
          <w:szCs w:val="18"/>
        </w:rPr>
      </w:pPr>
    </w:p>
    <w:p w:rsidR="004D4D43" w:rsidRPr="004B208C" w:rsidRDefault="004D4D43" w:rsidP="002171C3">
      <w:pPr>
        <w:rPr>
          <w:rFonts w:cs="Tahoma"/>
        </w:rPr>
      </w:pPr>
      <w:bookmarkStart w:id="745" w:name="_Toc294048012"/>
      <w:bookmarkStart w:id="746" w:name="_Toc294048569"/>
      <w:bookmarkStart w:id="747" w:name="_Toc294092640"/>
      <w:bookmarkStart w:id="748" w:name="_Toc295819320"/>
      <w:bookmarkStart w:id="749" w:name="_Toc298795971"/>
      <w:bookmarkStart w:id="750" w:name="_Toc299369847"/>
      <w:bookmarkStart w:id="751" w:name="_Toc300391558"/>
      <w:bookmarkStart w:id="752" w:name="_Toc301939835"/>
      <w:bookmarkStart w:id="753" w:name="_Toc304801232"/>
      <w:bookmarkStart w:id="754" w:name="_Toc312399280"/>
      <w:bookmarkStart w:id="755" w:name="_Toc315289087"/>
      <w:bookmarkStart w:id="756" w:name="_Toc317591243"/>
      <w:bookmarkStart w:id="757" w:name="_Toc325313196"/>
      <w:bookmarkStart w:id="758" w:name="_Toc325609219"/>
      <w:r w:rsidRPr="004B208C">
        <w:rPr>
          <w:rFonts w:cs="Tahoma"/>
        </w:rPr>
        <w:t>A Mobilidade de Licença por meio do Software Assurance permite mover-se entre determinadas licenças nas instalações cobertas por Software Assurance para servidores compartilhados por terceiros.</w:t>
      </w:r>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p>
    <w:p w:rsidR="004D4D43" w:rsidRPr="004B208C" w:rsidRDefault="004D4D43" w:rsidP="002171C3">
      <w:pPr>
        <w:rPr>
          <w:rFonts w:cs="Tahoma"/>
        </w:rPr>
      </w:pPr>
    </w:p>
    <w:p w:rsidR="004D4D43" w:rsidRPr="004B208C" w:rsidRDefault="004D4D43" w:rsidP="002171C3">
      <w:pPr>
        <w:rPr>
          <w:rFonts w:cs="Tahoma"/>
        </w:rPr>
      </w:pPr>
      <w:bookmarkStart w:id="759" w:name="_Toc294048013"/>
      <w:bookmarkStart w:id="760" w:name="_Toc294048570"/>
      <w:bookmarkStart w:id="761" w:name="_Toc294092641"/>
      <w:bookmarkStart w:id="762" w:name="_Toc295819321"/>
      <w:bookmarkStart w:id="763" w:name="_Toc298795972"/>
      <w:bookmarkStart w:id="764" w:name="_Toc299369848"/>
      <w:bookmarkStart w:id="765" w:name="_Toc300391559"/>
      <w:bookmarkStart w:id="766" w:name="_Toc301939836"/>
      <w:bookmarkStart w:id="767" w:name="_Toc304801233"/>
      <w:bookmarkStart w:id="768" w:name="_Toc307350402"/>
      <w:bookmarkStart w:id="769" w:name="_Toc308429813"/>
      <w:bookmarkStart w:id="770" w:name="_Toc312399281"/>
      <w:bookmarkStart w:id="771" w:name="_Toc315289088"/>
      <w:bookmarkStart w:id="772" w:name="_Toc317591244"/>
      <w:bookmarkStart w:id="773" w:name="_Toc323034197"/>
      <w:bookmarkStart w:id="774" w:name="_Toc325313197"/>
      <w:bookmarkStart w:id="775" w:name="_Toc325609220"/>
      <w:r w:rsidRPr="004B208C">
        <w:rPr>
          <w:rFonts w:cs="Tahoma"/>
        </w:rPr>
        <w:t>Todos os Produtos qualificados no momento para “Mobilidade de Licenças nos Farms de Servidores”, conforme definidos nos Direitos de Uso do Produto (PUR) e cobertos por Software Assurance, estão qualificados para a Mobilidade de Licença por meio do Software Assurance. Além disso, os seguintes Produtos também estão qualificados para Mobilidade de Licenças por meio de Software Assurance:</w:t>
      </w:r>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p>
    <w:p w:rsidR="004D4D43" w:rsidRPr="004B208C" w:rsidRDefault="004D4D43" w:rsidP="00F86E06">
      <w:pPr>
        <w:rPr>
          <w:rFonts w:cs="Tahoma"/>
        </w:rPr>
      </w:pPr>
    </w:p>
    <w:p w:rsidR="004D4D43" w:rsidRPr="004B208C" w:rsidRDefault="004D4D43" w:rsidP="00A1385C">
      <w:pPr>
        <w:numPr>
          <w:ilvl w:val="0"/>
          <w:numId w:val="72"/>
        </w:numPr>
        <w:spacing w:after="60"/>
        <w:ind w:left="1440"/>
        <w:rPr>
          <w:rFonts w:cs="Tahoma"/>
        </w:rPr>
      </w:pPr>
      <w:bookmarkStart w:id="776" w:name="_Toc294048014"/>
      <w:bookmarkStart w:id="777" w:name="_Toc294048571"/>
      <w:bookmarkStart w:id="778" w:name="_Toc294092642"/>
      <w:bookmarkStart w:id="779" w:name="_Toc295819322"/>
      <w:bookmarkStart w:id="780" w:name="_Toc298795973"/>
      <w:bookmarkStart w:id="781" w:name="_Toc299369849"/>
      <w:bookmarkStart w:id="782" w:name="_Toc300391560"/>
      <w:bookmarkStart w:id="783" w:name="_Toc301939837"/>
      <w:bookmarkStart w:id="784" w:name="_Toc304801234"/>
      <w:bookmarkStart w:id="785" w:name="_Toc307350403"/>
      <w:bookmarkStart w:id="786" w:name="_Toc308429814"/>
      <w:bookmarkStart w:id="787" w:name="_Toc312399282"/>
      <w:bookmarkStart w:id="788" w:name="_Toc315289089"/>
      <w:bookmarkStart w:id="789" w:name="_Toc317591245"/>
      <w:bookmarkStart w:id="790" w:name="_Toc323034198"/>
      <w:bookmarkStart w:id="791" w:name="_Toc325313198"/>
      <w:bookmarkStart w:id="792" w:name="_Toc325609221"/>
      <w:r w:rsidRPr="004B208C">
        <w:rPr>
          <w:rFonts w:cs="Tahoma"/>
        </w:rPr>
        <w:t>SQL Server Standard – Por Processador e Servidor/CAL (licenças do servidor e processador somente) com Software Assurance</w:t>
      </w:r>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p>
    <w:p w:rsidR="004D4D43" w:rsidRPr="004B208C" w:rsidRDefault="004D4D43" w:rsidP="00A1385C">
      <w:pPr>
        <w:numPr>
          <w:ilvl w:val="0"/>
          <w:numId w:val="72"/>
        </w:numPr>
        <w:spacing w:after="60"/>
        <w:ind w:left="1440"/>
        <w:rPr>
          <w:rFonts w:cs="Tahoma"/>
        </w:rPr>
      </w:pPr>
      <w:bookmarkStart w:id="793" w:name="_Toc294048015"/>
      <w:bookmarkStart w:id="794" w:name="_Toc294048572"/>
      <w:bookmarkStart w:id="795" w:name="_Toc294092643"/>
      <w:bookmarkStart w:id="796" w:name="_Toc295819323"/>
      <w:bookmarkStart w:id="797" w:name="_Toc298795974"/>
      <w:bookmarkStart w:id="798" w:name="_Toc299369850"/>
      <w:bookmarkStart w:id="799" w:name="_Toc300391561"/>
      <w:bookmarkStart w:id="800" w:name="_Toc301939838"/>
      <w:bookmarkStart w:id="801" w:name="_Toc304801235"/>
      <w:bookmarkStart w:id="802" w:name="_Toc307350404"/>
      <w:bookmarkStart w:id="803" w:name="_Toc308429815"/>
      <w:bookmarkStart w:id="804" w:name="_Toc312399283"/>
      <w:bookmarkStart w:id="805" w:name="_Toc315289090"/>
      <w:bookmarkStart w:id="806" w:name="_Toc317591246"/>
      <w:bookmarkStart w:id="807" w:name="_Toc323034199"/>
      <w:bookmarkStart w:id="808" w:name="_Toc325313199"/>
      <w:bookmarkStart w:id="809" w:name="_Toc325609222"/>
      <w:r w:rsidRPr="004B208C">
        <w:rPr>
          <w:rFonts w:cs="Tahoma"/>
        </w:rPr>
        <w:t>System Center – todas as Licenças de Gerenciamento do Servidor (MLs), inclusive SMSE e SMSD com Software Assurance</w:t>
      </w:r>
      <w:bookmarkEnd w:id="793"/>
      <w:bookmarkEnd w:id="794"/>
      <w:bookmarkEnd w:id="795"/>
      <w:bookmarkEnd w:id="796"/>
      <w:bookmarkEnd w:id="797"/>
      <w:bookmarkEnd w:id="798"/>
      <w:bookmarkEnd w:id="799"/>
      <w:bookmarkEnd w:id="800"/>
      <w:bookmarkEnd w:id="801"/>
      <w:bookmarkEnd w:id="802"/>
      <w:bookmarkEnd w:id="803"/>
      <w:bookmarkEnd w:id="804"/>
      <w:bookmarkEnd w:id="805"/>
      <w:r w:rsidRPr="004B208C">
        <w:rPr>
          <w:rFonts w:cs="Tahoma"/>
        </w:rPr>
        <w:t xml:space="preserve"> e System Center 2012 Standard e Datacenter com Software Assurance</w:t>
      </w:r>
      <w:bookmarkEnd w:id="806"/>
      <w:bookmarkEnd w:id="807"/>
      <w:bookmarkEnd w:id="808"/>
      <w:bookmarkEnd w:id="809"/>
    </w:p>
    <w:p w:rsidR="00973A93" w:rsidRPr="004B208C" w:rsidRDefault="00973A93">
      <w:pPr>
        <w:rPr>
          <w:rFonts w:cs="Tahoma"/>
        </w:rPr>
      </w:pPr>
      <w:bookmarkStart w:id="810" w:name="_Toc294048016"/>
      <w:bookmarkStart w:id="811" w:name="_Toc294048573"/>
      <w:bookmarkStart w:id="812" w:name="_Toc294092644"/>
      <w:bookmarkStart w:id="813" w:name="_Toc295819324"/>
      <w:bookmarkStart w:id="814" w:name="_Toc298795975"/>
      <w:bookmarkStart w:id="815" w:name="_Toc299369851"/>
      <w:bookmarkStart w:id="816" w:name="_Toc300391562"/>
      <w:bookmarkStart w:id="817" w:name="_Toc301939839"/>
      <w:bookmarkStart w:id="818" w:name="_Toc304801236"/>
      <w:bookmarkStart w:id="819" w:name="_Toc307350405"/>
      <w:bookmarkStart w:id="820" w:name="_Toc308429816"/>
      <w:bookmarkStart w:id="821" w:name="_Toc312399284"/>
      <w:bookmarkStart w:id="822" w:name="_Toc315289091"/>
      <w:bookmarkStart w:id="823" w:name="_Toc317591247"/>
      <w:bookmarkStart w:id="824" w:name="_Toc323034200"/>
      <w:bookmarkStart w:id="825" w:name="_Toc325313200"/>
      <w:bookmarkStart w:id="826" w:name="_Toc325609223"/>
    </w:p>
    <w:p w:rsidR="004D4D43" w:rsidRPr="004B208C" w:rsidRDefault="004D4D43" w:rsidP="002171C3">
      <w:pPr>
        <w:rPr>
          <w:rFonts w:cs="Tahoma"/>
        </w:rPr>
      </w:pPr>
      <w:r w:rsidRPr="004B208C">
        <w:rPr>
          <w:rFonts w:cs="Tahoma"/>
        </w:rPr>
        <w:t>Para usar a Mobilidade de Licenças por meio do Software Assurance, os clientes devem:</w:t>
      </w:r>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p>
    <w:p w:rsidR="004D4D43" w:rsidRPr="004B208C" w:rsidRDefault="004D4D43" w:rsidP="00F86E06">
      <w:pPr>
        <w:rPr>
          <w:rFonts w:cs="Tahoma"/>
        </w:rPr>
      </w:pPr>
    </w:p>
    <w:p w:rsidR="004D4D43" w:rsidRPr="004B208C" w:rsidRDefault="004D4D43" w:rsidP="00A1385C">
      <w:pPr>
        <w:numPr>
          <w:ilvl w:val="0"/>
          <w:numId w:val="61"/>
        </w:numPr>
        <w:spacing w:after="60"/>
        <w:ind w:left="1440"/>
        <w:rPr>
          <w:rFonts w:cs="Tahoma"/>
        </w:rPr>
      </w:pPr>
      <w:bookmarkStart w:id="827" w:name="_Toc294048017"/>
      <w:bookmarkStart w:id="828" w:name="_Toc294048574"/>
      <w:bookmarkStart w:id="829" w:name="_Toc294092645"/>
      <w:bookmarkStart w:id="830" w:name="_Toc295819325"/>
      <w:bookmarkStart w:id="831" w:name="_Toc298795976"/>
      <w:bookmarkStart w:id="832" w:name="_Toc299369852"/>
      <w:bookmarkStart w:id="833" w:name="_Toc300391563"/>
      <w:bookmarkStart w:id="834" w:name="_Toc301939840"/>
      <w:bookmarkStart w:id="835" w:name="_Toc304801237"/>
      <w:bookmarkStart w:id="836" w:name="_Toc307350406"/>
      <w:bookmarkStart w:id="837" w:name="_Toc308429817"/>
      <w:bookmarkStart w:id="838" w:name="_Toc312399285"/>
      <w:bookmarkStart w:id="839" w:name="_Toc315289092"/>
      <w:bookmarkStart w:id="840" w:name="_Toc317591248"/>
      <w:bookmarkStart w:id="841" w:name="_Toc323034201"/>
      <w:bookmarkStart w:id="842" w:name="_Toc325313201"/>
      <w:bookmarkStart w:id="843" w:name="_Toc325609224"/>
      <w:r w:rsidRPr="004B208C">
        <w:rPr>
          <w:rFonts w:cs="Tahoma"/>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p>
    <w:p w:rsidR="004D4D43" w:rsidRPr="004B208C" w:rsidRDefault="004D4D43" w:rsidP="00A1385C">
      <w:pPr>
        <w:numPr>
          <w:ilvl w:val="0"/>
          <w:numId w:val="61"/>
        </w:numPr>
        <w:spacing w:after="60"/>
        <w:ind w:left="1440"/>
        <w:rPr>
          <w:rFonts w:cs="Tahoma"/>
        </w:rPr>
      </w:pPr>
      <w:bookmarkStart w:id="844" w:name="_Toc294048018"/>
      <w:bookmarkStart w:id="845" w:name="_Toc294048575"/>
      <w:bookmarkStart w:id="846" w:name="_Toc294092646"/>
      <w:bookmarkStart w:id="847" w:name="_Toc295819326"/>
      <w:bookmarkStart w:id="848" w:name="_Toc298795977"/>
      <w:bookmarkStart w:id="849" w:name="_Toc299369853"/>
      <w:bookmarkStart w:id="850" w:name="_Toc300391564"/>
      <w:bookmarkStart w:id="851" w:name="_Toc301939841"/>
      <w:bookmarkStart w:id="852" w:name="_Toc304801238"/>
      <w:bookmarkStart w:id="853" w:name="_Toc307350407"/>
      <w:bookmarkStart w:id="854" w:name="_Toc308429818"/>
      <w:bookmarkStart w:id="855" w:name="_Toc312399286"/>
      <w:bookmarkStart w:id="856" w:name="_Toc315289093"/>
      <w:bookmarkStart w:id="857" w:name="_Toc317591249"/>
      <w:bookmarkStart w:id="858" w:name="_Toc323034202"/>
      <w:bookmarkStart w:id="859" w:name="_Toc325313202"/>
      <w:bookmarkStart w:id="860" w:name="_Toc325609225"/>
      <w:r w:rsidRPr="004B208C">
        <w:rPr>
          <w:rFonts w:cs="Tahoma"/>
        </w:rPr>
        <w:t xml:space="preserve">Qualquer atualização de Licença adquirida por meio do Software Assurance substitui a Licença subjacente. Uma lista de Mobilidade de Licenças qualificada por meio de Parceiros do Software Assurance está disponível no site </w:t>
      </w:r>
      <w:r w:rsidR="00765C3B" w:rsidRPr="00207514">
        <w:t>http://www.microsoft.com/licensing/software-assurance/license-mobility</w:t>
      </w:r>
      <w:r w:rsidRPr="004B208C">
        <w:rPr>
          <w:rFonts w:cs="Tahoma"/>
        </w:rPr>
        <w:t xml:space="preserve"> e</w:t>
      </w:r>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p>
    <w:p w:rsidR="004D4D43" w:rsidRPr="004B208C" w:rsidRDefault="004D4D43" w:rsidP="00A1385C">
      <w:pPr>
        <w:numPr>
          <w:ilvl w:val="0"/>
          <w:numId w:val="61"/>
        </w:numPr>
        <w:spacing w:after="60"/>
        <w:ind w:left="1440"/>
        <w:rPr>
          <w:rFonts w:cs="Tahoma"/>
        </w:rPr>
      </w:pPr>
      <w:bookmarkStart w:id="861" w:name="_Toc294048019"/>
      <w:bookmarkStart w:id="862" w:name="_Toc294048576"/>
      <w:bookmarkStart w:id="863" w:name="_Toc294092647"/>
      <w:bookmarkStart w:id="864" w:name="_Toc295819327"/>
      <w:bookmarkStart w:id="865" w:name="_Toc298795978"/>
      <w:bookmarkStart w:id="866" w:name="_Toc299369854"/>
      <w:bookmarkStart w:id="867" w:name="_Toc300391565"/>
      <w:bookmarkStart w:id="868" w:name="_Toc301939842"/>
      <w:bookmarkStart w:id="869" w:name="_Toc304801239"/>
      <w:bookmarkStart w:id="870" w:name="_Toc307350408"/>
      <w:bookmarkStart w:id="871" w:name="_Toc308429819"/>
      <w:bookmarkStart w:id="872" w:name="_Toc312399287"/>
      <w:bookmarkStart w:id="873" w:name="_Toc315289094"/>
      <w:bookmarkStart w:id="874" w:name="_Toc317591250"/>
      <w:bookmarkStart w:id="875" w:name="_Toc323034203"/>
      <w:bookmarkStart w:id="876" w:name="_Toc325313203"/>
      <w:bookmarkStart w:id="877" w:name="_Toc325609226"/>
      <w:r w:rsidRPr="004B208C">
        <w:rPr>
          <w:rFonts w:cs="Tahoma"/>
        </w:rPr>
        <w:t>Completar e enviar o formulário de Validação de Mobilidade de Licenças com cada Parceiro de Mobilidade de Licenças por meio do Software Assurance que executará o software licenciado dos clientes nos servidores compartilhados dos parceiros.</w:t>
      </w:r>
      <w:r w:rsidR="00172F11">
        <w:rPr>
          <w:rFonts w:cs="Tahoma"/>
        </w:rPr>
        <w:t xml:space="preserve"> </w:t>
      </w:r>
      <w:r w:rsidRPr="004B208C">
        <w:rPr>
          <w:rFonts w:cs="Tahoma"/>
        </w:rPr>
        <w:t>O formulário de Validação de Mobilidade de Licenças estará disponível para os clientes pelo Parceiro Qualificado da Mobilidade de Licenças por meio de Software Assurance.</w:t>
      </w:r>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p>
    <w:p w:rsidR="004D4D43" w:rsidRPr="004B208C" w:rsidRDefault="004D4D43" w:rsidP="002171C3">
      <w:pPr>
        <w:rPr>
          <w:rFonts w:cs="Tahoma"/>
        </w:rPr>
      </w:pPr>
    </w:p>
    <w:p w:rsidR="004D4D43" w:rsidRPr="004B208C" w:rsidRDefault="004D4D43" w:rsidP="002171C3">
      <w:pPr>
        <w:rPr>
          <w:rFonts w:cs="Tahoma"/>
        </w:rPr>
      </w:pPr>
      <w:bookmarkStart w:id="878" w:name="_Toc294048020"/>
      <w:bookmarkStart w:id="879" w:name="_Toc294048577"/>
      <w:bookmarkStart w:id="880" w:name="_Toc294092648"/>
      <w:bookmarkStart w:id="881" w:name="_Toc295819328"/>
      <w:bookmarkStart w:id="882" w:name="_Toc298795979"/>
      <w:bookmarkStart w:id="883" w:name="_Toc299369855"/>
      <w:bookmarkStart w:id="884" w:name="_Toc300391566"/>
      <w:bookmarkStart w:id="885" w:name="_Toc301939843"/>
      <w:bookmarkStart w:id="886" w:name="_Toc304801240"/>
      <w:bookmarkStart w:id="887" w:name="_Toc307350409"/>
      <w:bookmarkStart w:id="888" w:name="_Toc308429820"/>
      <w:bookmarkStart w:id="889" w:name="_Toc312399288"/>
      <w:bookmarkStart w:id="890" w:name="_Toc317591251"/>
      <w:bookmarkStart w:id="891" w:name="_Toc323034204"/>
      <w:bookmarkStart w:id="892" w:name="_Toc325313204"/>
      <w:bookmarkStart w:id="893" w:name="_Toc325609227"/>
      <w:r w:rsidRPr="004B208C">
        <w:rPr>
          <w:rFonts w:cs="Tahoma"/>
        </w:rPr>
        <w:t>Os direitos dos clientes de executar o software licenciado e gerenciar OSEs em servidores compartilhados por terceiros expiram com a cobertura do Software Assurance naquelas licenças ou em seu acesso correspondente ou licenças de gerenciamento.</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p>
    <w:p w:rsidR="004D4D43" w:rsidRDefault="004D4D43" w:rsidP="0007218F">
      <w:pPr>
        <w:rPr>
          <w:rFonts w:cs="Tahoma"/>
        </w:rPr>
      </w:pPr>
    </w:p>
    <w:p w:rsidR="00765C3B" w:rsidRDefault="00765C3B" w:rsidP="0007218F">
      <w:pPr>
        <w:rPr>
          <w:rFonts w:cs="Tahoma"/>
        </w:rPr>
      </w:pPr>
    </w:p>
    <w:p w:rsidR="00765C3B" w:rsidRDefault="00765C3B" w:rsidP="0007218F">
      <w:pPr>
        <w:rPr>
          <w:rFonts w:cs="Tahoma"/>
        </w:rPr>
      </w:pPr>
    </w:p>
    <w:p w:rsidR="00765C3B" w:rsidRDefault="00765C3B" w:rsidP="0007218F">
      <w:pPr>
        <w:rPr>
          <w:rFonts w:cs="Tahoma"/>
        </w:rPr>
      </w:pPr>
    </w:p>
    <w:p w:rsidR="00765C3B" w:rsidRDefault="00765C3B" w:rsidP="0007218F">
      <w:pPr>
        <w:rPr>
          <w:rFonts w:cs="Tahoma"/>
        </w:rPr>
      </w:pPr>
    </w:p>
    <w:p w:rsidR="00765C3B" w:rsidRDefault="00765C3B" w:rsidP="0007218F">
      <w:pPr>
        <w:rPr>
          <w:rFonts w:cs="Tahoma"/>
        </w:rPr>
      </w:pPr>
    </w:p>
    <w:p w:rsidR="003F7778" w:rsidRDefault="003F7778" w:rsidP="0007218F">
      <w:pPr>
        <w:rPr>
          <w:rFonts w:cs="Tahoma"/>
        </w:rPr>
      </w:pPr>
    </w:p>
    <w:p w:rsidR="003F7778" w:rsidRPr="004B208C" w:rsidRDefault="003F7778" w:rsidP="0007218F">
      <w:pPr>
        <w:rPr>
          <w:rFonts w:cs="Tahoma"/>
        </w:rPr>
      </w:pPr>
    </w:p>
    <w:p w:rsidR="00023FE7" w:rsidRPr="003F7778" w:rsidRDefault="00023FE7" w:rsidP="00D824E9">
      <w:pPr>
        <w:pStyle w:val="Heading3"/>
        <w:keepNext/>
        <w:tabs>
          <w:tab w:val="num" w:pos="0"/>
        </w:tabs>
        <w:rPr>
          <w:rFonts w:ascii="Tahoma" w:hAnsi="Tahoma" w:cs="Tahoma"/>
          <w:sz w:val="24"/>
          <w:szCs w:val="24"/>
        </w:rPr>
      </w:pPr>
      <w:bookmarkStart w:id="894" w:name="_Toc336338243"/>
      <w:bookmarkStart w:id="895" w:name="_Toc370981358"/>
      <w:r w:rsidRPr="003F7778">
        <w:rPr>
          <w:rFonts w:ascii="Tahoma" w:hAnsi="Tahoma" w:cs="Tahoma"/>
          <w:sz w:val="24"/>
          <w:szCs w:val="24"/>
        </w:rPr>
        <w:lastRenderedPageBreak/>
        <w:t>Windows Thin PC</w:t>
      </w:r>
      <w:bookmarkEnd w:id="894"/>
      <w:bookmarkEnd w:id="895"/>
    </w:p>
    <w:p w:rsidR="00023FE7" w:rsidRPr="003F7778" w:rsidRDefault="00023FE7" w:rsidP="0007218F">
      <w:pPr>
        <w:pStyle w:val="Heading3"/>
        <w:rPr>
          <w:rFonts w:ascii="Tahoma" w:hAnsi="Tahoma" w:cs="Tahoma"/>
          <w:b w:val="0"/>
          <w:sz w:val="18"/>
          <w:szCs w:val="18"/>
        </w:rPr>
      </w:pPr>
    </w:p>
    <w:p w:rsidR="0008414D" w:rsidRPr="004B208C" w:rsidRDefault="0008414D" w:rsidP="0007218F">
      <w:pPr>
        <w:rPr>
          <w:rFonts w:cs="Tahoma"/>
        </w:rPr>
      </w:pPr>
      <w:r w:rsidRPr="004B208C">
        <w:rPr>
          <w:rFonts w:eastAsia="Calibri" w:cs="Tahoma"/>
          <w:szCs w:val="20"/>
        </w:rPr>
        <w:t xml:space="preserve">Os clientes de Licenciamento por Volume com cobertura do Software Assurance ativa para o sistema operacional Windows Desktop ou licenças ativas para VDA ou Windows Intune </w:t>
      </w:r>
      <w:r w:rsidRPr="004B208C">
        <w:rPr>
          <w:rFonts w:cs="Tahoma"/>
          <w:szCs w:val="18"/>
        </w:rPr>
        <w:t xml:space="preserve">(Por Dispositivo) </w:t>
      </w:r>
      <w:r w:rsidRPr="004B208C">
        <w:rPr>
          <w:rFonts w:eastAsia="Calibri" w:cs="Tahoma"/>
          <w:szCs w:val="20"/>
        </w:rPr>
        <w:t>estão qualificados para o</w:t>
      </w:r>
      <w:r w:rsidR="00765C3B">
        <w:rPr>
          <w:rFonts w:eastAsia="Calibri" w:cs="Tahoma"/>
          <w:szCs w:val="20"/>
        </w:rPr>
        <w:t> </w:t>
      </w:r>
      <w:r w:rsidRPr="004B208C">
        <w:rPr>
          <w:rFonts w:eastAsia="Calibri" w:cs="Tahoma"/>
          <w:szCs w:val="20"/>
        </w:rPr>
        <w:t>benefício.</w:t>
      </w:r>
      <w:r w:rsidR="00172F11">
        <w:rPr>
          <w:rFonts w:eastAsia="Calibri" w:cs="Tahoma"/>
          <w:szCs w:val="20"/>
        </w:rPr>
        <w:t xml:space="preserve"> </w:t>
      </w:r>
      <w:r w:rsidRPr="004B208C">
        <w:rPr>
          <w:rFonts w:eastAsia="Calibri" w:cs="Tahoma"/>
          <w:szCs w:val="20"/>
        </w:rPr>
        <w:t xml:space="preserve">Os clientes que acessam esse benefício </w:t>
      </w:r>
      <w:r w:rsidRPr="004B208C">
        <w:rPr>
          <w:rFonts w:eastAsia="Calibri" w:cs="Tahoma"/>
          <w:color w:val="000000"/>
          <w:szCs w:val="20"/>
        </w:rPr>
        <w:t xml:space="preserve">de acordo com o </w:t>
      </w:r>
      <w:r w:rsidRPr="004B208C">
        <w:rPr>
          <w:rFonts w:eastAsia="Calibri" w:cs="Tahoma"/>
          <w:szCs w:val="20"/>
        </w:rPr>
        <w:t>VDA devem ter um sistema operacional qualificado</w:t>
      </w:r>
      <w:r w:rsidRPr="004B208C">
        <w:rPr>
          <w:rFonts w:eastAsia="Calibri" w:cs="Tahoma"/>
          <w:color w:val="1F497D"/>
          <w:szCs w:val="20"/>
        </w:rPr>
        <w:t xml:space="preserve"> </w:t>
      </w:r>
      <w:r w:rsidRPr="004B208C">
        <w:rPr>
          <w:rFonts w:eastAsia="Calibri" w:cs="Tahoma"/>
          <w:color w:val="000000"/>
          <w:szCs w:val="20"/>
        </w:rPr>
        <w:t>instalado em seu dispositivo licenciado d</w:t>
      </w:r>
      <w:r w:rsidRPr="004B208C">
        <w:rPr>
          <w:rFonts w:eastAsia="Calibri" w:cs="Tahoma"/>
          <w:szCs w:val="20"/>
        </w:rPr>
        <w:t>e acordo com a tabela de Sistemas Operacionais Qualificados nas</w:t>
      </w:r>
      <w:r w:rsidR="00765C3B">
        <w:rPr>
          <w:rFonts w:eastAsia="Calibri" w:cs="Tahoma"/>
          <w:szCs w:val="20"/>
        </w:rPr>
        <w:t> </w:t>
      </w:r>
      <w:r w:rsidRPr="004B208C">
        <w:rPr>
          <w:rFonts w:eastAsia="Calibri" w:cs="Tahoma"/>
          <w:color w:val="000000"/>
          <w:szCs w:val="20"/>
        </w:rPr>
        <w:t xml:space="preserve">Notas do Produto, </w:t>
      </w:r>
      <w:r w:rsidRPr="004B208C">
        <w:rPr>
          <w:rFonts w:eastAsia="Calibri" w:cs="Tahoma"/>
          <w:szCs w:val="20"/>
        </w:rPr>
        <w:t>seção Pool de Sistemas deste documento.</w:t>
      </w:r>
      <w:r w:rsidR="00172F11">
        <w:rPr>
          <w:rFonts w:eastAsia="Calibri" w:cs="Tahoma"/>
          <w:szCs w:val="20"/>
        </w:rPr>
        <w:t xml:space="preserve"> </w:t>
      </w:r>
    </w:p>
    <w:p w:rsidR="0008414D" w:rsidRPr="004B208C" w:rsidRDefault="0008414D" w:rsidP="0007218F">
      <w:pPr>
        <w:rPr>
          <w:rFonts w:cs="Tahoma"/>
        </w:rPr>
      </w:pPr>
    </w:p>
    <w:p w:rsidR="0008414D" w:rsidRPr="004B208C" w:rsidRDefault="0008414D" w:rsidP="0007218F">
      <w:pPr>
        <w:rPr>
          <w:rFonts w:cs="Tahoma"/>
        </w:rPr>
      </w:pPr>
      <w:r w:rsidRPr="004B208C">
        <w:rPr>
          <w:rFonts w:eastAsia="Calibri" w:cs="Tahoma"/>
          <w:szCs w:val="20"/>
        </w:rPr>
        <w:t>O Windows Thin PC é uma solução de sistema operacional com base no Windows de superfície menor desenvolvido para os clientes que gostariam de adaptar seus PCs com Windows 8 existentes</w:t>
      </w:r>
      <w:r w:rsidRPr="004B208C">
        <w:rPr>
          <w:rFonts w:eastAsia="Calibri" w:cs="Tahoma"/>
          <w:color w:val="1F497D"/>
          <w:szCs w:val="20"/>
        </w:rPr>
        <w:t xml:space="preserve"> </w:t>
      </w:r>
      <w:r w:rsidRPr="004B208C">
        <w:rPr>
          <w:rFonts w:eastAsia="Calibri" w:cs="Tahoma"/>
          <w:szCs w:val="20"/>
        </w:rPr>
        <w:t>para se conectar a um desktop centralizado sem ter que comprar novo hardware thin client.</w:t>
      </w:r>
      <w:r w:rsidR="00172F11">
        <w:rPr>
          <w:rFonts w:eastAsia="Calibri" w:cs="Tahoma"/>
          <w:szCs w:val="20"/>
        </w:rPr>
        <w:t xml:space="preserve"> </w:t>
      </w:r>
      <w:r w:rsidRPr="004B208C">
        <w:rPr>
          <w:rFonts w:eastAsia="Calibri" w:cs="Tahoma"/>
          <w:szCs w:val="20"/>
        </w:rPr>
        <w:t>Os clientes qualificados podem usar o Windows Thin PC</w:t>
      </w:r>
      <w:r w:rsidR="00765C3B">
        <w:rPr>
          <w:rFonts w:eastAsia="Calibri" w:cs="Tahoma"/>
          <w:szCs w:val="20"/>
        </w:rPr>
        <w:t> </w:t>
      </w:r>
      <w:r w:rsidRPr="004B208C">
        <w:rPr>
          <w:rFonts w:eastAsia="Calibri" w:cs="Tahoma"/>
          <w:szCs w:val="20"/>
        </w:rPr>
        <w:t xml:space="preserve">no lugar de instâncias do sistema operacional Windows Desktop que têm permissão para serem usados sob a cobertura do Windows Software Assurance, Windows Intune </w:t>
      </w:r>
      <w:r w:rsidRPr="004B208C">
        <w:rPr>
          <w:rFonts w:cs="Tahoma"/>
          <w:szCs w:val="18"/>
        </w:rPr>
        <w:t>(Por Dispositivo)</w:t>
      </w:r>
      <w:r w:rsidRPr="004B208C">
        <w:rPr>
          <w:rFonts w:eastAsia="Calibri" w:cs="Tahoma"/>
          <w:color w:val="000000"/>
          <w:szCs w:val="20"/>
        </w:rPr>
        <w:t xml:space="preserve"> ou licenças do Windows </w:t>
      </w:r>
      <w:r w:rsidRPr="004B208C">
        <w:rPr>
          <w:rFonts w:eastAsia="Calibri" w:cs="Tahoma"/>
          <w:szCs w:val="20"/>
        </w:rPr>
        <w:t>VDA.</w:t>
      </w:r>
      <w:r w:rsidR="00172F11">
        <w:rPr>
          <w:rFonts w:eastAsia="Calibri" w:cs="Tahoma"/>
          <w:szCs w:val="20"/>
        </w:rPr>
        <w:t xml:space="preserve"> </w:t>
      </w:r>
      <w:r w:rsidRPr="004B208C">
        <w:rPr>
          <w:rFonts w:eastAsia="Calibri" w:cs="Tahoma"/>
          <w:szCs w:val="20"/>
        </w:rPr>
        <w:t>O uso do</w:t>
      </w:r>
      <w:r w:rsidR="00765C3B">
        <w:rPr>
          <w:rFonts w:eastAsia="Calibri" w:cs="Tahoma"/>
          <w:szCs w:val="20"/>
        </w:rPr>
        <w:t> </w:t>
      </w:r>
      <w:r w:rsidRPr="004B208C">
        <w:rPr>
          <w:rFonts w:eastAsia="Calibri" w:cs="Tahoma"/>
          <w:szCs w:val="20"/>
        </w:rPr>
        <w:t>Windows Thin PC pelos clientes está sujeito aos termos e condições de seus contratos de licença.</w:t>
      </w:r>
    </w:p>
    <w:p w:rsidR="00023FE7" w:rsidRPr="004B208C" w:rsidRDefault="00023FE7" w:rsidP="0007218F">
      <w:pPr>
        <w:rPr>
          <w:rFonts w:cs="Tahoma"/>
        </w:rPr>
      </w:pPr>
    </w:p>
    <w:p w:rsidR="00F30075" w:rsidRPr="004B208C" w:rsidRDefault="00F30075" w:rsidP="0007218F">
      <w:pPr>
        <w:outlineLvl w:val="2"/>
        <w:rPr>
          <w:rFonts w:cs="Tahoma"/>
        </w:rPr>
      </w:pPr>
      <w:bookmarkStart w:id="896" w:name="_Toc291204568"/>
      <w:r w:rsidRPr="004B208C">
        <w:rPr>
          <w:rFonts w:cs="Tahoma"/>
          <w:b/>
          <w:sz w:val="24"/>
          <w:szCs w:val="20"/>
        </w:rPr>
        <w:t>Suporte Estendido a Hotfix</w:t>
      </w:r>
      <w:bookmarkEnd w:id="896"/>
    </w:p>
    <w:p w:rsidR="00F30075" w:rsidRPr="004B208C" w:rsidRDefault="00F30075" w:rsidP="0007218F">
      <w:pPr>
        <w:outlineLvl w:val="2"/>
        <w:rPr>
          <w:rFonts w:cs="Tahoma"/>
        </w:rPr>
      </w:pPr>
    </w:p>
    <w:p w:rsidR="00F30075" w:rsidRPr="004B208C" w:rsidRDefault="00F30075" w:rsidP="00F30075">
      <w:pPr>
        <w:rPr>
          <w:rFonts w:cs="Tahoma"/>
        </w:rPr>
      </w:pPr>
      <w:r w:rsidRPr="004B208C">
        <w:rPr>
          <w:rFonts w:cs="Tahoma"/>
        </w:rPr>
        <w:t>O Suporte Estendido a Hotfix está disponível para os clientes a seguir:</w:t>
      </w:r>
    </w:p>
    <w:p w:rsidR="0007218F" w:rsidRPr="004B208C" w:rsidRDefault="0007218F" w:rsidP="00F30075">
      <w:pPr>
        <w:rPr>
          <w:rFonts w:cs="Tahoma"/>
        </w:rPr>
      </w:pPr>
    </w:p>
    <w:p w:rsidR="00F30075" w:rsidRPr="004B208C" w:rsidRDefault="00F30075" w:rsidP="00A1385C">
      <w:pPr>
        <w:numPr>
          <w:ilvl w:val="0"/>
          <w:numId w:val="47"/>
        </w:numPr>
        <w:spacing w:after="60"/>
        <w:ind w:left="1440"/>
        <w:contextualSpacing/>
        <w:jc w:val="both"/>
        <w:rPr>
          <w:rFonts w:cs="Tahoma"/>
        </w:rPr>
      </w:pPr>
      <w:r w:rsidRPr="004B208C">
        <w:rPr>
          <w:rFonts w:eastAsia="Calibri" w:cs="Tahoma"/>
          <w:szCs w:val="18"/>
        </w:rPr>
        <w:t xml:space="preserve">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 </w:t>
      </w:r>
    </w:p>
    <w:p w:rsidR="00F30075" w:rsidRPr="004B208C" w:rsidRDefault="00F30075" w:rsidP="00A1385C">
      <w:pPr>
        <w:numPr>
          <w:ilvl w:val="0"/>
          <w:numId w:val="47"/>
        </w:numPr>
        <w:spacing w:after="60"/>
        <w:ind w:left="1440"/>
        <w:jc w:val="both"/>
        <w:rPr>
          <w:rFonts w:cs="Tahoma"/>
        </w:rPr>
      </w:pPr>
      <w:r w:rsidRPr="004B208C">
        <w:rPr>
          <w:rFonts w:cs="Tahoma"/>
          <w:szCs w:val="18"/>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w:t>
      </w:r>
      <w:r w:rsidR="00765C3B">
        <w:rPr>
          <w:rFonts w:cs="Tahoma"/>
          <w:szCs w:val="18"/>
        </w:rPr>
        <w:t> </w:t>
      </w:r>
      <w:r w:rsidRPr="004B208C">
        <w:rPr>
          <w:rFonts w:cs="Tahoma"/>
          <w:szCs w:val="18"/>
        </w:rPr>
        <w:t>Hotfix para sistema operacional de desktop Windows</w:t>
      </w:r>
    </w:p>
    <w:p w:rsidR="00F30075" w:rsidRPr="004B208C" w:rsidRDefault="00F30075" w:rsidP="00A1385C">
      <w:pPr>
        <w:numPr>
          <w:ilvl w:val="0"/>
          <w:numId w:val="47"/>
        </w:numPr>
        <w:spacing w:after="60"/>
        <w:ind w:left="1440"/>
        <w:jc w:val="both"/>
        <w:rPr>
          <w:rFonts w:cs="Tahoma"/>
        </w:rPr>
      </w:pPr>
      <w:r w:rsidRPr="004B208C">
        <w:rPr>
          <w:rFonts w:cs="Tahoma"/>
          <w:szCs w:val="18"/>
        </w:rPr>
        <w:t>Os clientes com assinaturas ativas do Windows Intune (Por Dispositivo) estão qualificados para o</w:t>
      </w:r>
      <w:r w:rsidR="00765C3B">
        <w:rPr>
          <w:rFonts w:cs="Tahoma"/>
          <w:szCs w:val="18"/>
        </w:rPr>
        <w:t> </w:t>
      </w:r>
      <w:r w:rsidRPr="004B208C">
        <w:rPr>
          <w:rFonts w:cs="Tahoma"/>
          <w:szCs w:val="18"/>
        </w:rPr>
        <w:t>Suporte Estendido a Hotfix do sistema operacional de desktop Windows</w:t>
      </w:r>
    </w:p>
    <w:p w:rsidR="0007218F" w:rsidRPr="004B208C" w:rsidRDefault="007627B7" w:rsidP="00A1385C">
      <w:pPr>
        <w:numPr>
          <w:ilvl w:val="0"/>
          <w:numId w:val="47"/>
        </w:numPr>
        <w:spacing w:after="60"/>
        <w:ind w:left="1440"/>
        <w:contextualSpacing/>
        <w:rPr>
          <w:rFonts w:cs="Tahoma"/>
        </w:rPr>
      </w:pPr>
      <w:r w:rsidRPr="004B208C">
        <w:rPr>
          <w:rFonts w:eastAsia="Calibri" w:cs="Tahoma"/>
          <w:szCs w:val="18"/>
        </w:rPr>
        <w:t>Os clientes (que não forem do Academic) com Software Assurance em pelo menos um produto de</w:t>
      </w:r>
      <w:r w:rsidR="00765C3B">
        <w:rPr>
          <w:rFonts w:eastAsia="Calibri" w:cs="Tahoma"/>
          <w:szCs w:val="18"/>
        </w:rPr>
        <w:t> </w:t>
      </w:r>
      <w:r w:rsidRPr="004B208C">
        <w:rPr>
          <w:rFonts w:eastAsia="Calibri" w:cs="Tahoma"/>
          <w:szCs w:val="18"/>
        </w:rPr>
        <w:t>servidor estão qualificados para o Suporte Estendido a Hotfix para produtos de Servidor.</w:t>
      </w:r>
      <w:r w:rsidR="00172F11">
        <w:rPr>
          <w:rFonts w:eastAsia="Calibri" w:cs="Tahoma"/>
          <w:szCs w:val="18"/>
        </w:rPr>
        <w:t xml:space="preserve"> </w:t>
      </w:r>
      <w:r w:rsidRPr="004B208C">
        <w:rPr>
          <w:rFonts w:cs="Tahoma"/>
          <w:szCs w:val="18"/>
        </w:rPr>
        <w:t>Os produtos de servidor a seguir têm cobertura:</w:t>
      </w:r>
    </w:p>
    <w:p w:rsidR="007627B7" w:rsidRPr="004B208C" w:rsidRDefault="007627B7" w:rsidP="00A1385C">
      <w:pPr>
        <w:numPr>
          <w:ilvl w:val="2"/>
          <w:numId w:val="47"/>
        </w:numPr>
        <w:spacing w:after="60"/>
        <w:ind w:left="1980"/>
        <w:contextualSpacing/>
        <w:rPr>
          <w:rFonts w:cs="Tahoma"/>
        </w:rPr>
      </w:pPr>
      <w:r w:rsidRPr="004B208C">
        <w:rPr>
          <w:rFonts w:cs="Tahoma"/>
          <w:iCs/>
          <w:color w:val="000000"/>
          <w:szCs w:val="18"/>
        </w:rPr>
        <w:t>Microsoft Exchange Server, Microsoft SQL Server, System Center 2012 e Windows Server.</w:t>
      </w:r>
    </w:p>
    <w:p w:rsidR="0007218F" w:rsidRPr="004B208C" w:rsidRDefault="0007218F" w:rsidP="0007218F">
      <w:pPr>
        <w:spacing w:after="200" w:line="276" w:lineRule="auto"/>
        <w:contextualSpacing/>
        <w:rPr>
          <w:rFonts w:cs="Tahoma"/>
        </w:rPr>
      </w:pPr>
    </w:p>
    <w:p w:rsidR="00023FE7" w:rsidRPr="004B208C" w:rsidRDefault="00023FE7">
      <w:pPr>
        <w:rPr>
          <w:rFonts w:cs="Tahoma"/>
        </w:rPr>
      </w:pPr>
      <w:r w:rsidRPr="004B208C">
        <w:rPr>
          <w:rFonts w:cs="Tahoma"/>
          <w:szCs w:val="18"/>
        </w:rPr>
        <w:t>O Suporte Estendido a Hotfix é um benefício para versões de software mais antigas que fizeram a transição de Suporte Base para Suporte Estendido.</w:t>
      </w:r>
      <w:r w:rsidR="00172F11">
        <w:rPr>
          <w:rFonts w:cs="Tahoma"/>
          <w:szCs w:val="18"/>
        </w:rPr>
        <w:t xml:space="preserve"> </w:t>
      </w:r>
      <w:r w:rsidRPr="004B208C">
        <w:rPr>
          <w:rFonts w:cs="Tahoma"/>
          <w:szCs w:val="18"/>
        </w:rPr>
        <w:t>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w:t>
      </w:r>
      <w:r w:rsidR="001032A9">
        <w:rPr>
          <w:rFonts w:cs="Tahoma"/>
          <w:szCs w:val="18"/>
        </w:rPr>
        <w:t> </w:t>
      </w:r>
      <w:r w:rsidRPr="004B208C">
        <w:rPr>
          <w:rFonts w:cs="Tahoma"/>
          <w:szCs w:val="18"/>
        </w:rPr>
        <w:t>período de 90 dias da transição de um produto para o Suporte Estendido.</w:t>
      </w:r>
      <w:r w:rsidR="00172F11">
        <w:rPr>
          <w:rFonts w:cs="Tahoma"/>
          <w:szCs w:val="18"/>
        </w:rPr>
        <w:t xml:space="preserve"> </w:t>
      </w:r>
    </w:p>
    <w:p w:rsidR="00023FE7" w:rsidRPr="004B208C" w:rsidRDefault="00023FE7">
      <w:pPr>
        <w:rPr>
          <w:rFonts w:cs="Tahoma"/>
        </w:rPr>
      </w:pPr>
    </w:p>
    <w:p w:rsidR="00023FE7" w:rsidRPr="004B208C" w:rsidRDefault="00023FE7">
      <w:pPr>
        <w:rPr>
          <w:rFonts w:cs="Tahoma"/>
        </w:rPr>
      </w:pPr>
      <w:r w:rsidRPr="004B208C">
        <w:rPr>
          <w:rStyle w:val="PageNumber"/>
          <w:rFonts w:cs="Tahoma"/>
          <w:szCs w:val="18"/>
        </w:rPr>
        <w:t>O</w:t>
      </w:r>
      <w:r w:rsidRPr="004B208C">
        <w:rPr>
          <w:rFonts w:cs="Tahoma"/>
          <w:szCs w:val="18"/>
        </w:rPr>
        <w:t>s clientes são responsáveis pelos valores de Hotfixes individuais.</w:t>
      </w:r>
      <w:r w:rsidR="00172F11">
        <w:rPr>
          <w:rFonts w:cs="Tahoma"/>
          <w:szCs w:val="18"/>
        </w:rPr>
        <w:t xml:space="preserve"> </w:t>
      </w:r>
      <w:r w:rsidRPr="004B208C">
        <w:rPr>
          <w:rFonts w:cs="Tahoma"/>
          <w:szCs w:val="18"/>
        </w:rPr>
        <w:t>Um contrato de Suporte Premier ou Essential é</w:t>
      </w:r>
      <w:r w:rsidR="001032A9">
        <w:rPr>
          <w:rFonts w:cs="Tahoma"/>
          <w:szCs w:val="18"/>
        </w:rPr>
        <w:t> </w:t>
      </w:r>
      <w:r w:rsidRPr="004B208C">
        <w:rPr>
          <w:rFonts w:cs="Tahoma"/>
          <w:szCs w:val="18"/>
        </w:rPr>
        <w:t>uma pré-requisito para a qualificação.</w:t>
      </w:r>
    </w:p>
    <w:p w:rsidR="000429EF" w:rsidRPr="00765C3B" w:rsidRDefault="000429EF">
      <w:pPr>
        <w:pStyle w:val="Heading3"/>
        <w:rPr>
          <w:rFonts w:ascii="Tahoma" w:hAnsi="Tahoma" w:cs="Tahoma"/>
          <w:b w:val="0"/>
          <w:sz w:val="18"/>
          <w:szCs w:val="18"/>
        </w:rPr>
      </w:pPr>
    </w:p>
    <w:p w:rsidR="00023FE7" w:rsidRPr="004B208C" w:rsidRDefault="00023FE7">
      <w:pPr>
        <w:pStyle w:val="Heading3"/>
        <w:rPr>
          <w:rFonts w:ascii="Tahoma" w:hAnsi="Tahoma" w:cs="Tahoma"/>
        </w:rPr>
      </w:pPr>
      <w:bookmarkStart w:id="897" w:name="_Toc336338244"/>
      <w:bookmarkStart w:id="898" w:name="_Toc370981359"/>
      <w:r w:rsidRPr="004B208C">
        <w:rPr>
          <w:rFonts w:ascii="Tahoma" w:hAnsi="Tahoma" w:cs="Tahoma"/>
          <w:sz w:val="24"/>
        </w:rPr>
        <w:t>Microsoft Desktop Optimization Pack para Software Assurance</w:t>
      </w:r>
      <w:bookmarkEnd w:id="897"/>
      <w:bookmarkEnd w:id="898"/>
    </w:p>
    <w:p w:rsidR="00023FE7" w:rsidRPr="004B208C" w:rsidRDefault="00023FE7">
      <w:pPr>
        <w:rPr>
          <w:rFonts w:cs="Tahoma"/>
        </w:rPr>
      </w:pPr>
    </w:p>
    <w:p w:rsidR="00F30075" w:rsidRPr="004B208C" w:rsidRDefault="00F30075" w:rsidP="00F30075">
      <w:pPr>
        <w:rPr>
          <w:rFonts w:cs="Tahoma"/>
        </w:rPr>
      </w:pPr>
      <w:r w:rsidRPr="004B208C">
        <w:rPr>
          <w:rFonts w:eastAsia="MS PGothic" w:cs="Tahoma"/>
          <w:szCs w:val="18"/>
        </w:rPr>
        <w:t>O Microsoft Desktop Optimization Pack for Software Assurance (MDOP) é uma compra opcional disponível apenas para os clientes que possuem o seguinte:</w:t>
      </w:r>
    </w:p>
    <w:p w:rsidR="00E762F8" w:rsidRPr="004B208C" w:rsidRDefault="00E762F8" w:rsidP="00F30075">
      <w:pPr>
        <w:rPr>
          <w:rFonts w:cs="Tahoma"/>
        </w:rPr>
      </w:pPr>
    </w:p>
    <w:p w:rsidR="00F30075" w:rsidRPr="004B208C" w:rsidRDefault="00F30075" w:rsidP="00A1385C">
      <w:pPr>
        <w:numPr>
          <w:ilvl w:val="0"/>
          <w:numId w:val="46"/>
        </w:numPr>
        <w:spacing w:after="60" w:line="276" w:lineRule="auto"/>
        <w:ind w:left="1440" w:hanging="274"/>
        <w:rPr>
          <w:rFonts w:cs="Tahoma"/>
        </w:rPr>
      </w:pPr>
      <w:r w:rsidRPr="004B208C">
        <w:rPr>
          <w:rFonts w:eastAsia="MS PGothic" w:cs="Tahoma"/>
          <w:szCs w:val="18"/>
        </w:rPr>
        <w:t>Software Assurance ativo para suas licenças do sistema operacional de desktop Windows</w:t>
      </w:r>
    </w:p>
    <w:p w:rsidR="00F30075" w:rsidRPr="004B208C" w:rsidRDefault="00F30075" w:rsidP="00A1385C">
      <w:pPr>
        <w:numPr>
          <w:ilvl w:val="0"/>
          <w:numId w:val="46"/>
        </w:numPr>
        <w:spacing w:after="60" w:line="276" w:lineRule="auto"/>
        <w:ind w:left="1440" w:hanging="274"/>
        <w:rPr>
          <w:rFonts w:cs="Tahoma"/>
        </w:rPr>
      </w:pPr>
      <w:r w:rsidRPr="004B208C">
        <w:rPr>
          <w:rFonts w:eastAsia="MS PGothic" w:cs="Tahoma"/>
          <w:szCs w:val="18"/>
        </w:rPr>
        <w:t>Assinaturas ativas do Windows Virtual Desktop Access ou</w:t>
      </w:r>
    </w:p>
    <w:p w:rsidR="00F30075" w:rsidRPr="004B208C" w:rsidRDefault="00F30075" w:rsidP="00A1385C">
      <w:pPr>
        <w:numPr>
          <w:ilvl w:val="0"/>
          <w:numId w:val="46"/>
        </w:numPr>
        <w:spacing w:after="60" w:line="276" w:lineRule="auto"/>
        <w:ind w:left="1440" w:hanging="274"/>
        <w:rPr>
          <w:rFonts w:cs="Tahoma"/>
        </w:rPr>
      </w:pPr>
      <w:r w:rsidRPr="004B208C">
        <w:rPr>
          <w:rFonts w:eastAsia="MS PGothic" w:cs="Tahoma"/>
          <w:szCs w:val="18"/>
        </w:rPr>
        <w:t xml:space="preserve">Assinaturas ativas do Windows Intune </w:t>
      </w:r>
      <w:r w:rsidRPr="004B208C">
        <w:rPr>
          <w:rFonts w:cs="Tahoma"/>
          <w:szCs w:val="18"/>
        </w:rPr>
        <w:t>(Por Dispositivo) ou</w:t>
      </w:r>
    </w:p>
    <w:p w:rsidR="00421D4A" w:rsidRPr="004B208C" w:rsidRDefault="00421D4A" w:rsidP="00A1385C">
      <w:pPr>
        <w:numPr>
          <w:ilvl w:val="0"/>
          <w:numId w:val="46"/>
        </w:numPr>
        <w:spacing w:after="200" w:line="276" w:lineRule="auto"/>
        <w:ind w:left="1440" w:hanging="270"/>
        <w:rPr>
          <w:rFonts w:cs="Tahoma"/>
        </w:rPr>
      </w:pPr>
      <w:r w:rsidRPr="004B208C">
        <w:rPr>
          <w:rFonts w:eastAsia="MS PGothic" w:cs="Tahoma"/>
          <w:color w:val="000000"/>
          <w:szCs w:val="18"/>
        </w:rPr>
        <w:t xml:space="preserve">Assinaturas ativas para </w:t>
      </w:r>
      <w:r w:rsidRPr="004B208C">
        <w:rPr>
          <w:rFonts w:eastAsia="MS PGothic" w:cs="Tahoma"/>
          <w:szCs w:val="18"/>
        </w:rPr>
        <w:t>Licença de Assinatura do Windows Companion</w:t>
      </w:r>
    </w:p>
    <w:p w:rsidR="00023FE7" w:rsidRPr="004B208C" w:rsidRDefault="00023FE7">
      <w:pPr>
        <w:rPr>
          <w:rFonts w:cs="Tahoma"/>
        </w:rPr>
      </w:pPr>
    </w:p>
    <w:p w:rsidR="00023FE7" w:rsidRPr="004B208C" w:rsidRDefault="00023FE7">
      <w:pPr>
        <w:rPr>
          <w:rFonts w:cs="Tahoma"/>
        </w:rPr>
      </w:pPr>
      <w:r w:rsidRPr="004B208C">
        <w:rPr>
          <w:rFonts w:eastAsia="MS PGothic" w:cs="Tahoma"/>
          <w:color w:val="000000"/>
          <w:szCs w:val="18"/>
        </w:rPr>
        <w:t>Para obter mais informações sobre esse produto, consulte as Notas do Produto na seção de pool de sistemas deste documento. O MDOP não está disponível para licenças do Sistema Operacional Windows Embedded.</w:t>
      </w:r>
    </w:p>
    <w:p w:rsidR="002D7B73" w:rsidRPr="004B208C" w:rsidRDefault="008C0608" w:rsidP="00AF1D88">
      <w:pPr>
        <w:keepNext/>
        <w:rPr>
          <w:rFonts w:cs="Tahoma"/>
        </w:rPr>
      </w:pPr>
      <w:r w:rsidRPr="004B208C">
        <w:rPr>
          <w:rFonts w:cs="Tahoma"/>
          <w:b/>
          <w:color w:val="000000"/>
          <w:sz w:val="24"/>
          <w:szCs w:val="18"/>
        </w:rPr>
        <w:lastRenderedPageBreak/>
        <w:t>Direitos de Virtualização para Desktops Windows Licenciados</w:t>
      </w:r>
    </w:p>
    <w:p w:rsidR="0043735F" w:rsidRPr="004B208C" w:rsidRDefault="0043735F" w:rsidP="008C0608">
      <w:pPr>
        <w:rPr>
          <w:rFonts w:cs="Tahoma"/>
        </w:rPr>
      </w:pPr>
    </w:p>
    <w:p w:rsidR="008C0608" w:rsidRPr="004B208C" w:rsidRDefault="008C0608" w:rsidP="008C0608">
      <w:pPr>
        <w:rPr>
          <w:rFonts w:cs="Tahoma"/>
        </w:rPr>
      </w:pPr>
      <w:r w:rsidRPr="004B208C">
        <w:rPr>
          <w:rFonts w:cs="Tahoma"/>
          <w:color w:val="000000"/>
          <w:szCs w:val="18"/>
        </w:rPr>
        <w:t>Os clientes de Licenciamento por Volume possuem um pouco de flexibilidade na maneira como podem implantar o Windows 8 em suas organizações.</w:t>
      </w:r>
      <w:r w:rsidR="00172F11">
        <w:rPr>
          <w:rFonts w:cs="Tahoma"/>
          <w:color w:val="000000"/>
          <w:szCs w:val="18"/>
        </w:rPr>
        <w:t xml:space="preserve"> </w:t>
      </w:r>
    </w:p>
    <w:p w:rsidR="008C0608" w:rsidRPr="004B208C" w:rsidRDefault="008C0608" w:rsidP="008C0608">
      <w:pPr>
        <w:jc w:val="both"/>
        <w:rPr>
          <w:rFonts w:cs="Tahoma"/>
        </w:rPr>
      </w:pPr>
      <w:r w:rsidRPr="004B208C">
        <w:rPr>
          <w:rFonts w:cs="Tahoma"/>
          <w:szCs w:val="18"/>
        </w:rPr>
        <w:t>Os clientes que tiverem um ou ambos dos seguintes produtos podem aproveitar os direitos de uso da virtualização:</w:t>
      </w:r>
    </w:p>
    <w:p w:rsidR="00BF1889" w:rsidRPr="004B208C" w:rsidRDefault="00BF1889" w:rsidP="008C0608">
      <w:pPr>
        <w:jc w:val="both"/>
        <w:rPr>
          <w:rFonts w:cs="Tahoma"/>
        </w:rPr>
      </w:pPr>
    </w:p>
    <w:p w:rsidR="00F30075" w:rsidRPr="004B208C" w:rsidRDefault="00F30075" w:rsidP="00A1385C">
      <w:pPr>
        <w:numPr>
          <w:ilvl w:val="0"/>
          <w:numId w:val="38"/>
        </w:numPr>
        <w:spacing w:after="60" w:line="276" w:lineRule="auto"/>
        <w:ind w:left="1440"/>
        <w:rPr>
          <w:rFonts w:cs="Tahoma"/>
        </w:rPr>
      </w:pPr>
      <w:r w:rsidRPr="004B208C">
        <w:rPr>
          <w:rFonts w:eastAsia="MS PGothic" w:cs="Tahoma"/>
          <w:szCs w:val="18"/>
        </w:rPr>
        <w:t>Software Assurance ativo para suas licenças do sistema operacional de desktop Windows</w:t>
      </w:r>
    </w:p>
    <w:p w:rsidR="00AC246A" w:rsidRPr="004B208C" w:rsidRDefault="00F30075" w:rsidP="00A1385C">
      <w:pPr>
        <w:numPr>
          <w:ilvl w:val="0"/>
          <w:numId w:val="38"/>
        </w:numPr>
        <w:spacing w:after="60" w:line="276" w:lineRule="auto"/>
        <w:ind w:left="1440"/>
        <w:jc w:val="both"/>
        <w:rPr>
          <w:rFonts w:cs="Tahoma"/>
        </w:rPr>
      </w:pPr>
      <w:r w:rsidRPr="004B208C">
        <w:rPr>
          <w:rFonts w:cs="Tahoma"/>
          <w:szCs w:val="18"/>
        </w:rPr>
        <w:t>Benefício de Serviços Online fornecidos com compras do Windows Intune (Por Dispositivo)</w:t>
      </w:r>
    </w:p>
    <w:p w:rsidR="00F30075" w:rsidRPr="004B208C" w:rsidRDefault="00F30075" w:rsidP="00A1385C">
      <w:pPr>
        <w:numPr>
          <w:ilvl w:val="0"/>
          <w:numId w:val="38"/>
        </w:numPr>
        <w:spacing w:after="60" w:line="276" w:lineRule="auto"/>
        <w:ind w:left="1440"/>
        <w:jc w:val="both"/>
        <w:rPr>
          <w:rFonts w:cs="Tahoma"/>
        </w:rPr>
      </w:pPr>
      <w:r w:rsidRPr="004B208C">
        <w:rPr>
          <w:rFonts w:cs="Tahoma"/>
          <w:szCs w:val="18"/>
        </w:rPr>
        <w:t>Assinaturas ativas do Windows Intune (Por Dispositivo)</w:t>
      </w:r>
    </w:p>
    <w:p w:rsidR="00F30075" w:rsidRPr="004B208C" w:rsidRDefault="00F30075" w:rsidP="008C0608">
      <w:pPr>
        <w:rPr>
          <w:rFonts w:cs="Tahoma"/>
        </w:rPr>
      </w:pPr>
    </w:p>
    <w:p w:rsidR="002D7B73" w:rsidRPr="004B208C" w:rsidRDefault="002D7B73" w:rsidP="008C0608">
      <w:pPr>
        <w:rPr>
          <w:rFonts w:cs="Tahoma"/>
        </w:rPr>
      </w:pPr>
      <w:r w:rsidRPr="004B208C">
        <w:rPr>
          <w:rFonts w:cs="Tahoma"/>
          <w:color w:val="000000"/>
          <w:szCs w:val="18"/>
        </w:rPr>
        <w:t>Esse direito de uso permite a execução do software em até quatro máquinas virtuais locais.</w:t>
      </w:r>
      <w:r w:rsidR="00172F11">
        <w:rPr>
          <w:rFonts w:cs="Tahoma"/>
          <w:color w:val="000000"/>
          <w:szCs w:val="18"/>
        </w:rPr>
        <w:t xml:space="preserve"> </w:t>
      </w:r>
      <w:r w:rsidRPr="004B208C">
        <w:rPr>
          <w:rFonts w:cs="Tahoma"/>
          <w:color w:val="000000"/>
          <w:szCs w:val="18"/>
        </w:rPr>
        <w:t>Ao passo que o direito do cliente de usar o Windows 8 Enterprise pode ser mantido após o término de sua cobertura do Software Assurance, o</w:t>
      </w:r>
      <w:r w:rsidR="00765C3B">
        <w:rPr>
          <w:rFonts w:cs="Tahoma"/>
          <w:color w:val="000000"/>
          <w:szCs w:val="18"/>
        </w:rPr>
        <w:t> </w:t>
      </w:r>
      <w:r w:rsidRPr="004B208C">
        <w:rPr>
          <w:rFonts w:cs="Tahoma"/>
          <w:color w:val="000000"/>
          <w:szCs w:val="18"/>
        </w:rPr>
        <w:t>Direito de Uso da Virtualização não pode.</w:t>
      </w:r>
      <w:r w:rsidR="00172F11">
        <w:rPr>
          <w:rFonts w:cs="Tahoma"/>
          <w:color w:val="000000"/>
          <w:szCs w:val="18"/>
        </w:rPr>
        <w:t xml:space="preserve"> </w:t>
      </w:r>
      <w:r w:rsidRPr="004B208C">
        <w:rPr>
          <w:rFonts w:cs="Tahoma"/>
          <w:color w:val="000000"/>
          <w:szCs w:val="18"/>
        </w:rPr>
        <w:t>Para obter mais detalhes sobre direitos de uso, consulte o documento de Direitos de Uso do Produto.</w:t>
      </w:r>
    </w:p>
    <w:p w:rsidR="00C831EC" w:rsidRPr="00765C3B" w:rsidRDefault="00C831EC" w:rsidP="002D7B73">
      <w:pPr>
        <w:pStyle w:val="Heading3"/>
        <w:rPr>
          <w:rFonts w:ascii="Tahoma" w:hAnsi="Tahoma" w:cs="Tahoma"/>
          <w:sz w:val="18"/>
          <w:szCs w:val="18"/>
        </w:rPr>
      </w:pPr>
      <w:bookmarkStart w:id="899" w:name="_Toc257907651"/>
      <w:bookmarkStart w:id="900" w:name="_Toc233026785"/>
    </w:p>
    <w:p w:rsidR="002D7B73" w:rsidRPr="004B208C" w:rsidRDefault="002D7B73" w:rsidP="002D7B73">
      <w:pPr>
        <w:pStyle w:val="Heading3"/>
        <w:rPr>
          <w:rFonts w:ascii="Tahoma" w:hAnsi="Tahoma" w:cs="Tahoma"/>
        </w:rPr>
      </w:pPr>
      <w:bookmarkStart w:id="901" w:name="_Toc336338245"/>
      <w:bookmarkStart w:id="902" w:name="_Toc370981360"/>
      <w:r w:rsidRPr="004B208C">
        <w:rPr>
          <w:rFonts w:ascii="Tahoma" w:hAnsi="Tahoma" w:cs="Tahoma"/>
          <w:color w:val="000000"/>
          <w:sz w:val="24"/>
        </w:rPr>
        <w:t>Direitos do Windows Virtual Desktop Access (VDA)</w:t>
      </w:r>
      <w:bookmarkEnd w:id="899"/>
      <w:bookmarkEnd w:id="902"/>
      <w:r w:rsidRPr="004B208C">
        <w:rPr>
          <w:rFonts w:ascii="Tahoma" w:hAnsi="Tahoma" w:cs="Tahoma"/>
          <w:color w:val="000000"/>
          <w:sz w:val="24"/>
        </w:rPr>
        <w:t xml:space="preserve"> </w:t>
      </w:r>
      <w:bookmarkEnd w:id="901"/>
    </w:p>
    <w:p w:rsidR="002D7B73" w:rsidRPr="004B208C" w:rsidRDefault="002D7B73" w:rsidP="002D7B73">
      <w:pPr>
        <w:rPr>
          <w:rFonts w:cs="Tahoma"/>
        </w:rPr>
      </w:pPr>
    </w:p>
    <w:p w:rsidR="00EC5C9D" w:rsidRPr="004B208C" w:rsidRDefault="00EC5C9D" w:rsidP="00EC5C9D">
      <w:pPr>
        <w:rPr>
          <w:rFonts w:cs="Tahoma"/>
        </w:rPr>
      </w:pPr>
      <w:r w:rsidRPr="004B208C">
        <w:rPr>
          <w:rFonts w:eastAsia="Calibri" w:cs="Tahoma"/>
          <w:color w:val="000000"/>
          <w:szCs w:val="18"/>
        </w:rPr>
        <w:t xml:space="preserve">Os direitos do Windows VDA estão disponíveis para os clientes com Software Assurance para sistema operacional Windows Desktop e clientes licenciados para Windows Intune </w:t>
      </w:r>
      <w:r w:rsidRPr="004B208C">
        <w:rPr>
          <w:rFonts w:cs="Tahoma"/>
          <w:szCs w:val="18"/>
        </w:rPr>
        <w:t>(Por Dispositivo)</w:t>
      </w:r>
      <w:r w:rsidRPr="004B208C">
        <w:rPr>
          <w:rFonts w:eastAsia="Calibri" w:cs="Tahoma"/>
          <w:color w:val="000000"/>
          <w:szCs w:val="18"/>
        </w:rPr>
        <w:t>.</w:t>
      </w:r>
      <w:r w:rsidR="00172F11">
        <w:rPr>
          <w:rFonts w:eastAsia="Calibri" w:cs="Tahoma"/>
          <w:color w:val="000000"/>
          <w:szCs w:val="18"/>
        </w:rPr>
        <w:t xml:space="preserve"> </w:t>
      </w:r>
      <w:r w:rsidRPr="004B208C">
        <w:rPr>
          <w:rFonts w:eastAsia="Calibri" w:cs="Tahoma"/>
          <w:color w:val="000000"/>
          <w:szCs w:val="18"/>
        </w:rPr>
        <w:t>Eles também estão disponíveis como uma licença de assinatura separada. O Windows VDA beneficia clientes que desejam implantar o Windows usando dispositivos thin client (geralmente pré-instalados com um sistema operacional embutido). A licença de assinatura do</w:t>
      </w:r>
      <w:r w:rsidR="00765C3B">
        <w:rPr>
          <w:rFonts w:eastAsia="Calibri" w:cs="Tahoma"/>
          <w:color w:val="000000"/>
          <w:szCs w:val="18"/>
        </w:rPr>
        <w:t> </w:t>
      </w:r>
      <w:r w:rsidRPr="004B208C">
        <w:rPr>
          <w:rFonts w:eastAsia="Calibri" w:cs="Tahoma"/>
          <w:color w:val="000000"/>
          <w:szCs w:val="18"/>
        </w:rPr>
        <w:t>VDA fornece aos clientes o direito de executar a versão mais recente do sistema operacional Windows Desktop disponibilizada durante o prazo de suas assinaturas.</w:t>
      </w:r>
    </w:p>
    <w:p w:rsidR="00EC5C9D" w:rsidRPr="004B208C" w:rsidRDefault="00EC5C9D" w:rsidP="00EC5C9D">
      <w:pPr>
        <w:rPr>
          <w:rFonts w:cs="Tahoma"/>
        </w:rPr>
      </w:pPr>
    </w:p>
    <w:p w:rsidR="00EC5C9D" w:rsidRPr="004B208C" w:rsidRDefault="00EC5C9D" w:rsidP="00EC5C9D">
      <w:pPr>
        <w:rPr>
          <w:rFonts w:cs="Tahoma"/>
        </w:rPr>
      </w:pPr>
      <w:r w:rsidRPr="004B208C">
        <w:rPr>
          <w:rFonts w:eastAsia="Calibri" w:cs="Tahoma"/>
          <w:color w:val="000000"/>
          <w:szCs w:val="18"/>
        </w:rPr>
        <w:t>Para obter mais informações sobre VDA, consulte o documento de Direitos de Uso de Produto.</w:t>
      </w:r>
    </w:p>
    <w:bookmarkEnd w:id="900"/>
    <w:p w:rsidR="00023FE7" w:rsidRPr="004B208C" w:rsidRDefault="00023FE7">
      <w:pPr>
        <w:rPr>
          <w:rFonts w:cs="Tahoma"/>
        </w:rPr>
      </w:pPr>
    </w:p>
    <w:p w:rsidR="00023FE7" w:rsidRPr="004B208C" w:rsidRDefault="00023FE7">
      <w:pPr>
        <w:rPr>
          <w:rFonts w:cs="Tahoma"/>
        </w:rPr>
      </w:pPr>
      <w:bookmarkStart w:id="903" w:name="_Toc336338246"/>
      <w:bookmarkStart w:id="904" w:name="_Toc370981361"/>
      <w:r w:rsidRPr="004B208C">
        <w:rPr>
          <w:rStyle w:val="Heading3Char"/>
          <w:rFonts w:ascii="Tahoma" w:hAnsi="Tahoma" w:cs="Tahoma"/>
          <w:sz w:val="24"/>
        </w:rPr>
        <w:t>Disponibilidade de Licenças Step-up</w:t>
      </w:r>
      <w:bookmarkEnd w:id="903"/>
      <w:bookmarkEnd w:id="904"/>
      <w:r w:rsidRPr="004B208C">
        <w:rPr>
          <w:rFonts w:cs="Tahoma"/>
          <w:b/>
          <w:sz w:val="24"/>
          <w:szCs w:val="20"/>
        </w:rPr>
        <w:t>*</w:t>
      </w:r>
    </w:p>
    <w:p w:rsidR="00023FE7" w:rsidRPr="004B208C" w:rsidRDefault="00023FE7">
      <w:pPr>
        <w:rPr>
          <w:rFonts w:cs="Tahoma"/>
        </w:rPr>
      </w:pPr>
    </w:p>
    <w:p w:rsidR="00023FE7" w:rsidRPr="004B208C" w:rsidRDefault="00AD6AD6">
      <w:pPr>
        <w:rPr>
          <w:rFonts w:cs="Tahoma"/>
        </w:rPr>
      </w:pPr>
      <w:r w:rsidRPr="004B208C">
        <w:rPr>
          <w:rFonts w:cs="Tahoma"/>
          <w:szCs w:val="18"/>
        </w:rPr>
        <w:t>Os clientes podem migrar de uma edição de nível inferior para uma edição de nível superior de determinados produtos com uma Licença Step-up.</w:t>
      </w:r>
      <w:r w:rsidR="00172F11">
        <w:rPr>
          <w:rFonts w:cs="Tahoma"/>
          <w:szCs w:val="18"/>
        </w:rPr>
        <w:t xml:space="preserve"> </w:t>
      </w:r>
      <w:r w:rsidRPr="004B208C">
        <w:rPr>
          <w:rFonts w:cs="Tahoma"/>
          <w:szCs w:val="18"/>
        </w:rPr>
        <w:t xml:space="preserve">Os clientes devem ter uma licença com Software Assurance ativo para o produto qualificado para </w:t>
      </w:r>
      <w:r w:rsidRPr="004B208C">
        <w:rPr>
          <w:rFonts w:cs="Tahoma"/>
          <w:color w:val="000000"/>
          <w:szCs w:val="18"/>
        </w:rPr>
        <w:t>adquirir essa Licença Step-up.</w:t>
      </w:r>
      <w:r w:rsidR="00172F11">
        <w:rPr>
          <w:rFonts w:cs="Tahoma"/>
          <w:color w:val="000000"/>
          <w:szCs w:val="18"/>
        </w:rPr>
        <w:t xml:space="preserve"> </w:t>
      </w:r>
      <w:r w:rsidRPr="004B208C">
        <w:rPr>
          <w:rFonts w:cs="Tahoma"/>
          <w:color w:val="000000"/>
          <w:szCs w:val="18"/>
        </w:rPr>
        <w:t>A Licença Step-up deve ser adquirida, e é válida apenas quando adquirida, sob os mesmos contrato e registro de Licenciamento por Volume (se houver), sob o qual a cobertura de Software Assurance do produto</w:t>
      </w:r>
      <w:r w:rsidRPr="004B208C">
        <w:rPr>
          <w:rFonts w:cs="Tahoma"/>
          <w:szCs w:val="18"/>
        </w:rPr>
        <w:t xml:space="preserve"> qualificado foi originalmente adquirida.</w:t>
      </w:r>
      <w:r w:rsidR="00172F11">
        <w:rPr>
          <w:rFonts w:cs="Tahoma"/>
          <w:szCs w:val="18"/>
        </w:rPr>
        <w:t xml:space="preserve"> </w:t>
      </w:r>
      <w:r w:rsidRPr="004B208C">
        <w:rPr>
          <w:rFonts w:cs="Tahoma"/>
          <w:szCs w:val="18"/>
        </w:rPr>
        <w:t>O direito de uso de software do cliente sob uma licença Step-up está condicionado à posse e manutenção de uma Licença do produto qualificado.</w:t>
      </w:r>
      <w:r w:rsidR="00172F11">
        <w:rPr>
          <w:rFonts w:cs="Tahoma"/>
          <w:szCs w:val="18"/>
        </w:rPr>
        <w:t xml:space="preserve"> </w:t>
      </w:r>
      <w:r w:rsidRPr="004B208C">
        <w:rPr>
          <w:rFonts w:cs="Tahoma"/>
          <w:szCs w:val="18"/>
        </w:rPr>
        <w:t>Os clientes não podem transferir a Licença do produto qualificado separadamente da licença Step-up.</w:t>
      </w:r>
      <w:r w:rsidR="00172F11">
        <w:rPr>
          <w:rFonts w:cs="Tahoma"/>
          <w:szCs w:val="18"/>
        </w:rPr>
        <w:t xml:space="preserve"> </w:t>
      </w:r>
      <w:r w:rsidRPr="004B208C">
        <w:rPr>
          <w:rFonts w:cs="Tahoma"/>
          <w:szCs w:val="18"/>
        </w:rPr>
        <w:t>Os direitos perpétuos do cliente sob a Licença Step-up substituem a licença básica do produto qualificado.</w:t>
      </w:r>
      <w:r w:rsidR="00172F11">
        <w:rPr>
          <w:rFonts w:cs="Tahoma"/>
          <w:szCs w:val="18"/>
        </w:rPr>
        <w:t xml:space="preserve"> </w:t>
      </w:r>
      <w:r w:rsidRPr="004B208C">
        <w:rPr>
          <w:rFonts w:cs="Tahoma"/>
          <w:szCs w:val="18"/>
        </w:rPr>
        <w:t xml:space="preserve">Para obter mais detalhes, consulte o Resumo de Licenciamento por Volume da Licença Step-up para Enterprise Edition no site: </w:t>
      </w:r>
      <w:r w:rsidR="00765C3B">
        <w:rPr>
          <w:rFonts w:cs="Tahoma"/>
          <w:szCs w:val="18"/>
        </w:rPr>
        <w:t>http://</w:t>
      </w:r>
      <w:hyperlink r:id="rId29" w:history="1">
        <w:r w:rsidR="00765C3B">
          <w:rPr>
            <w:rStyle w:val="Hyperlink"/>
            <w:rFonts w:cs="Tahoma"/>
            <w:szCs w:val="18"/>
          </w:rPr>
          <w:t>www.microsoft.com/licensing</w:t>
        </w:r>
      </w:hyperlink>
      <w:r w:rsidRPr="004B208C">
        <w:rPr>
          <w:rFonts w:cs="Tahoma"/>
          <w:szCs w:val="18"/>
        </w:rPr>
        <w:t xml:space="preserve"> </w:t>
      </w:r>
    </w:p>
    <w:p w:rsidR="00023FE7" w:rsidRPr="004B208C" w:rsidRDefault="00023FE7">
      <w:pPr>
        <w:rPr>
          <w:rFonts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4B208C" w:rsidTr="001E3F7D">
        <w:trPr>
          <w:tblHeader/>
        </w:trPr>
        <w:tc>
          <w:tcPr>
            <w:tcW w:w="4230" w:type="dxa"/>
            <w:shd w:val="clear" w:color="auto" w:fill="FABF8F"/>
            <w:tcMar>
              <w:top w:w="0" w:type="dxa"/>
              <w:left w:w="108" w:type="dxa"/>
              <w:bottom w:w="0" w:type="dxa"/>
              <w:right w:w="108" w:type="dxa"/>
            </w:tcMar>
            <w:hideMark/>
          </w:tcPr>
          <w:p w:rsidR="003573CD" w:rsidRPr="004B208C" w:rsidRDefault="003573CD" w:rsidP="00554A35">
            <w:pPr>
              <w:jc w:val="center"/>
              <w:rPr>
                <w:rFonts w:eastAsia="Calibri" w:cs="Tahoma"/>
                <w:b/>
                <w:sz w:val="20"/>
                <w:szCs w:val="20"/>
              </w:rPr>
            </w:pPr>
            <w:r w:rsidRPr="004B208C">
              <w:rPr>
                <w:rFonts w:cs="Tahoma"/>
                <w:b/>
                <w:sz w:val="20"/>
                <w:szCs w:val="20"/>
              </w:rPr>
              <w:t>Step-up de</w:t>
            </w:r>
          </w:p>
        </w:tc>
        <w:tc>
          <w:tcPr>
            <w:tcW w:w="4230" w:type="dxa"/>
            <w:shd w:val="clear" w:color="auto" w:fill="FABF8F"/>
            <w:tcMar>
              <w:top w:w="0" w:type="dxa"/>
              <w:left w:w="108" w:type="dxa"/>
              <w:bottom w:w="0" w:type="dxa"/>
              <w:right w:w="108" w:type="dxa"/>
            </w:tcMar>
            <w:hideMark/>
          </w:tcPr>
          <w:p w:rsidR="003573CD" w:rsidRPr="004B208C" w:rsidRDefault="003573CD" w:rsidP="00554A35">
            <w:pPr>
              <w:jc w:val="center"/>
              <w:rPr>
                <w:rFonts w:eastAsia="Calibri" w:cs="Tahoma"/>
                <w:b/>
                <w:sz w:val="20"/>
                <w:szCs w:val="20"/>
              </w:rPr>
            </w:pPr>
            <w:r w:rsidRPr="004B208C">
              <w:rPr>
                <w:rFonts w:cs="Tahoma"/>
                <w:b/>
                <w:sz w:val="20"/>
                <w:szCs w:val="20"/>
              </w:rPr>
              <w:t>Step-up para</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BizTalk</w:t>
            </w:r>
            <w:r w:rsidR="00172F11" w:rsidRPr="00172F11">
              <w:rPr>
                <w:rFonts w:cs="Tahoma"/>
                <w:szCs w:val="18"/>
                <w:vertAlign w:val="superscript"/>
              </w:rPr>
              <w:t>®</w:t>
            </w:r>
            <w:r w:rsidRPr="004B208C">
              <w:rPr>
                <w:rFonts w:cs="Tahoma"/>
                <w:szCs w:val="18"/>
              </w:rPr>
              <w:t xml:space="preserve"> Server Branch</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BizTalk</w:t>
            </w:r>
            <w:r w:rsidR="00172F11" w:rsidRPr="00172F11">
              <w:rPr>
                <w:rFonts w:cs="Tahoma"/>
                <w:szCs w:val="18"/>
                <w:vertAlign w:val="superscript"/>
              </w:rPr>
              <w:t>®</w:t>
            </w:r>
            <w:r w:rsidRPr="004B208C">
              <w:rPr>
                <w:rFonts w:cs="Tahoma"/>
                <w:szCs w:val="18"/>
              </w:rPr>
              <w:t xml:space="preserve"> Server Standard</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BizTalk</w:t>
            </w:r>
            <w:r w:rsidR="00172F11" w:rsidRPr="00172F11">
              <w:rPr>
                <w:rFonts w:cs="Tahoma"/>
                <w:szCs w:val="18"/>
                <w:vertAlign w:val="superscript"/>
              </w:rPr>
              <w:t>®</w:t>
            </w:r>
            <w:r w:rsidRPr="004B208C">
              <w:rPr>
                <w:rFonts w:cs="Tahoma"/>
                <w:szCs w:val="18"/>
              </w:rPr>
              <w:t xml:space="preserve"> Server Branch</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BizTalk</w:t>
            </w:r>
            <w:r w:rsidR="00172F11" w:rsidRPr="00172F11">
              <w:rPr>
                <w:rFonts w:cs="Tahoma"/>
                <w:szCs w:val="18"/>
                <w:vertAlign w:val="superscript"/>
              </w:rPr>
              <w:t>®</w:t>
            </w:r>
            <w:r w:rsidRPr="004B208C">
              <w:rPr>
                <w:rFonts w:cs="Tahoma"/>
                <w:szCs w:val="18"/>
              </w:rPr>
              <w:t xml:space="preserve"> Server Enterprise</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BizTalk</w:t>
            </w:r>
            <w:r w:rsidR="00172F11" w:rsidRPr="00172F11">
              <w:rPr>
                <w:rFonts w:cs="Tahoma"/>
                <w:szCs w:val="18"/>
                <w:vertAlign w:val="superscript"/>
              </w:rPr>
              <w:t>®</w:t>
            </w:r>
            <w:r w:rsidRPr="004B208C">
              <w:rPr>
                <w:rFonts w:cs="Tahoma"/>
                <w:szCs w:val="18"/>
              </w:rPr>
              <w:t xml:space="preserve"> Server Standard</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BizTalk</w:t>
            </w:r>
            <w:r w:rsidR="00172F11" w:rsidRPr="00172F11">
              <w:rPr>
                <w:rFonts w:cs="Tahoma"/>
                <w:szCs w:val="18"/>
                <w:vertAlign w:val="superscript"/>
              </w:rPr>
              <w:t>®</w:t>
            </w:r>
            <w:r w:rsidRPr="004B208C">
              <w:rPr>
                <w:rFonts w:cs="Tahoma"/>
                <w:szCs w:val="18"/>
              </w:rPr>
              <w:t xml:space="preserve"> Server Enterprise</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Commerce Server Standard</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Commerce Server Enterprise</w:t>
            </w:r>
          </w:p>
        </w:tc>
      </w:tr>
      <w:tr w:rsidR="003573CD" w:rsidRPr="004B208C" w:rsidTr="001E3F7D">
        <w:trPr>
          <w:trHeight w:val="238"/>
        </w:trPr>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Core CAL Suite</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Enterprise CAL Suite</w:t>
            </w:r>
          </w:p>
        </w:tc>
      </w:tr>
      <w:tr w:rsidR="00E87953" w:rsidRPr="004B208C" w:rsidTr="001E3F7D">
        <w:trPr>
          <w:trHeight w:val="247"/>
        </w:trPr>
        <w:tc>
          <w:tcPr>
            <w:tcW w:w="4230" w:type="dxa"/>
            <w:tcMar>
              <w:top w:w="0" w:type="dxa"/>
              <w:left w:w="108" w:type="dxa"/>
              <w:bottom w:w="0" w:type="dxa"/>
              <w:right w:w="108" w:type="dxa"/>
            </w:tcMar>
          </w:tcPr>
          <w:p w:rsidR="00E87953" w:rsidRPr="004B208C" w:rsidRDefault="00E87953" w:rsidP="00734CF4">
            <w:pPr>
              <w:rPr>
                <w:rFonts w:cs="Tahoma"/>
                <w:color w:val="000000"/>
                <w:szCs w:val="18"/>
              </w:rPr>
            </w:pPr>
            <w:r w:rsidRPr="004B208C">
              <w:rPr>
                <w:rFonts w:cs="Tahoma"/>
                <w:color w:val="000000"/>
                <w:szCs w:val="18"/>
              </w:rPr>
              <w:t>Bridge do Pacote de CALs Principais para Office 365</w:t>
            </w:r>
          </w:p>
        </w:tc>
        <w:tc>
          <w:tcPr>
            <w:tcW w:w="4230" w:type="dxa"/>
            <w:tcMar>
              <w:top w:w="0" w:type="dxa"/>
              <w:left w:w="108" w:type="dxa"/>
              <w:bottom w:w="0" w:type="dxa"/>
              <w:right w:w="108" w:type="dxa"/>
            </w:tcMar>
          </w:tcPr>
          <w:p w:rsidR="00E87953" w:rsidRPr="004B208C" w:rsidRDefault="00E87953" w:rsidP="00734CF4">
            <w:pPr>
              <w:rPr>
                <w:rFonts w:cs="Tahoma"/>
                <w:color w:val="000000"/>
                <w:szCs w:val="18"/>
              </w:rPr>
            </w:pPr>
            <w:r w:rsidRPr="004B208C">
              <w:rPr>
                <w:rFonts w:cs="Tahoma"/>
                <w:color w:val="000000"/>
                <w:szCs w:val="18"/>
              </w:rPr>
              <w:t>Bridge do Pacote de CALs Empresariais para Office 365</w:t>
            </w:r>
          </w:p>
        </w:tc>
      </w:tr>
      <w:tr w:rsidR="00E87953" w:rsidRPr="004B208C" w:rsidTr="001E3F7D">
        <w:trPr>
          <w:trHeight w:val="247"/>
        </w:trPr>
        <w:tc>
          <w:tcPr>
            <w:tcW w:w="4230" w:type="dxa"/>
            <w:tcMar>
              <w:top w:w="0" w:type="dxa"/>
              <w:left w:w="108" w:type="dxa"/>
              <w:bottom w:w="0" w:type="dxa"/>
              <w:right w:w="108" w:type="dxa"/>
            </w:tcMar>
          </w:tcPr>
          <w:p w:rsidR="00E87953" w:rsidRPr="004B208C" w:rsidRDefault="00E87953" w:rsidP="007C6582">
            <w:pPr>
              <w:rPr>
                <w:rFonts w:cs="Tahoma"/>
                <w:color w:val="000000"/>
                <w:szCs w:val="18"/>
              </w:rPr>
            </w:pPr>
            <w:r w:rsidRPr="004B208C">
              <w:rPr>
                <w:rFonts w:cs="Tahoma"/>
                <w:color w:val="000000"/>
                <w:szCs w:val="18"/>
              </w:rPr>
              <w:t>Bridge do Pacote de CALs Principais para Windows</w:t>
            </w:r>
            <w:r w:rsidR="00172F11" w:rsidRPr="00172F11">
              <w:rPr>
                <w:rFonts w:cs="Tahoma"/>
                <w:color w:val="000000"/>
                <w:szCs w:val="18"/>
                <w:vertAlign w:val="superscript"/>
              </w:rPr>
              <w:t>®</w:t>
            </w:r>
            <w:r w:rsidRPr="004B208C">
              <w:rPr>
                <w:rFonts w:cs="Tahoma"/>
                <w:color w:val="000000"/>
                <w:szCs w:val="18"/>
              </w:rPr>
              <w:t xml:space="preserve"> Intune</w:t>
            </w:r>
          </w:p>
        </w:tc>
        <w:tc>
          <w:tcPr>
            <w:tcW w:w="4230" w:type="dxa"/>
            <w:tcMar>
              <w:top w:w="0" w:type="dxa"/>
              <w:left w:w="108" w:type="dxa"/>
              <w:bottom w:w="0" w:type="dxa"/>
              <w:right w:w="108" w:type="dxa"/>
            </w:tcMar>
          </w:tcPr>
          <w:p w:rsidR="00E87953" w:rsidRPr="004B208C" w:rsidRDefault="00E87953" w:rsidP="007C6582">
            <w:pPr>
              <w:rPr>
                <w:rFonts w:cs="Tahoma"/>
                <w:color w:val="000000"/>
                <w:szCs w:val="18"/>
              </w:rPr>
            </w:pPr>
            <w:r w:rsidRPr="004B208C">
              <w:rPr>
                <w:rFonts w:cs="Tahoma"/>
                <w:color w:val="000000"/>
                <w:szCs w:val="18"/>
              </w:rPr>
              <w:t>Bridge do Pacote de CALs Empresariais para Windows</w:t>
            </w:r>
            <w:r w:rsidR="00172F11" w:rsidRPr="00172F11">
              <w:rPr>
                <w:rFonts w:cs="Tahoma"/>
                <w:color w:val="000000"/>
                <w:szCs w:val="18"/>
                <w:vertAlign w:val="superscript"/>
              </w:rPr>
              <w:t>®</w:t>
            </w:r>
            <w:r w:rsidRPr="004B208C">
              <w:rPr>
                <w:rFonts w:cs="Tahoma"/>
                <w:color w:val="000000"/>
                <w:szCs w:val="18"/>
              </w:rPr>
              <w:t xml:space="preserve"> Intune</w:t>
            </w:r>
          </w:p>
        </w:tc>
      </w:tr>
      <w:tr w:rsidR="000466E8" w:rsidRPr="004B208C" w:rsidTr="001E3F7D">
        <w:trPr>
          <w:trHeight w:val="247"/>
        </w:trPr>
        <w:tc>
          <w:tcPr>
            <w:tcW w:w="4230" w:type="dxa"/>
            <w:tcMar>
              <w:top w:w="0" w:type="dxa"/>
              <w:left w:w="108" w:type="dxa"/>
              <w:bottom w:w="0" w:type="dxa"/>
              <w:right w:w="108" w:type="dxa"/>
            </w:tcMar>
          </w:tcPr>
          <w:p w:rsidR="000466E8" w:rsidRPr="004B208C" w:rsidRDefault="0054507B" w:rsidP="007C6582">
            <w:pPr>
              <w:rPr>
                <w:rFonts w:cs="Tahoma"/>
                <w:color w:val="000000"/>
                <w:szCs w:val="18"/>
              </w:rPr>
            </w:pPr>
            <w:r w:rsidRPr="004B208C">
              <w:rPr>
                <w:rFonts w:cs="Tahoma"/>
                <w:color w:val="000000"/>
                <w:szCs w:val="18"/>
              </w:rPr>
              <w:t>Bridge do Pacote de CALs Principais para Office 365 e Windows</w:t>
            </w:r>
            <w:r w:rsidR="00172F11" w:rsidRPr="00172F11">
              <w:rPr>
                <w:rFonts w:cs="Tahoma"/>
                <w:color w:val="000000"/>
                <w:szCs w:val="18"/>
                <w:vertAlign w:val="superscript"/>
              </w:rPr>
              <w:t>®</w:t>
            </w:r>
            <w:r w:rsidRPr="004B208C">
              <w:rPr>
                <w:rFonts w:cs="Tahoma"/>
                <w:color w:val="000000"/>
                <w:szCs w:val="18"/>
              </w:rPr>
              <w:t xml:space="preserve"> Intune</w:t>
            </w:r>
          </w:p>
        </w:tc>
        <w:tc>
          <w:tcPr>
            <w:tcW w:w="4230" w:type="dxa"/>
            <w:tcMar>
              <w:top w:w="0" w:type="dxa"/>
              <w:left w:w="108" w:type="dxa"/>
              <w:bottom w:w="0" w:type="dxa"/>
              <w:right w:w="108" w:type="dxa"/>
            </w:tcMar>
          </w:tcPr>
          <w:p w:rsidR="000466E8" w:rsidRPr="004B208C" w:rsidRDefault="00C3058D" w:rsidP="007C6582">
            <w:pPr>
              <w:rPr>
                <w:rFonts w:cs="Tahoma"/>
                <w:color w:val="000000"/>
                <w:szCs w:val="18"/>
              </w:rPr>
            </w:pPr>
            <w:r w:rsidRPr="004B208C">
              <w:rPr>
                <w:rFonts w:eastAsia="Calibri" w:cs="Tahoma"/>
                <w:szCs w:val="18"/>
              </w:rPr>
              <w:t>Bridge do Pacote de CALs Empresariais para Office 365 e Windows</w:t>
            </w:r>
            <w:r w:rsidR="00172F11" w:rsidRPr="00172F11">
              <w:rPr>
                <w:rFonts w:cs="Tahoma"/>
                <w:color w:val="000000"/>
                <w:szCs w:val="18"/>
                <w:vertAlign w:val="superscript"/>
              </w:rPr>
              <w:t>®</w:t>
            </w:r>
            <w:r w:rsidRPr="004B208C">
              <w:rPr>
                <w:rFonts w:cs="Tahoma"/>
                <w:color w:val="000000"/>
                <w:szCs w:val="18"/>
                <w:vertAlign w:val="superscript"/>
              </w:rPr>
              <w:t xml:space="preserve"> </w:t>
            </w:r>
            <w:r w:rsidRPr="004B208C">
              <w:rPr>
                <w:rFonts w:eastAsia="Calibri" w:cs="Tahoma"/>
                <w:szCs w:val="18"/>
              </w:rPr>
              <w:t>Intune</w:t>
            </w:r>
          </w:p>
        </w:tc>
      </w:tr>
      <w:tr w:rsidR="004C6855" w:rsidRPr="004B208C" w:rsidTr="001E3F7D">
        <w:trPr>
          <w:trHeight w:val="247"/>
        </w:trPr>
        <w:tc>
          <w:tcPr>
            <w:tcW w:w="4230" w:type="dxa"/>
            <w:tcMar>
              <w:top w:w="0" w:type="dxa"/>
              <w:left w:w="108" w:type="dxa"/>
              <w:bottom w:w="0" w:type="dxa"/>
              <w:right w:w="108" w:type="dxa"/>
            </w:tcMar>
            <w:hideMark/>
          </w:tcPr>
          <w:p w:rsidR="004C6855" w:rsidRPr="004B208C" w:rsidRDefault="004C6855" w:rsidP="00554A35">
            <w:pPr>
              <w:rPr>
                <w:rFonts w:cs="Tahoma"/>
                <w:szCs w:val="18"/>
              </w:rPr>
            </w:pPr>
            <w:r w:rsidRPr="004B208C">
              <w:rPr>
                <w:rFonts w:cs="Tahoma"/>
                <w:color w:val="000000"/>
                <w:szCs w:val="18"/>
              </w:rPr>
              <w:t>Core Infrastructure Server Suite Standard</w:t>
            </w:r>
          </w:p>
        </w:tc>
        <w:tc>
          <w:tcPr>
            <w:tcW w:w="4230" w:type="dxa"/>
            <w:tcMar>
              <w:top w:w="0" w:type="dxa"/>
              <w:left w:w="108" w:type="dxa"/>
              <w:bottom w:w="0" w:type="dxa"/>
              <w:right w:w="108" w:type="dxa"/>
            </w:tcMar>
            <w:hideMark/>
          </w:tcPr>
          <w:p w:rsidR="004C6855" w:rsidRPr="004B208C" w:rsidRDefault="004C6855" w:rsidP="00933674">
            <w:pPr>
              <w:rPr>
                <w:rFonts w:cs="Tahoma"/>
                <w:szCs w:val="18"/>
              </w:rPr>
            </w:pPr>
            <w:r w:rsidRPr="004B208C">
              <w:rPr>
                <w:rFonts w:cs="Tahoma"/>
                <w:color w:val="000000"/>
                <w:szCs w:val="18"/>
              </w:rPr>
              <w:t>Core Infrastructure Server Suite Datacenter</w:t>
            </w:r>
          </w:p>
        </w:tc>
      </w:tr>
      <w:tr w:rsidR="003573CD" w:rsidRPr="004B208C" w:rsidTr="001E3F7D">
        <w:tc>
          <w:tcPr>
            <w:tcW w:w="4230" w:type="dxa"/>
            <w:tcMar>
              <w:top w:w="0" w:type="dxa"/>
              <w:left w:w="108" w:type="dxa"/>
              <w:bottom w:w="0" w:type="dxa"/>
              <w:right w:w="108" w:type="dxa"/>
            </w:tcMar>
            <w:hideMark/>
          </w:tcPr>
          <w:p w:rsidR="003573CD" w:rsidRPr="004B208C" w:rsidRDefault="003573CD" w:rsidP="00394D2B">
            <w:pPr>
              <w:rPr>
                <w:rFonts w:eastAsia="Calibri" w:cs="Tahoma"/>
                <w:szCs w:val="18"/>
              </w:rPr>
            </w:pPr>
            <w:r w:rsidRPr="004B208C">
              <w:rPr>
                <w:rFonts w:cs="Tahoma"/>
                <w:szCs w:val="18"/>
              </w:rPr>
              <w:t>Desktop Educacional com Core CAL</w:t>
            </w:r>
          </w:p>
        </w:tc>
        <w:tc>
          <w:tcPr>
            <w:tcW w:w="4230" w:type="dxa"/>
            <w:tcMar>
              <w:top w:w="0" w:type="dxa"/>
              <w:left w:w="108" w:type="dxa"/>
              <w:bottom w:w="0" w:type="dxa"/>
              <w:right w:w="108" w:type="dxa"/>
            </w:tcMar>
            <w:hideMark/>
          </w:tcPr>
          <w:p w:rsidR="003573CD" w:rsidRPr="004B208C" w:rsidRDefault="003573CD" w:rsidP="00394D2B">
            <w:pPr>
              <w:rPr>
                <w:rFonts w:eastAsia="Calibri" w:cs="Tahoma"/>
                <w:szCs w:val="18"/>
              </w:rPr>
            </w:pPr>
            <w:r w:rsidRPr="004B208C">
              <w:rPr>
                <w:rFonts w:cs="Tahoma"/>
                <w:szCs w:val="18"/>
              </w:rPr>
              <w:t>Desktop Educacional com Pacote de CALs Empresariais</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Desktop School com Core CAL</w:t>
            </w:r>
          </w:p>
        </w:tc>
        <w:tc>
          <w:tcPr>
            <w:tcW w:w="4230" w:type="dxa"/>
            <w:tcMar>
              <w:top w:w="0" w:type="dxa"/>
              <w:left w:w="108" w:type="dxa"/>
              <w:bottom w:w="0" w:type="dxa"/>
              <w:right w:w="108" w:type="dxa"/>
            </w:tcMar>
            <w:hideMark/>
          </w:tcPr>
          <w:p w:rsidR="003573CD" w:rsidRPr="004B208C" w:rsidRDefault="00ED0F02" w:rsidP="00554A35">
            <w:pPr>
              <w:rPr>
                <w:rFonts w:eastAsia="Calibri" w:cs="Tahoma"/>
                <w:szCs w:val="18"/>
              </w:rPr>
            </w:pPr>
            <w:r w:rsidRPr="004B208C">
              <w:rPr>
                <w:rFonts w:cs="Tahoma"/>
                <w:szCs w:val="18"/>
              </w:rPr>
              <w:t>Desktop School com Pacote de CALs Empresariais</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lang w:val="fr-FR"/>
              </w:rPr>
            </w:pPr>
            <w:r w:rsidRPr="004B208C">
              <w:rPr>
                <w:rFonts w:cs="Tahoma"/>
                <w:szCs w:val="18"/>
              </w:rPr>
              <w:t>Exchange Server Standard</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Exchange Server Enterprise</w:t>
            </w:r>
          </w:p>
        </w:tc>
      </w:tr>
      <w:tr w:rsidR="004D4D43" w:rsidRPr="004B208C" w:rsidTr="001E3F7D">
        <w:tc>
          <w:tcPr>
            <w:tcW w:w="4230" w:type="dxa"/>
            <w:tcMar>
              <w:top w:w="0" w:type="dxa"/>
              <w:left w:w="108" w:type="dxa"/>
              <w:bottom w:w="0" w:type="dxa"/>
              <w:right w:w="108" w:type="dxa"/>
            </w:tcMar>
          </w:tcPr>
          <w:p w:rsidR="004D4D43" w:rsidRPr="004B208C" w:rsidRDefault="004D4D43" w:rsidP="00AB4C80">
            <w:pPr>
              <w:rPr>
                <w:rFonts w:cs="Tahoma"/>
                <w:szCs w:val="18"/>
              </w:rPr>
            </w:pPr>
            <w:r w:rsidRPr="004B208C">
              <w:rPr>
                <w:rFonts w:cs="Tahoma"/>
                <w:szCs w:val="18"/>
              </w:rPr>
              <w:lastRenderedPageBreak/>
              <w:t>Forefront TMG Standard</w:t>
            </w:r>
          </w:p>
        </w:tc>
        <w:tc>
          <w:tcPr>
            <w:tcW w:w="4230" w:type="dxa"/>
            <w:tcMar>
              <w:top w:w="0" w:type="dxa"/>
              <w:left w:w="108" w:type="dxa"/>
              <w:bottom w:w="0" w:type="dxa"/>
              <w:right w:w="108" w:type="dxa"/>
            </w:tcMar>
          </w:tcPr>
          <w:p w:rsidR="004D4D43" w:rsidRPr="004B208C" w:rsidRDefault="004D4D43" w:rsidP="00AB4C80">
            <w:pPr>
              <w:rPr>
                <w:rFonts w:cs="Tahoma"/>
                <w:szCs w:val="18"/>
              </w:rPr>
            </w:pPr>
            <w:r w:rsidRPr="004B208C">
              <w:rPr>
                <w:rFonts w:cs="Tahoma"/>
                <w:szCs w:val="18"/>
              </w:rPr>
              <w:t>Forefront TMG Enterprise</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Internet Security &amp; Acceleration (ISA) Enterprise Server</w:t>
            </w:r>
          </w:p>
        </w:tc>
      </w:tr>
      <w:tr w:rsidR="00781A60" w:rsidRPr="004B208C" w:rsidTr="001E3F7D">
        <w:tc>
          <w:tcPr>
            <w:tcW w:w="4230" w:type="dxa"/>
            <w:tcMar>
              <w:top w:w="0" w:type="dxa"/>
              <w:left w:w="108" w:type="dxa"/>
              <w:bottom w:w="0" w:type="dxa"/>
              <w:right w:w="108" w:type="dxa"/>
            </w:tcMar>
          </w:tcPr>
          <w:p w:rsidR="00781A60" w:rsidRPr="004B208C" w:rsidRDefault="00781A60" w:rsidP="00554A35">
            <w:pPr>
              <w:rPr>
                <w:rFonts w:cs="Tahoma"/>
                <w:szCs w:val="18"/>
              </w:rPr>
            </w:pPr>
            <w:r w:rsidRPr="004B208C">
              <w:rPr>
                <w:rFonts w:cs="Tahoma"/>
                <w:szCs w:val="18"/>
              </w:rPr>
              <w:t>Microsoft Dynamics CRM Workgroup Server 2011</w:t>
            </w:r>
          </w:p>
        </w:tc>
        <w:tc>
          <w:tcPr>
            <w:tcW w:w="4230" w:type="dxa"/>
            <w:tcMar>
              <w:top w:w="0" w:type="dxa"/>
              <w:left w:w="108" w:type="dxa"/>
              <w:bottom w:w="0" w:type="dxa"/>
              <w:right w:w="108" w:type="dxa"/>
            </w:tcMar>
          </w:tcPr>
          <w:p w:rsidR="00781A60" w:rsidRPr="004B208C" w:rsidRDefault="00781A60" w:rsidP="00554A35">
            <w:pPr>
              <w:rPr>
                <w:rFonts w:cs="Tahoma"/>
                <w:szCs w:val="18"/>
              </w:rPr>
            </w:pPr>
            <w:r w:rsidRPr="004B208C">
              <w:rPr>
                <w:rFonts w:cs="Tahoma"/>
                <w:szCs w:val="18"/>
              </w:rPr>
              <w:t>Microsoft Dynamics CRM Server 2011</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 xml:space="preserve">Office Standard </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lang w:val="fr-FR"/>
              </w:rPr>
            </w:pPr>
            <w:r w:rsidRPr="004B208C">
              <w:rPr>
                <w:rFonts w:cs="Tahoma"/>
                <w:szCs w:val="18"/>
              </w:rPr>
              <w:t xml:space="preserve">Office Professional Plus </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Desktop Profissional</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Desktop Empresarial</w:t>
            </w:r>
          </w:p>
        </w:tc>
      </w:tr>
      <w:tr w:rsidR="008925CF" w:rsidRPr="004B208C" w:rsidTr="001E3F7D">
        <w:tc>
          <w:tcPr>
            <w:tcW w:w="4230" w:type="dxa"/>
            <w:tcMar>
              <w:top w:w="0" w:type="dxa"/>
              <w:left w:w="108" w:type="dxa"/>
              <w:bottom w:w="0" w:type="dxa"/>
              <w:right w:w="108" w:type="dxa"/>
            </w:tcMar>
            <w:hideMark/>
          </w:tcPr>
          <w:p w:rsidR="008925CF" w:rsidRPr="004B208C" w:rsidRDefault="008925CF" w:rsidP="008925CF">
            <w:pPr>
              <w:rPr>
                <w:rFonts w:cs="Tahoma"/>
                <w:color w:val="000000"/>
                <w:szCs w:val="18"/>
              </w:rPr>
            </w:pPr>
            <w:r w:rsidRPr="004B208C">
              <w:rPr>
                <w:rFonts w:cs="Tahoma"/>
                <w:color w:val="000000"/>
                <w:szCs w:val="18"/>
              </w:rPr>
              <w:t>Professional Desktop com Microsoft</w:t>
            </w:r>
            <w:bookmarkStart w:id="905" w:name="_Toc236810936"/>
            <w:r w:rsidRPr="004B208C">
              <w:rPr>
                <w:rFonts w:cs="Tahoma"/>
                <w:color w:val="000000"/>
                <w:szCs w:val="18"/>
              </w:rPr>
              <w:t xml:space="preserve"> Desktop Optimization Pack </w:t>
            </w:r>
            <w:bookmarkEnd w:id="905"/>
          </w:p>
        </w:tc>
        <w:tc>
          <w:tcPr>
            <w:tcW w:w="4230" w:type="dxa"/>
            <w:tcMar>
              <w:top w:w="0" w:type="dxa"/>
              <w:left w:w="108" w:type="dxa"/>
              <w:bottom w:w="0" w:type="dxa"/>
              <w:right w:w="108" w:type="dxa"/>
            </w:tcMar>
            <w:hideMark/>
          </w:tcPr>
          <w:p w:rsidR="008925CF" w:rsidRPr="004B208C" w:rsidRDefault="008925CF" w:rsidP="00554A35">
            <w:pPr>
              <w:rPr>
                <w:rFonts w:cs="Tahoma"/>
                <w:color w:val="000000"/>
                <w:szCs w:val="18"/>
              </w:rPr>
            </w:pPr>
            <w:r w:rsidRPr="004B208C">
              <w:rPr>
                <w:rFonts w:cs="Tahoma"/>
                <w:color w:val="000000"/>
                <w:szCs w:val="18"/>
              </w:rPr>
              <w:t>Desktop Empresarial com Microsoft Desktop Optimization Pack</w:t>
            </w:r>
          </w:p>
        </w:tc>
      </w:tr>
      <w:tr w:rsidR="009F254F" w:rsidRPr="004B208C" w:rsidTr="001E3F7D">
        <w:tc>
          <w:tcPr>
            <w:tcW w:w="4230" w:type="dxa"/>
            <w:tcMar>
              <w:top w:w="0" w:type="dxa"/>
              <w:left w:w="108" w:type="dxa"/>
              <w:bottom w:w="0" w:type="dxa"/>
              <w:right w:w="108" w:type="dxa"/>
            </w:tcMar>
            <w:hideMark/>
          </w:tcPr>
          <w:p w:rsidR="009F254F" w:rsidRPr="004B208C" w:rsidRDefault="009F254F" w:rsidP="00CA4488">
            <w:pPr>
              <w:rPr>
                <w:rFonts w:eastAsia="Calibri" w:cs="Tahoma"/>
                <w:color w:val="000000"/>
                <w:szCs w:val="18"/>
              </w:rPr>
            </w:pPr>
            <w:r w:rsidRPr="004B208C">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4B208C" w:rsidRDefault="009F254F" w:rsidP="00CA4488">
            <w:pPr>
              <w:rPr>
                <w:rFonts w:eastAsia="Calibri" w:cs="Tahoma"/>
                <w:color w:val="000000"/>
                <w:szCs w:val="18"/>
              </w:rPr>
            </w:pPr>
            <w:r w:rsidRPr="004B208C">
              <w:rPr>
                <w:rFonts w:cs="Tahoma"/>
                <w:color w:val="000000"/>
                <w:szCs w:val="18"/>
              </w:rPr>
              <w:t xml:space="preserve">Project Professional </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color w:val="000000"/>
                <w:szCs w:val="18"/>
              </w:rPr>
            </w:pPr>
            <w:r w:rsidRPr="004B208C">
              <w:rPr>
                <w:rFonts w:cs="Tahoma"/>
                <w:color w:val="000000"/>
                <w:szCs w:val="18"/>
              </w:rPr>
              <w:t>SQL Server™ Standard Core</w:t>
            </w:r>
          </w:p>
        </w:tc>
        <w:tc>
          <w:tcPr>
            <w:tcW w:w="4230" w:type="dxa"/>
            <w:tcMar>
              <w:top w:w="0" w:type="dxa"/>
              <w:left w:w="108" w:type="dxa"/>
              <w:bottom w:w="0" w:type="dxa"/>
              <w:right w:w="108" w:type="dxa"/>
            </w:tcMar>
            <w:hideMark/>
          </w:tcPr>
          <w:p w:rsidR="003573CD" w:rsidRPr="004B208C" w:rsidRDefault="003573CD" w:rsidP="00554A35">
            <w:pPr>
              <w:rPr>
                <w:rFonts w:eastAsia="Calibri" w:cs="Tahoma"/>
                <w:color w:val="000000"/>
                <w:szCs w:val="18"/>
              </w:rPr>
            </w:pPr>
            <w:r w:rsidRPr="004B208C">
              <w:rPr>
                <w:rFonts w:cs="Tahoma"/>
                <w:color w:val="000000"/>
                <w:szCs w:val="18"/>
              </w:rPr>
              <w:t>SQL Server™ Enterprise Core</w:t>
            </w:r>
          </w:p>
        </w:tc>
      </w:tr>
      <w:tr w:rsidR="00270F92" w:rsidRPr="004B208C" w:rsidTr="001E3F7D">
        <w:tc>
          <w:tcPr>
            <w:tcW w:w="4230" w:type="dxa"/>
            <w:tcMar>
              <w:top w:w="0" w:type="dxa"/>
              <w:left w:w="108" w:type="dxa"/>
              <w:bottom w:w="0" w:type="dxa"/>
              <w:right w:w="108" w:type="dxa"/>
            </w:tcMar>
            <w:hideMark/>
          </w:tcPr>
          <w:p w:rsidR="00270F92" w:rsidRPr="004B208C" w:rsidRDefault="00270F92" w:rsidP="00172F11">
            <w:pPr>
              <w:rPr>
                <w:rFonts w:eastAsia="Calibri" w:cs="Tahoma"/>
                <w:szCs w:val="18"/>
              </w:rPr>
            </w:pPr>
            <w:r w:rsidRPr="004B208C">
              <w:rPr>
                <w:rFonts w:cs="Tahoma"/>
                <w:szCs w:val="18"/>
              </w:rPr>
              <w:t xml:space="preserve">SQL Server™ </w:t>
            </w:r>
            <w:r w:rsidRPr="004B208C">
              <w:rPr>
                <w:rFonts w:cs="Tahoma"/>
                <w:color w:val="000000"/>
                <w:szCs w:val="18"/>
              </w:rPr>
              <w:t>Standard</w:t>
            </w:r>
          </w:p>
        </w:tc>
        <w:tc>
          <w:tcPr>
            <w:tcW w:w="4230" w:type="dxa"/>
            <w:tcMar>
              <w:top w:w="0" w:type="dxa"/>
              <w:left w:w="108" w:type="dxa"/>
              <w:bottom w:w="0" w:type="dxa"/>
              <w:right w:w="108" w:type="dxa"/>
            </w:tcMar>
            <w:hideMark/>
          </w:tcPr>
          <w:p w:rsidR="00270F92" w:rsidRPr="004B208C" w:rsidRDefault="00270F92" w:rsidP="00BB516F">
            <w:pPr>
              <w:rPr>
                <w:rFonts w:eastAsia="Calibri" w:cs="Tahoma"/>
                <w:szCs w:val="18"/>
              </w:rPr>
            </w:pPr>
            <w:r w:rsidRPr="004B208C">
              <w:rPr>
                <w:rFonts w:cs="Tahoma"/>
                <w:szCs w:val="18"/>
              </w:rPr>
              <w:t>SQL Server™ Business Intelligence</w:t>
            </w:r>
          </w:p>
        </w:tc>
      </w:tr>
      <w:tr w:rsidR="003573CD" w:rsidRPr="004B208C" w:rsidTr="001E3F7D">
        <w:tc>
          <w:tcPr>
            <w:tcW w:w="4230" w:type="dxa"/>
            <w:tcMar>
              <w:top w:w="0" w:type="dxa"/>
              <w:left w:w="108" w:type="dxa"/>
              <w:bottom w:w="0" w:type="dxa"/>
              <w:right w:w="108" w:type="dxa"/>
            </w:tcMar>
            <w:hideMark/>
          </w:tcPr>
          <w:p w:rsidR="003573CD" w:rsidRPr="004B208C" w:rsidRDefault="00D04131" w:rsidP="00554A35">
            <w:pPr>
              <w:rPr>
                <w:rFonts w:eastAsia="Calibri" w:cs="Tahoma"/>
                <w:szCs w:val="18"/>
              </w:rPr>
            </w:pPr>
            <w:r w:rsidRPr="004B208C">
              <w:rPr>
                <w:rFonts w:cs="Tahoma"/>
                <w:szCs w:val="18"/>
              </w:rPr>
              <w:t>System Center 2012 Standard</w:t>
            </w:r>
          </w:p>
        </w:tc>
        <w:tc>
          <w:tcPr>
            <w:tcW w:w="4230" w:type="dxa"/>
            <w:tcMar>
              <w:top w:w="0" w:type="dxa"/>
              <w:left w:w="108" w:type="dxa"/>
              <w:bottom w:w="0" w:type="dxa"/>
              <w:right w:w="108" w:type="dxa"/>
            </w:tcMar>
            <w:hideMark/>
          </w:tcPr>
          <w:p w:rsidR="003573CD" w:rsidRPr="004B208C" w:rsidRDefault="00D04131" w:rsidP="00554A35">
            <w:pPr>
              <w:rPr>
                <w:rFonts w:eastAsia="Calibri" w:cs="Tahoma"/>
                <w:szCs w:val="18"/>
              </w:rPr>
            </w:pPr>
            <w:r w:rsidRPr="004B208C">
              <w:rPr>
                <w:rFonts w:cs="Tahoma"/>
                <w:szCs w:val="18"/>
              </w:rPr>
              <w:t>System Center 2012 Datacenter</w:t>
            </w:r>
          </w:p>
        </w:tc>
      </w:tr>
      <w:tr w:rsidR="009F254F" w:rsidRPr="004B208C" w:rsidTr="001E3F7D">
        <w:tc>
          <w:tcPr>
            <w:tcW w:w="4230" w:type="dxa"/>
            <w:tcMar>
              <w:top w:w="0" w:type="dxa"/>
              <w:left w:w="108" w:type="dxa"/>
              <w:bottom w:w="0" w:type="dxa"/>
              <w:right w:w="108" w:type="dxa"/>
            </w:tcMar>
            <w:hideMark/>
          </w:tcPr>
          <w:p w:rsidR="009F254F" w:rsidRPr="004B208C" w:rsidRDefault="009F254F" w:rsidP="00CA4488">
            <w:pPr>
              <w:rPr>
                <w:rFonts w:eastAsia="Calibri" w:cs="Tahoma"/>
                <w:color w:val="000000"/>
                <w:szCs w:val="18"/>
              </w:rPr>
            </w:pPr>
            <w:r w:rsidRPr="004B208C">
              <w:rPr>
                <w:rFonts w:cs="Tahoma"/>
                <w:color w:val="000000"/>
                <w:szCs w:val="18"/>
              </w:rPr>
              <w:t>Visio</w:t>
            </w:r>
            <w:r w:rsidR="00172F11" w:rsidRPr="00172F11">
              <w:rPr>
                <w:rFonts w:cs="Tahoma"/>
                <w:color w:val="000000"/>
                <w:szCs w:val="18"/>
                <w:vertAlign w:val="superscript"/>
              </w:rPr>
              <w:t>®</w:t>
            </w:r>
            <w:r w:rsidRPr="004B208C">
              <w:rPr>
                <w:rFonts w:cs="Tahoma"/>
                <w:color w:val="000000"/>
                <w:szCs w:val="18"/>
              </w:rPr>
              <w:t xml:space="preserve"> Standard</w:t>
            </w:r>
          </w:p>
        </w:tc>
        <w:tc>
          <w:tcPr>
            <w:tcW w:w="4230" w:type="dxa"/>
            <w:tcMar>
              <w:top w:w="0" w:type="dxa"/>
              <w:left w:w="108" w:type="dxa"/>
              <w:bottom w:w="0" w:type="dxa"/>
              <w:right w:w="108" w:type="dxa"/>
            </w:tcMar>
            <w:hideMark/>
          </w:tcPr>
          <w:p w:rsidR="009F254F" w:rsidRPr="004B208C" w:rsidRDefault="009F254F" w:rsidP="00CA4488">
            <w:pPr>
              <w:rPr>
                <w:rFonts w:eastAsia="Calibri" w:cs="Tahoma"/>
                <w:color w:val="000000"/>
                <w:szCs w:val="18"/>
              </w:rPr>
            </w:pPr>
            <w:r w:rsidRPr="004B208C">
              <w:rPr>
                <w:rFonts w:cs="Tahoma"/>
                <w:color w:val="000000"/>
                <w:szCs w:val="18"/>
              </w:rPr>
              <w:t>Visio</w:t>
            </w:r>
            <w:r w:rsidR="00172F11" w:rsidRPr="00172F11">
              <w:rPr>
                <w:rFonts w:cs="Tahoma"/>
                <w:color w:val="000000"/>
                <w:szCs w:val="18"/>
                <w:vertAlign w:val="superscript"/>
              </w:rPr>
              <w:t>®</w:t>
            </w:r>
            <w:r w:rsidRPr="004B208C">
              <w:rPr>
                <w:rFonts w:cs="Tahoma"/>
                <w:color w:val="000000"/>
                <w:szCs w:val="18"/>
              </w:rPr>
              <w:t xml:space="preserve"> Professional</w:t>
            </w:r>
          </w:p>
        </w:tc>
      </w:tr>
      <w:tr w:rsidR="009F254F" w:rsidRPr="004B208C" w:rsidTr="001E3F7D">
        <w:tc>
          <w:tcPr>
            <w:tcW w:w="4230" w:type="dxa"/>
            <w:tcMar>
              <w:top w:w="0" w:type="dxa"/>
              <w:left w:w="108" w:type="dxa"/>
              <w:bottom w:w="0" w:type="dxa"/>
              <w:right w:w="108" w:type="dxa"/>
            </w:tcMar>
            <w:hideMark/>
          </w:tcPr>
          <w:p w:rsidR="009F254F" w:rsidRPr="004B208C" w:rsidRDefault="009F254F" w:rsidP="00CA4488">
            <w:pPr>
              <w:rPr>
                <w:rFonts w:eastAsia="Calibri" w:cs="Tahoma"/>
                <w:color w:val="000000"/>
                <w:szCs w:val="18"/>
              </w:rPr>
            </w:pPr>
            <w:r w:rsidRPr="004B208C">
              <w:rPr>
                <w:rFonts w:cs="Tahoma"/>
                <w:color w:val="000000"/>
                <w:szCs w:val="18"/>
              </w:rPr>
              <w:t>Visual Studio Professional com MSDN</w:t>
            </w:r>
          </w:p>
        </w:tc>
        <w:tc>
          <w:tcPr>
            <w:tcW w:w="4230" w:type="dxa"/>
            <w:tcMar>
              <w:top w:w="0" w:type="dxa"/>
              <w:left w:w="108" w:type="dxa"/>
              <w:bottom w:w="0" w:type="dxa"/>
              <w:right w:w="108" w:type="dxa"/>
            </w:tcMar>
            <w:hideMark/>
          </w:tcPr>
          <w:p w:rsidR="009F254F" w:rsidRPr="004B208C" w:rsidRDefault="009F254F" w:rsidP="00CA4488">
            <w:pPr>
              <w:rPr>
                <w:rFonts w:eastAsia="Calibri" w:cs="Tahoma"/>
                <w:color w:val="000000"/>
                <w:szCs w:val="18"/>
              </w:rPr>
            </w:pPr>
            <w:r w:rsidRPr="004B208C">
              <w:rPr>
                <w:rFonts w:cs="Tahoma"/>
                <w:color w:val="000000"/>
                <w:szCs w:val="18"/>
              </w:rPr>
              <w:t>Visual Studio Premium com MSDN</w:t>
            </w:r>
          </w:p>
        </w:tc>
      </w:tr>
      <w:tr w:rsidR="009F254F" w:rsidRPr="004B208C" w:rsidTr="001E3F7D">
        <w:tc>
          <w:tcPr>
            <w:tcW w:w="4230" w:type="dxa"/>
            <w:tcMar>
              <w:top w:w="0" w:type="dxa"/>
              <w:left w:w="108" w:type="dxa"/>
              <w:bottom w:w="0" w:type="dxa"/>
              <w:right w:w="108" w:type="dxa"/>
            </w:tcMar>
            <w:hideMark/>
          </w:tcPr>
          <w:p w:rsidR="009F254F" w:rsidRPr="004B208C" w:rsidRDefault="009F254F" w:rsidP="00CA4488">
            <w:pPr>
              <w:rPr>
                <w:rFonts w:eastAsia="Calibri" w:cs="Tahoma"/>
                <w:szCs w:val="18"/>
              </w:rPr>
            </w:pPr>
            <w:r w:rsidRPr="004B208C">
              <w:rPr>
                <w:rFonts w:cs="Tahoma"/>
                <w:szCs w:val="18"/>
              </w:rPr>
              <w:t>Visual Studio Premium com MSDN</w:t>
            </w:r>
          </w:p>
        </w:tc>
        <w:tc>
          <w:tcPr>
            <w:tcW w:w="4230" w:type="dxa"/>
            <w:tcMar>
              <w:top w:w="0" w:type="dxa"/>
              <w:left w:w="108" w:type="dxa"/>
              <w:bottom w:w="0" w:type="dxa"/>
              <w:right w:w="108" w:type="dxa"/>
            </w:tcMar>
            <w:hideMark/>
          </w:tcPr>
          <w:p w:rsidR="009F254F" w:rsidRPr="004B208C" w:rsidRDefault="009F254F" w:rsidP="00CA4488">
            <w:pPr>
              <w:rPr>
                <w:rFonts w:eastAsia="Calibri" w:cs="Tahoma"/>
                <w:szCs w:val="18"/>
              </w:rPr>
            </w:pPr>
            <w:r w:rsidRPr="004B208C">
              <w:rPr>
                <w:rFonts w:cs="Tahoma"/>
                <w:szCs w:val="18"/>
              </w:rPr>
              <w:t>Visual Studio Ultimate com MSDN</w:t>
            </w:r>
          </w:p>
        </w:tc>
      </w:tr>
      <w:tr w:rsidR="009F254F" w:rsidRPr="004B208C" w:rsidTr="001E3F7D">
        <w:tc>
          <w:tcPr>
            <w:tcW w:w="4230" w:type="dxa"/>
            <w:tcMar>
              <w:top w:w="0" w:type="dxa"/>
              <w:left w:w="108" w:type="dxa"/>
              <w:bottom w:w="0" w:type="dxa"/>
              <w:right w:w="108" w:type="dxa"/>
            </w:tcMar>
            <w:hideMark/>
          </w:tcPr>
          <w:p w:rsidR="009F254F" w:rsidRPr="004B208C" w:rsidRDefault="009F254F" w:rsidP="00CA4488">
            <w:pPr>
              <w:rPr>
                <w:rFonts w:eastAsia="Calibri" w:cs="Tahoma"/>
                <w:szCs w:val="18"/>
              </w:rPr>
            </w:pPr>
            <w:r w:rsidRPr="004B208C">
              <w:rPr>
                <w:rFonts w:cs="Tahoma"/>
                <w:szCs w:val="18"/>
              </w:rPr>
              <w:t>Visual Studio Test Professional com MSDN</w:t>
            </w:r>
          </w:p>
        </w:tc>
        <w:tc>
          <w:tcPr>
            <w:tcW w:w="4230" w:type="dxa"/>
            <w:tcMar>
              <w:top w:w="0" w:type="dxa"/>
              <w:left w:w="108" w:type="dxa"/>
              <w:bottom w:w="0" w:type="dxa"/>
              <w:right w:w="108" w:type="dxa"/>
            </w:tcMar>
            <w:hideMark/>
          </w:tcPr>
          <w:p w:rsidR="009F254F" w:rsidRPr="004B208C" w:rsidRDefault="009F254F" w:rsidP="007E710C">
            <w:pPr>
              <w:rPr>
                <w:rFonts w:eastAsia="Calibri" w:cs="Tahoma"/>
                <w:szCs w:val="18"/>
              </w:rPr>
            </w:pPr>
            <w:r w:rsidRPr="004B208C">
              <w:rPr>
                <w:rFonts w:cs="Tahoma"/>
                <w:szCs w:val="18"/>
              </w:rPr>
              <w:t>Visual Studio Premium com MSDN</w:t>
            </w:r>
          </w:p>
        </w:tc>
      </w:tr>
      <w:tr w:rsidR="003573CD" w:rsidRPr="004B208C" w:rsidTr="001E3F7D">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Windows</w:t>
            </w:r>
            <w:r w:rsidR="00172F11" w:rsidRPr="00172F11">
              <w:rPr>
                <w:rFonts w:cs="Tahoma"/>
                <w:szCs w:val="18"/>
                <w:vertAlign w:val="superscript"/>
              </w:rPr>
              <w:t>®</w:t>
            </w:r>
            <w:r w:rsidRPr="004B208C">
              <w:rPr>
                <w:rFonts w:cs="Tahoma"/>
                <w:szCs w:val="18"/>
              </w:rPr>
              <w:t xml:space="preserve"> Server™ Standard</w:t>
            </w:r>
          </w:p>
        </w:tc>
        <w:tc>
          <w:tcPr>
            <w:tcW w:w="4230" w:type="dxa"/>
            <w:tcMar>
              <w:top w:w="0" w:type="dxa"/>
              <w:left w:w="108" w:type="dxa"/>
              <w:bottom w:w="0" w:type="dxa"/>
              <w:right w:w="108" w:type="dxa"/>
            </w:tcMar>
            <w:hideMark/>
          </w:tcPr>
          <w:p w:rsidR="003573CD" w:rsidRPr="004B208C" w:rsidRDefault="003573CD" w:rsidP="00554A35">
            <w:pPr>
              <w:rPr>
                <w:rFonts w:eastAsia="Calibri" w:cs="Tahoma"/>
                <w:szCs w:val="18"/>
              </w:rPr>
            </w:pPr>
            <w:r w:rsidRPr="004B208C">
              <w:rPr>
                <w:rFonts w:cs="Tahoma"/>
                <w:szCs w:val="18"/>
              </w:rPr>
              <w:t>Windows</w:t>
            </w:r>
            <w:r w:rsidR="00172F11" w:rsidRPr="00172F11">
              <w:rPr>
                <w:rFonts w:cs="Tahoma"/>
                <w:szCs w:val="18"/>
                <w:vertAlign w:val="superscript"/>
              </w:rPr>
              <w:t>®</w:t>
            </w:r>
            <w:r w:rsidRPr="004B208C">
              <w:rPr>
                <w:rFonts w:cs="Tahoma"/>
                <w:szCs w:val="18"/>
              </w:rPr>
              <w:t xml:space="preserve"> Server™ Datacenter</w:t>
            </w:r>
          </w:p>
        </w:tc>
      </w:tr>
    </w:tbl>
    <w:p w:rsidR="003573CD" w:rsidRPr="001032A9" w:rsidRDefault="003573CD" w:rsidP="00AF1D88">
      <w:pPr>
        <w:pStyle w:val="AppendixBodyText"/>
        <w:rPr>
          <w:rFonts w:ascii="Tahoma" w:hAnsi="Tahoma" w:cs="Tahoma"/>
          <w:sz w:val="16"/>
          <w:szCs w:val="16"/>
        </w:rPr>
      </w:pPr>
      <w:r w:rsidRPr="001032A9">
        <w:rPr>
          <w:rFonts w:ascii="Tahoma" w:hAnsi="Tahoma" w:cs="Tahoma"/>
          <w:b/>
          <w:i/>
          <w:sz w:val="16"/>
          <w:szCs w:val="16"/>
        </w:rPr>
        <w:t>*Observação:</w:t>
      </w:r>
      <w:r w:rsidRPr="001032A9">
        <w:rPr>
          <w:rFonts w:ascii="Tahoma" w:hAnsi="Tahoma" w:cs="Tahoma"/>
          <w:i/>
          <w:sz w:val="16"/>
          <w:szCs w:val="16"/>
        </w:rPr>
        <w:t xml:space="preserve"> a lista de produtos para os quais as Licenças Step-up estão disponíveis está sujeita a alteração.</w:t>
      </w:r>
    </w:p>
    <w:p w:rsidR="003573CD" w:rsidRPr="004B208C" w:rsidRDefault="003573CD">
      <w:pPr>
        <w:rPr>
          <w:rFonts w:cs="Tahoma"/>
        </w:rPr>
      </w:pPr>
    </w:p>
    <w:p w:rsidR="00023FE7" w:rsidRPr="004B208C" w:rsidRDefault="00023FE7">
      <w:pPr>
        <w:pStyle w:val="AppendixBodyText"/>
        <w:ind w:left="1710" w:hanging="1260"/>
        <w:rPr>
          <w:rFonts w:ascii="Tahoma" w:hAnsi="Tahoma" w:cs="Tahoma"/>
        </w:rPr>
      </w:pPr>
      <w:r w:rsidRPr="004B208C">
        <w:rPr>
          <w:rFonts w:ascii="Tahoma" w:hAnsi="Tahoma" w:cs="Tahoma"/>
          <w:b/>
          <w:i/>
        </w:rPr>
        <w:t xml:space="preserve"> </w:t>
      </w:r>
    </w:p>
    <w:p w:rsidR="00023FE7" w:rsidRPr="004B208C" w:rsidRDefault="00CA395A" w:rsidP="00765C3B">
      <w:pPr>
        <w:pStyle w:val="Heading1"/>
        <w:spacing w:before="0"/>
        <w:rPr>
          <w:rFonts w:cs="Tahoma"/>
        </w:rPr>
      </w:pPr>
      <w:r w:rsidRPr="004B208C">
        <w:rPr>
          <w:rFonts w:cs="Tahoma"/>
        </w:rPr>
        <w:br w:type="page"/>
      </w:r>
      <w:bookmarkStart w:id="906" w:name="_Toc317591256"/>
      <w:bookmarkStart w:id="907" w:name="_Toc336338247"/>
      <w:bookmarkStart w:id="908" w:name="_Toc370981362"/>
      <w:r w:rsidRPr="004B208C">
        <w:rPr>
          <w:rFonts w:cs="Tahoma"/>
        </w:rPr>
        <w:lastRenderedPageBreak/>
        <w:t xml:space="preserve">SEÇÃO 8 </w:t>
      </w:r>
      <w:r w:rsidR="003B262F" w:rsidRPr="004B208C">
        <w:rPr>
          <w:rFonts w:cs="Tahoma"/>
        </w:rPr>
        <w:t>–</w:t>
      </w:r>
      <w:r w:rsidRPr="004B208C">
        <w:rPr>
          <w:rFonts w:cs="Tahoma"/>
        </w:rPr>
        <w:t xml:space="preserve"> ServiÇOS</w:t>
      </w:r>
      <w:bookmarkEnd w:id="906"/>
      <w:bookmarkEnd w:id="907"/>
      <w:bookmarkEnd w:id="908"/>
    </w:p>
    <w:p w:rsidR="00023FE7" w:rsidRPr="004B208C" w:rsidRDefault="00023FE7">
      <w:pPr>
        <w:rPr>
          <w:rFonts w:cs="Tahoma"/>
        </w:rPr>
      </w:pPr>
    </w:p>
    <w:p w:rsidR="00DD7F8E" w:rsidRPr="004B208C" w:rsidRDefault="00DD7F8E" w:rsidP="00607FE8">
      <w:pPr>
        <w:jc w:val="both"/>
        <w:rPr>
          <w:rFonts w:cs="Tahoma"/>
        </w:rPr>
      </w:pPr>
      <w:r w:rsidRPr="004B208C">
        <w:rPr>
          <w:rFonts w:eastAsia="Times New Roman" w:cs="Tahoma"/>
          <w:szCs w:val="20"/>
        </w:rPr>
        <w:t>O direito de uso do cliente sobre quaisquer Serviços comprados desta Lista de Produtos é regido (1) pelo contrato de</w:t>
      </w:r>
      <w:r w:rsidR="00765C3B">
        <w:rPr>
          <w:rFonts w:eastAsia="Times New Roman" w:cs="Tahoma"/>
          <w:szCs w:val="20"/>
        </w:rPr>
        <w:t> </w:t>
      </w:r>
      <w:r w:rsidRPr="004B208C">
        <w:rPr>
          <w:rFonts w:eastAsia="Times New Roman" w:cs="Tahoma"/>
          <w:szCs w:val="20"/>
        </w:rPr>
        <w:t>Licenciamento por Volume do cliente e (2) por qualquer outro contrato de Serviços Microsoft de nível master que o</w:t>
      </w:r>
      <w:r w:rsidR="00765C3B">
        <w:rPr>
          <w:rFonts w:eastAsia="Times New Roman" w:cs="Tahoma"/>
          <w:szCs w:val="20"/>
        </w:rPr>
        <w:t> </w:t>
      </w:r>
      <w:r w:rsidRPr="004B208C">
        <w:rPr>
          <w:rFonts w:eastAsia="Times New Roman" w:cs="Tahoma"/>
          <w:szCs w:val="20"/>
        </w:rPr>
        <w:t>cliente possa ter em vigor no momento da compra. Em caso de conflito, prevalecerá o contrato de Serviços mais recente.</w:t>
      </w:r>
      <w:r w:rsidR="00172F11">
        <w:rPr>
          <w:rFonts w:eastAsia="Times New Roman" w:cs="Tahoma"/>
          <w:szCs w:val="20"/>
        </w:rPr>
        <w:t xml:space="preserve"> </w:t>
      </w:r>
      <w:r w:rsidRPr="004B208C">
        <w:rPr>
          <w:rFonts w:cs="Tahoma"/>
          <w:color w:val="000000"/>
          <w:szCs w:val="18"/>
        </w:rPr>
        <w:t>Se o contrato de licença por volume ou os termos dos Serviços de nível master do cliente não contiverem a</w:t>
      </w:r>
      <w:r w:rsidR="00765C3B">
        <w:rPr>
          <w:rFonts w:cs="Tahoma"/>
          <w:color w:val="000000"/>
          <w:szCs w:val="18"/>
        </w:rPr>
        <w:t> </w:t>
      </w:r>
      <w:r w:rsidRPr="004B208C">
        <w:rPr>
          <w:rFonts w:cs="Tahoma"/>
          <w:color w:val="000000"/>
          <w:szCs w:val="18"/>
        </w:rPr>
        <w:t>Propriedade dos Serviços e a linguagem da Licença, o Uso, a propriedade e os direitos de licença estabelecidos nos Termos e Condições de Serviços Adicionais a seguir serão aplicáveis.</w:t>
      </w:r>
      <w:r w:rsidR="00172F11">
        <w:rPr>
          <w:rFonts w:cs="Tahoma"/>
          <w:color w:val="000000"/>
          <w:szCs w:val="18"/>
        </w:rPr>
        <w:t xml:space="preserve"> </w:t>
      </w:r>
      <w:r w:rsidRPr="004B208C">
        <w:rPr>
          <w:rFonts w:eastAsia="Times New Roman" w:cs="Tahoma"/>
          <w:szCs w:val="20"/>
        </w:rPr>
        <w:t>Se o cliente não tiver um contrato de Serviços de nível master com a Microsoft, todos os Termos e Condições de Serviços Adicionais a seguir serão aplicados.</w:t>
      </w:r>
    </w:p>
    <w:p w:rsidR="00DD7F8E" w:rsidRPr="004B208C" w:rsidRDefault="00DD7F8E" w:rsidP="00607FE8">
      <w:pPr>
        <w:jc w:val="both"/>
        <w:rPr>
          <w:rFonts w:cs="Tahoma"/>
        </w:rPr>
      </w:pPr>
    </w:p>
    <w:p w:rsidR="00DD7F8E" w:rsidRPr="004B208C" w:rsidRDefault="00DD7F8E" w:rsidP="00607FE8">
      <w:pPr>
        <w:spacing w:after="75"/>
        <w:rPr>
          <w:rFonts w:cs="Tahoma"/>
        </w:rPr>
      </w:pPr>
      <w:r w:rsidRPr="004B208C">
        <w:rPr>
          <w:rFonts w:eastAsia="Times New Roman" w:cs="Tahoma"/>
          <w:szCs w:val="20"/>
        </w:rPr>
        <w:t>Uma descrição detalhada de todos os Serviços dos quais os clientes podem adquirir o direito é fornecida na seção a</w:t>
      </w:r>
      <w:r w:rsidR="00765C3B">
        <w:rPr>
          <w:rFonts w:eastAsia="Times New Roman" w:cs="Tahoma"/>
          <w:szCs w:val="20"/>
        </w:rPr>
        <w:t> </w:t>
      </w:r>
      <w:r w:rsidRPr="004B208C">
        <w:rPr>
          <w:rFonts w:eastAsia="Times New Roman" w:cs="Tahoma"/>
          <w:szCs w:val="20"/>
        </w:rPr>
        <w:t xml:space="preserve">seguir. </w:t>
      </w:r>
    </w:p>
    <w:p w:rsidR="00DD7F8E" w:rsidRPr="004B208C" w:rsidRDefault="00DD7F8E" w:rsidP="00607FE8">
      <w:pPr>
        <w:spacing w:after="75"/>
        <w:rPr>
          <w:rFonts w:cs="Tahoma"/>
        </w:rPr>
      </w:pPr>
      <w:r w:rsidRPr="004B208C">
        <w:rPr>
          <w:rFonts w:eastAsia="Times New Roman" w:cs="Tahoma"/>
          <w:szCs w:val="20"/>
        </w:rPr>
        <w:t>A disponibilidade das ofertas a seguir varia por região e Programa de Licenciamento por Volume. Algumas ofertas poderão não estar disponíveis para clientes do Governo com determinadas exceções em uma base experimental. Os</w:t>
      </w:r>
      <w:r w:rsidR="00765C3B">
        <w:rPr>
          <w:rFonts w:eastAsia="Times New Roman" w:cs="Tahoma"/>
          <w:szCs w:val="20"/>
        </w:rPr>
        <w:t> </w:t>
      </w:r>
      <w:r w:rsidRPr="004B208C">
        <w:rPr>
          <w:rFonts w:eastAsia="Times New Roman" w:cs="Tahoma"/>
          <w:szCs w:val="20"/>
        </w:rPr>
        <w:t>clientes devem entrar em contato com o revendedor ou o Gerente de Conta Microsoft para obter informações sobre a</w:t>
      </w:r>
      <w:r w:rsidR="00765C3B">
        <w:rPr>
          <w:rFonts w:eastAsia="Times New Roman" w:cs="Tahoma"/>
          <w:szCs w:val="20"/>
        </w:rPr>
        <w:t> </w:t>
      </w:r>
      <w:r w:rsidRPr="004B208C">
        <w:rPr>
          <w:rFonts w:eastAsia="Times New Roman" w:cs="Tahoma"/>
          <w:szCs w:val="20"/>
        </w:rPr>
        <w:t>disponibilidade regional de uma oferta específica.</w:t>
      </w:r>
    </w:p>
    <w:p w:rsidR="00F42FB8" w:rsidRPr="004B208C" w:rsidRDefault="00F42FB8" w:rsidP="00DD7F8E">
      <w:pPr>
        <w:rPr>
          <w:rFonts w:cs="Tahoma"/>
        </w:rPr>
      </w:pPr>
    </w:p>
    <w:p w:rsidR="00DD7F8E" w:rsidRPr="004B208C" w:rsidRDefault="00DD7F8E" w:rsidP="00DD7F8E">
      <w:pPr>
        <w:rPr>
          <w:rFonts w:cs="Tahoma"/>
        </w:rPr>
      </w:pPr>
      <w:r w:rsidRPr="004B208C">
        <w:rPr>
          <w:rFonts w:cs="Tahoma"/>
          <w:b/>
          <w:sz w:val="24"/>
          <w:szCs w:val="24"/>
        </w:rPr>
        <w:t>Ofertas de Suporte do Microsoft Premier</w:t>
      </w:r>
    </w:p>
    <w:p w:rsidR="00DB2D1E" w:rsidRPr="004B208C"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4B208C" w:rsidTr="002A6416">
        <w:tc>
          <w:tcPr>
            <w:tcW w:w="3168" w:type="dxa"/>
            <w:shd w:val="clear" w:color="auto" w:fill="FABF8F"/>
            <w:vAlign w:val="center"/>
          </w:tcPr>
          <w:p w:rsidR="00DB2D1E" w:rsidRPr="004B208C" w:rsidRDefault="00DB2D1E" w:rsidP="00DE73D4">
            <w:pPr>
              <w:jc w:val="center"/>
              <w:rPr>
                <w:rFonts w:cs="Tahoma"/>
                <w:color w:val="000000"/>
                <w:szCs w:val="18"/>
              </w:rPr>
            </w:pPr>
            <w:r w:rsidRPr="004B208C">
              <w:rPr>
                <w:rFonts w:cs="Tahoma"/>
                <w:b/>
                <w:bCs/>
                <w:color w:val="000000"/>
                <w:sz w:val="20"/>
                <w:szCs w:val="18"/>
              </w:rPr>
              <w:t xml:space="preserve">Área </w:t>
            </w:r>
            <w:r w:rsidRPr="004B208C">
              <w:rPr>
                <w:rFonts w:cs="Tahoma"/>
                <w:b/>
                <w:bCs/>
                <w:color w:val="000000"/>
                <w:sz w:val="20"/>
                <w:szCs w:val="18"/>
                <w:vertAlign w:val="superscript"/>
              </w:rPr>
              <w:t>1</w:t>
            </w:r>
          </w:p>
        </w:tc>
        <w:tc>
          <w:tcPr>
            <w:tcW w:w="1580" w:type="dxa"/>
            <w:shd w:val="clear" w:color="auto" w:fill="FABF8F"/>
            <w:vAlign w:val="center"/>
          </w:tcPr>
          <w:p w:rsidR="00DB2D1E" w:rsidRPr="004B208C" w:rsidRDefault="00DB2D1E" w:rsidP="00DE73D4">
            <w:pPr>
              <w:jc w:val="center"/>
              <w:rPr>
                <w:rFonts w:cs="Tahoma"/>
                <w:color w:val="000000"/>
                <w:sz w:val="20"/>
                <w:szCs w:val="20"/>
              </w:rPr>
            </w:pPr>
            <w:r w:rsidRPr="004B208C">
              <w:rPr>
                <w:rFonts w:cs="Tahoma"/>
                <w:b/>
                <w:bCs/>
                <w:color w:val="000000"/>
                <w:sz w:val="20"/>
                <w:szCs w:val="20"/>
              </w:rPr>
              <w:t>Premier Core</w:t>
            </w:r>
          </w:p>
        </w:tc>
        <w:tc>
          <w:tcPr>
            <w:tcW w:w="1444" w:type="dxa"/>
            <w:shd w:val="clear" w:color="auto" w:fill="FABF8F"/>
          </w:tcPr>
          <w:p w:rsidR="00DB2D1E" w:rsidRPr="004B208C" w:rsidRDefault="00DB2D1E" w:rsidP="00DE73D4">
            <w:pPr>
              <w:jc w:val="center"/>
              <w:rPr>
                <w:rFonts w:cs="Tahoma"/>
                <w:b/>
                <w:bCs/>
                <w:color w:val="000000"/>
                <w:sz w:val="20"/>
                <w:szCs w:val="18"/>
              </w:rPr>
            </w:pPr>
            <w:r w:rsidRPr="004B208C">
              <w:rPr>
                <w:rFonts w:cs="Tahoma"/>
                <w:b/>
                <w:bCs/>
                <w:color w:val="000000"/>
                <w:sz w:val="20"/>
                <w:szCs w:val="18"/>
              </w:rPr>
              <w:t>Premier Foundation</w:t>
            </w:r>
          </w:p>
        </w:tc>
        <w:tc>
          <w:tcPr>
            <w:tcW w:w="1687" w:type="dxa"/>
            <w:shd w:val="clear" w:color="auto" w:fill="FABF8F"/>
            <w:vAlign w:val="center"/>
          </w:tcPr>
          <w:p w:rsidR="00DB2D1E" w:rsidRPr="004B208C" w:rsidRDefault="00DB2D1E" w:rsidP="00DE73D4">
            <w:pPr>
              <w:jc w:val="center"/>
              <w:rPr>
                <w:rFonts w:cs="Tahoma"/>
                <w:color w:val="000000"/>
                <w:szCs w:val="18"/>
              </w:rPr>
            </w:pPr>
            <w:r w:rsidRPr="004B208C">
              <w:rPr>
                <w:rFonts w:cs="Tahoma"/>
                <w:b/>
                <w:bCs/>
                <w:color w:val="000000"/>
                <w:sz w:val="20"/>
                <w:szCs w:val="18"/>
              </w:rPr>
              <w:t>Premier Standard</w:t>
            </w:r>
          </w:p>
        </w:tc>
        <w:tc>
          <w:tcPr>
            <w:tcW w:w="1589" w:type="dxa"/>
            <w:shd w:val="clear" w:color="auto" w:fill="FABF8F"/>
            <w:vAlign w:val="center"/>
          </w:tcPr>
          <w:p w:rsidR="00DB2D1E" w:rsidRPr="004B208C" w:rsidRDefault="00DB2D1E" w:rsidP="00DE73D4">
            <w:pPr>
              <w:jc w:val="center"/>
              <w:rPr>
                <w:rFonts w:cs="Tahoma"/>
                <w:color w:val="000000"/>
                <w:szCs w:val="18"/>
              </w:rPr>
            </w:pPr>
            <w:r w:rsidRPr="004B208C">
              <w:rPr>
                <w:rFonts w:cs="Tahoma"/>
                <w:b/>
                <w:bCs/>
                <w:color w:val="000000"/>
                <w:sz w:val="20"/>
                <w:szCs w:val="18"/>
              </w:rPr>
              <w:t>Premier Plus</w:t>
            </w:r>
          </w:p>
        </w:tc>
      </w:tr>
      <w:tr w:rsidR="00DB2D1E" w:rsidRPr="004B208C" w:rsidTr="002A6416">
        <w:tc>
          <w:tcPr>
            <w:tcW w:w="3168" w:type="dxa"/>
            <w:vAlign w:val="center"/>
          </w:tcPr>
          <w:p w:rsidR="00DB2D1E" w:rsidRPr="004B208C" w:rsidRDefault="00DB2D1E" w:rsidP="00DE73D4">
            <w:pPr>
              <w:rPr>
                <w:rFonts w:cs="Tahoma"/>
                <w:color w:val="000000"/>
                <w:szCs w:val="18"/>
              </w:rPr>
            </w:pPr>
            <w:r w:rsidRPr="004B208C">
              <w:rPr>
                <w:rFonts w:cs="Tahoma"/>
                <w:color w:val="000000"/>
                <w:szCs w:val="18"/>
              </w:rPr>
              <w:t xml:space="preserve">Gerenciamento de Conta de Suporte </w:t>
            </w:r>
          </w:p>
        </w:tc>
        <w:tc>
          <w:tcPr>
            <w:tcW w:w="1580"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444"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r>
      <w:tr w:rsidR="00DB2D1E" w:rsidRPr="004B208C" w:rsidTr="002A6416">
        <w:tc>
          <w:tcPr>
            <w:tcW w:w="3168" w:type="dxa"/>
            <w:vAlign w:val="center"/>
          </w:tcPr>
          <w:p w:rsidR="00DB2D1E" w:rsidRPr="004B208C" w:rsidRDefault="00DB2D1E" w:rsidP="00DE73D4">
            <w:pPr>
              <w:rPr>
                <w:rFonts w:cs="Tahoma"/>
                <w:color w:val="000000"/>
                <w:szCs w:val="18"/>
              </w:rPr>
            </w:pPr>
            <w:r w:rsidRPr="004B208C">
              <w:rPr>
                <w:rFonts w:cs="Tahoma"/>
                <w:color w:val="000000"/>
                <w:szCs w:val="18"/>
              </w:rPr>
              <w:t>Criação de Perfil e Relatório de Conta</w:t>
            </w:r>
          </w:p>
        </w:tc>
        <w:tc>
          <w:tcPr>
            <w:tcW w:w="1580" w:type="dxa"/>
            <w:vAlign w:val="center"/>
          </w:tcPr>
          <w:p w:rsidR="00DB2D1E" w:rsidRPr="004B208C" w:rsidRDefault="00DB2D1E" w:rsidP="00DE73D4">
            <w:pPr>
              <w:jc w:val="center"/>
              <w:rPr>
                <w:rFonts w:cs="Tahoma"/>
                <w:color w:val="000000"/>
                <w:szCs w:val="18"/>
              </w:rPr>
            </w:pPr>
            <w:r w:rsidRPr="004B208C">
              <w:rPr>
                <w:rFonts w:cs="Tahoma"/>
                <w:color w:val="000000"/>
                <w:szCs w:val="18"/>
              </w:rPr>
              <w:t>Mensal</w:t>
            </w:r>
          </w:p>
        </w:tc>
        <w:tc>
          <w:tcPr>
            <w:tcW w:w="1444" w:type="dxa"/>
            <w:vAlign w:val="center"/>
          </w:tcPr>
          <w:p w:rsidR="00DB2D1E" w:rsidRPr="004B208C" w:rsidRDefault="00DB2D1E" w:rsidP="00DE73D4">
            <w:pPr>
              <w:jc w:val="center"/>
              <w:rPr>
                <w:rFonts w:cs="Tahoma"/>
                <w:color w:val="000000"/>
                <w:szCs w:val="18"/>
              </w:rPr>
            </w:pPr>
            <w:r w:rsidRPr="004B208C">
              <w:rPr>
                <w:rFonts w:cs="Tahoma"/>
                <w:color w:val="000000"/>
                <w:szCs w:val="18"/>
              </w:rPr>
              <w:t>Mensal</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Mensal</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Mensal</w:t>
            </w:r>
          </w:p>
        </w:tc>
      </w:tr>
      <w:tr w:rsidR="00DB2D1E" w:rsidRPr="004B208C" w:rsidTr="002A6416">
        <w:tc>
          <w:tcPr>
            <w:tcW w:w="3168" w:type="dxa"/>
            <w:vAlign w:val="center"/>
          </w:tcPr>
          <w:p w:rsidR="00DB2D1E" w:rsidRPr="004B208C" w:rsidRDefault="00DB2D1E" w:rsidP="00765C3B">
            <w:pPr>
              <w:rPr>
                <w:rFonts w:cs="Tahoma"/>
                <w:color w:val="000000"/>
                <w:szCs w:val="18"/>
              </w:rPr>
            </w:pPr>
            <w:r w:rsidRPr="004B208C">
              <w:rPr>
                <w:rFonts w:cs="Tahoma"/>
                <w:color w:val="000000"/>
                <w:szCs w:val="18"/>
              </w:rPr>
              <w:t>Assistência de Suporte (horas</w:t>
            </w:r>
            <w:r w:rsidR="00765C3B">
              <w:rPr>
                <w:rFonts w:cs="Tahoma"/>
                <w:color w:val="000000"/>
                <w:szCs w:val="18"/>
              </w:rPr>
              <w:t> </w:t>
            </w:r>
            <w:r w:rsidRPr="004B208C">
              <w:rPr>
                <w:rFonts w:cs="Tahoma"/>
                <w:color w:val="000000"/>
                <w:szCs w:val="18"/>
              </w:rPr>
              <w:t>alocadas anualmente)</w:t>
            </w:r>
          </w:p>
        </w:tc>
        <w:tc>
          <w:tcPr>
            <w:tcW w:w="1580" w:type="dxa"/>
            <w:vAlign w:val="center"/>
          </w:tcPr>
          <w:p w:rsidR="00DB2D1E" w:rsidRPr="004B208C" w:rsidRDefault="00DB2D1E" w:rsidP="00DE73D4">
            <w:pPr>
              <w:jc w:val="center"/>
              <w:rPr>
                <w:rFonts w:cs="Tahoma"/>
                <w:color w:val="000000"/>
                <w:szCs w:val="18"/>
              </w:rPr>
            </w:pPr>
            <w:r w:rsidRPr="004B208C">
              <w:rPr>
                <w:rFonts w:cs="Tahoma"/>
                <w:color w:val="000000"/>
                <w:szCs w:val="18"/>
              </w:rPr>
              <w:t>Até 10 horas</w:t>
            </w:r>
          </w:p>
        </w:tc>
        <w:tc>
          <w:tcPr>
            <w:tcW w:w="1444" w:type="dxa"/>
          </w:tcPr>
          <w:p w:rsidR="00DB2D1E" w:rsidRPr="004B208C" w:rsidRDefault="00DB2D1E" w:rsidP="00DE73D4">
            <w:pPr>
              <w:jc w:val="center"/>
              <w:rPr>
                <w:rFonts w:cs="Tahoma"/>
                <w:color w:val="000000"/>
                <w:szCs w:val="18"/>
              </w:rPr>
            </w:pPr>
            <w:r w:rsidRPr="004B208C">
              <w:rPr>
                <w:rFonts w:cs="Tahoma"/>
                <w:color w:val="000000"/>
                <w:szCs w:val="18"/>
              </w:rPr>
              <w:t>Até 10 horas</w:t>
            </w:r>
            <w:r w:rsidRPr="004B208C">
              <w:rPr>
                <w:rFonts w:cs="Tahoma"/>
                <w:color w:val="000000"/>
                <w:szCs w:val="18"/>
              </w:rPr>
              <w:br/>
              <w:t>+ 1 Verificação de Integridade</w:t>
            </w:r>
            <w:r w:rsidRPr="004B208C">
              <w:rPr>
                <w:rFonts w:cs="Tahoma"/>
                <w:color w:val="000000"/>
                <w:szCs w:val="18"/>
              </w:rPr>
              <w:br/>
              <w:t>+ 1 Workshop</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Até 120 horas</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Até 160 Horas</w:t>
            </w:r>
          </w:p>
        </w:tc>
      </w:tr>
      <w:tr w:rsidR="00DB2D1E" w:rsidRPr="004B208C" w:rsidTr="002A6416">
        <w:tc>
          <w:tcPr>
            <w:tcW w:w="3168" w:type="dxa"/>
            <w:vAlign w:val="center"/>
          </w:tcPr>
          <w:p w:rsidR="00DB2D1E" w:rsidRPr="004B208C" w:rsidRDefault="00DB2D1E" w:rsidP="00DE73D4">
            <w:pPr>
              <w:rPr>
                <w:rFonts w:cs="Tahoma"/>
                <w:color w:val="000000"/>
                <w:szCs w:val="18"/>
              </w:rPr>
            </w:pPr>
            <w:r w:rsidRPr="004B208C">
              <w:rPr>
                <w:rFonts w:cs="Tahoma"/>
                <w:color w:val="000000"/>
                <w:szCs w:val="18"/>
              </w:rPr>
              <w:t>Suporte para Resolução de Problemas - PRS (alocado anualmente)</w:t>
            </w:r>
          </w:p>
        </w:tc>
        <w:tc>
          <w:tcPr>
            <w:tcW w:w="1580" w:type="dxa"/>
            <w:vAlign w:val="center"/>
          </w:tcPr>
          <w:p w:rsidR="00DB2D1E" w:rsidRPr="004B208C" w:rsidRDefault="00DB2D1E" w:rsidP="00DE73D4">
            <w:pPr>
              <w:jc w:val="center"/>
              <w:rPr>
                <w:rFonts w:cs="Tahoma"/>
                <w:color w:val="000000"/>
                <w:szCs w:val="18"/>
              </w:rPr>
            </w:pPr>
            <w:r w:rsidRPr="004B208C">
              <w:rPr>
                <w:rFonts w:cs="Tahoma"/>
                <w:color w:val="000000"/>
                <w:szCs w:val="18"/>
              </w:rPr>
              <w:t>Até 40 horas</w:t>
            </w:r>
          </w:p>
        </w:tc>
        <w:tc>
          <w:tcPr>
            <w:tcW w:w="1444" w:type="dxa"/>
          </w:tcPr>
          <w:p w:rsidR="00DB2D1E" w:rsidRPr="004B208C" w:rsidRDefault="00DB2D1E" w:rsidP="00DE73D4">
            <w:pPr>
              <w:spacing w:before="120"/>
              <w:jc w:val="center"/>
              <w:rPr>
                <w:rFonts w:cs="Tahoma"/>
                <w:color w:val="000000"/>
                <w:szCs w:val="18"/>
              </w:rPr>
            </w:pPr>
            <w:r w:rsidRPr="004B208C">
              <w:rPr>
                <w:rFonts w:cs="Tahoma"/>
                <w:color w:val="000000"/>
                <w:szCs w:val="18"/>
              </w:rPr>
              <w:t>Até 30 horas</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Até 80 horas</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Até 140 Horas</w:t>
            </w:r>
          </w:p>
        </w:tc>
      </w:tr>
      <w:tr w:rsidR="00DB2D1E" w:rsidRPr="004B208C" w:rsidTr="002A6416">
        <w:tc>
          <w:tcPr>
            <w:tcW w:w="3168" w:type="dxa"/>
            <w:vAlign w:val="center"/>
          </w:tcPr>
          <w:p w:rsidR="00DB2D1E" w:rsidRPr="004B208C" w:rsidRDefault="00DB2D1E" w:rsidP="001032A9">
            <w:pPr>
              <w:rPr>
                <w:rFonts w:cs="Tahoma"/>
                <w:color w:val="000000"/>
                <w:szCs w:val="18"/>
              </w:rPr>
            </w:pPr>
            <w:r w:rsidRPr="004B208C">
              <w:rPr>
                <w:rFonts w:cs="Tahoma"/>
                <w:color w:val="000000"/>
                <w:szCs w:val="18"/>
              </w:rPr>
              <w:t>Gerenciamento de Escalonamento de</w:t>
            </w:r>
            <w:r w:rsidR="001032A9">
              <w:rPr>
                <w:rFonts w:cs="Tahoma"/>
                <w:color w:val="000000"/>
                <w:szCs w:val="18"/>
              </w:rPr>
              <w:t> </w:t>
            </w:r>
            <w:r w:rsidRPr="004B208C">
              <w:rPr>
                <w:rFonts w:cs="Tahoma"/>
                <w:color w:val="000000"/>
                <w:szCs w:val="18"/>
              </w:rPr>
              <w:t>Situação Crítica 24x7 (Severidade Nível 1)</w:t>
            </w:r>
          </w:p>
        </w:tc>
        <w:tc>
          <w:tcPr>
            <w:tcW w:w="1580"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444"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r>
      <w:tr w:rsidR="00DB2D1E" w:rsidRPr="004B208C" w:rsidTr="002A6416">
        <w:tc>
          <w:tcPr>
            <w:tcW w:w="3168" w:type="dxa"/>
            <w:vAlign w:val="center"/>
          </w:tcPr>
          <w:p w:rsidR="00DB2D1E" w:rsidRPr="004B208C" w:rsidRDefault="00DB2D1E" w:rsidP="00DE73D4">
            <w:pPr>
              <w:rPr>
                <w:rFonts w:cs="Tahoma"/>
                <w:color w:val="000000"/>
                <w:szCs w:val="18"/>
              </w:rPr>
            </w:pPr>
            <w:r w:rsidRPr="004B208C">
              <w:rPr>
                <w:rFonts w:cs="Tahoma"/>
                <w:color w:val="000000"/>
                <w:szCs w:val="18"/>
              </w:rPr>
              <w:t>Suporte Rápido no Local</w:t>
            </w:r>
          </w:p>
        </w:tc>
        <w:tc>
          <w:tcPr>
            <w:tcW w:w="1580"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444"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r>
      <w:tr w:rsidR="00DB2D1E" w:rsidRPr="004B208C" w:rsidTr="002A6416">
        <w:tc>
          <w:tcPr>
            <w:tcW w:w="3168" w:type="dxa"/>
            <w:vAlign w:val="center"/>
          </w:tcPr>
          <w:p w:rsidR="00DB2D1E" w:rsidRPr="004B208C" w:rsidRDefault="00DB2D1E" w:rsidP="00DE73D4">
            <w:pPr>
              <w:rPr>
                <w:rFonts w:cs="Tahoma"/>
                <w:color w:val="000000"/>
                <w:szCs w:val="18"/>
              </w:rPr>
            </w:pPr>
            <w:r w:rsidRPr="004B208C">
              <w:rPr>
                <w:rFonts w:cs="Tahoma"/>
                <w:color w:val="000000"/>
                <w:szCs w:val="18"/>
              </w:rPr>
              <w:t>Serviços de Informações Pró-ativos</w:t>
            </w:r>
          </w:p>
        </w:tc>
        <w:tc>
          <w:tcPr>
            <w:tcW w:w="1580"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444"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r>
      <w:tr w:rsidR="00DB2D1E" w:rsidRPr="004B208C" w:rsidTr="002A6416">
        <w:tc>
          <w:tcPr>
            <w:tcW w:w="3168" w:type="dxa"/>
            <w:vAlign w:val="center"/>
          </w:tcPr>
          <w:p w:rsidR="00DB2D1E" w:rsidRPr="004B208C" w:rsidRDefault="00DB2D1E" w:rsidP="00DE73D4">
            <w:pPr>
              <w:rPr>
                <w:rFonts w:cs="Tahoma"/>
                <w:color w:val="000000"/>
                <w:szCs w:val="18"/>
              </w:rPr>
            </w:pPr>
            <w:r w:rsidRPr="004B208C">
              <w:rPr>
                <w:rFonts w:cs="Tahoma"/>
                <w:color w:val="000000"/>
                <w:szCs w:val="18"/>
              </w:rPr>
              <w:t>Microsoft Premier Online</w:t>
            </w:r>
          </w:p>
        </w:tc>
        <w:tc>
          <w:tcPr>
            <w:tcW w:w="1580"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444" w:type="dxa"/>
            <w:vAlign w:val="center"/>
          </w:tcPr>
          <w:p w:rsidR="00DB2D1E" w:rsidRPr="004B208C" w:rsidRDefault="00DB2D1E" w:rsidP="00DE73D4">
            <w:pPr>
              <w:jc w:val="center"/>
              <w:rPr>
                <w:rFonts w:cs="Tahoma"/>
                <w:color w:val="000000"/>
                <w:szCs w:val="18"/>
              </w:rPr>
            </w:pPr>
            <w:r w:rsidRPr="004B208C">
              <w:rPr>
                <w:rFonts w:ascii="MS UI Gothic" w:eastAsia="MS UI Gothic" w:hAnsi="MS UI Gothic" w:cs="MS UI Gothic" w:hint="eastAsia"/>
                <w:color w:val="000000"/>
                <w:szCs w:val="18"/>
              </w:rPr>
              <w:t>✓</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w:t>
            </w:r>
          </w:p>
        </w:tc>
      </w:tr>
      <w:tr w:rsidR="00DB2D1E" w:rsidRPr="004B208C" w:rsidTr="002A6416">
        <w:tc>
          <w:tcPr>
            <w:tcW w:w="3168" w:type="dxa"/>
            <w:vAlign w:val="center"/>
          </w:tcPr>
          <w:p w:rsidR="00DB2D1E" w:rsidRPr="004B208C" w:rsidRDefault="00DB2D1E" w:rsidP="00DE73D4">
            <w:pPr>
              <w:rPr>
                <w:rFonts w:cs="Tahoma"/>
                <w:color w:val="000000"/>
                <w:szCs w:val="18"/>
              </w:rPr>
            </w:pPr>
            <w:r w:rsidRPr="004B208C">
              <w:rPr>
                <w:rFonts w:cs="Tahoma"/>
                <w:color w:val="000000"/>
                <w:szCs w:val="18"/>
              </w:rPr>
              <w:t xml:space="preserve">Horas Complementares </w:t>
            </w:r>
          </w:p>
        </w:tc>
        <w:tc>
          <w:tcPr>
            <w:tcW w:w="1580" w:type="dxa"/>
            <w:vAlign w:val="center"/>
          </w:tcPr>
          <w:p w:rsidR="00DB2D1E" w:rsidRPr="004B208C" w:rsidRDefault="00DB2D1E" w:rsidP="00DE73D4">
            <w:pPr>
              <w:jc w:val="center"/>
              <w:rPr>
                <w:rFonts w:cs="Tahoma"/>
                <w:color w:val="000000"/>
                <w:szCs w:val="18"/>
              </w:rPr>
            </w:pPr>
            <w:r w:rsidRPr="004B208C">
              <w:rPr>
                <w:rFonts w:cs="Tahoma"/>
                <w:color w:val="000000"/>
                <w:szCs w:val="18"/>
              </w:rPr>
              <w:t>Pacotes de 20</w:t>
            </w:r>
          </w:p>
        </w:tc>
        <w:tc>
          <w:tcPr>
            <w:tcW w:w="1444" w:type="dxa"/>
            <w:vAlign w:val="center"/>
          </w:tcPr>
          <w:p w:rsidR="00DB2D1E" w:rsidRPr="004B208C" w:rsidRDefault="00DB2D1E" w:rsidP="00DE73D4">
            <w:pPr>
              <w:jc w:val="center"/>
              <w:rPr>
                <w:rFonts w:cs="Tahoma"/>
                <w:color w:val="000000"/>
                <w:szCs w:val="18"/>
              </w:rPr>
            </w:pPr>
            <w:r w:rsidRPr="004B208C">
              <w:rPr>
                <w:rFonts w:cs="Tahoma"/>
                <w:color w:val="000000"/>
                <w:szCs w:val="18"/>
              </w:rPr>
              <w:t>Pacotes de 20</w:t>
            </w:r>
          </w:p>
        </w:tc>
        <w:tc>
          <w:tcPr>
            <w:tcW w:w="1687" w:type="dxa"/>
            <w:vAlign w:val="center"/>
          </w:tcPr>
          <w:p w:rsidR="00DB2D1E" w:rsidRPr="004B208C" w:rsidRDefault="00DB2D1E" w:rsidP="00DE73D4">
            <w:pPr>
              <w:jc w:val="center"/>
              <w:rPr>
                <w:rFonts w:cs="Tahoma"/>
                <w:color w:val="000000"/>
                <w:szCs w:val="18"/>
              </w:rPr>
            </w:pPr>
            <w:r w:rsidRPr="004B208C">
              <w:rPr>
                <w:rFonts w:cs="Tahoma"/>
                <w:color w:val="000000"/>
                <w:szCs w:val="18"/>
              </w:rPr>
              <w:t>Pacotes de 20</w:t>
            </w:r>
          </w:p>
        </w:tc>
        <w:tc>
          <w:tcPr>
            <w:tcW w:w="1589" w:type="dxa"/>
            <w:vAlign w:val="center"/>
          </w:tcPr>
          <w:p w:rsidR="00DB2D1E" w:rsidRPr="004B208C" w:rsidRDefault="00DB2D1E" w:rsidP="00DE73D4">
            <w:pPr>
              <w:jc w:val="center"/>
              <w:rPr>
                <w:rFonts w:cs="Tahoma"/>
                <w:color w:val="000000"/>
                <w:szCs w:val="18"/>
              </w:rPr>
            </w:pPr>
            <w:r w:rsidRPr="004B208C">
              <w:rPr>
                <w:rFonts w:cs="Tahoma"/>
                <w:color w:val="000000"/>
                <w:szCs w:val="18"/>
              </w:rPr>
              <w:t>Pacotes de 20</w:t>
            </w:r>
          </w:p>
        </w:tc>
      </w:tr>
    </w:tbl>
    <w:p w:rsidR="00DB2D1E" w:rsidRPr="00765C3B" w:rsidRDefault="00DB2D1E" w:rsidP="00DB2D1E">
      <w:pPr>
        <w:pStyle w:val="tableclose"/>
        <w:tabs>
          <w:tab w:val="left" w:pos="810"/>
        </w:tabs>
        <w:ind w:left="810" w:hanging="720"/>
        <w:rPr>
          <w:rFonts w:ascii="Tahoma" w:hAnsi="Tahoma" w:cs="Tahoma"/>
          <w:sz w:val="16"/>
          <w:szCs w:val="16"/>
        </w:rPr>
      </w:pPr>
      <w:r w:rsidRPr="00765C3B">
        <w:rPr>
          <w:rFonts w:ascii="Tahoma" w:hAnsi="Tahoma" w:cs="Tahoma"/>
          <w:i/>
          <w:color w:val="000000"/>
          <w:sz w:val="16"/>
          <w:szCs w:val="16"/>
          <w:vertAlign w:val="superscript"/>
        </w:rPr>
        <w:t>1</w:t>
      </w:r>
      <w:r w:rsidRPr="00765C3B">
        <w:rPr>
          <w:rFonts w:ascii="Tahoma" w:hAnsi="Tahoma" w:cs="Tahoma"/>
          <w:i/>
          <w:color w:val="000000"/>
          <w:sz w:val="16"/>
          <w:szCs w:val="16"/>
        </w:rPr>
        <w:t xml:space="preserve"> O Horário Comercial é definido localmente.</w:t>
      </w:r>
    </w:p>
    <w:p w:rsidR="00DB2D1E" w:rsidRPr="00765C3B" w:rsidRDefault="00DB2D1E" w:rsidP="00F42FB8">
      <w:pPr>
        <w:pStyle w:val="BodyText2"/>
        <w:spacing w:after="0" w:line="240" w:lineRule="auto"/>
        <w:rPr>
          <w:rFonts w:ascii="Tahoma" w:hAnsi="Tahoma" w:cs="Tahoma"/>
          <w:sz w:val="18"/>
          <w:szCs w:val="18"/>
        </w:rPr>
      </w:pPr>
    </w:p>
    <w:p w:rsidR="00DB2D1E" w:rsidRPr="00765C3B" w:rsidRDefault="00DB2D1E" w:rsidP="00CA52FE">
      <w:pPr>
        <w:pStyle w:val="BodyText2"/>
        <w:spacing w:after="0" w:line="240" w:lineRule="auto"/>
        <w:rPr>
          <w:rFonts w:ascii="Tahoma" w:hAnsi="Tahoma" w:cs="Tahoma"/>
          <w:sz w:val="18"/>
          <w:szCs w:val="18"/>
        </w:rPr>
      </w:pPr>
      <w:r w:rsidRPr="00765C3B">
        <w:rPr>
          <w:rFonts w:ascii="Tahoma" w:hAnsi="Tahoma" w:cs="Tahoma"/>
          <w:b/>
          <w:bCs/>
          <w:color w:val="000000"/>
          <w:sz w:val="18"/>
          <w:szCs w:val="18"/>
        </w:rPr>
        <w:t>O Gerenciamento de Conta de Suporte</w:t>
      </w:r>
      <w:r w:rsidRPr="00765C3B">
        <w:rPr>
          <w:rFonts w:ascii="Tahoma" w:hAnsi="Tahoma" w:cs="Tahoma"/>
          <w:color w:val="000000"/>
          <w:sz w:val="18"/>
          <w:szCs w:val="18"/>
        </w:rPr>
        <w:t xml:space="preserve"> ajuda a criar e manter os relacionamentos com a equipe de gerenciamento e de fornecimento de serviços do cliente, além de ajudar os clientes a organizar cada elemento de</w:t>
      </w:r>
      <w:r w:rsidR="00765C3B">
        <w:rPr>
          <w:rFonts w:ascii="Tahoma" w:hAnsi="Tahoma" w:cs="Tahoma"/>
          <w:color w:val="000000"/>
          <w:sz w:val="18"/>
          <w:szCs w:val="18"/>
        </w:rPr>
        <w:t> </w:t>
      </w:r>
      <w:r w:rsidRPr="00765C3B">
        <w:rPr>
          <w:rFonts w:ascii="Tahoma" w:hAnsi="Tahoma" w:cs="Tahoma"/>
          <w:color w:val="000000"/>
          <w:sz w:val="18"/>
          <w:szCs w:val="18"/>
        </w:rPr>
        <w:t xml:space="preserve">seus planos de serviços a fim de atender às necessidades comerciais. </w:t>
      </w:r>
    </w:p>
    <w:p w:rsidR="00CA52FE" w:rsidRPr="004B208C" w:rsidRDefault="00CA52FE" w:rsidP="00CA52FE">
      <w:pPr>
        <w:pStyle w:val="BodyText2"/>
        <w:spacing w:after="0" w:line="240" w:lineRule="auto"/>
        <w:rPr>
          <w:rFonts w:ascii="Tahoma" w:hAnsi="Tahoma" w:cs="Tahoma"/>
        </w:rPr>
      </w:pPr>
    </w:p>
    <w:p w:rsidR="00DB2D1E" w:rsidRPr="004B208C" w:rsidRDefault="00DB2D1E" w:rsidP="00CA52FE">
      <w:pPr>
        <w:jc w:val="both"/>
        <w:rPr>
          <w:rFonts w:cs="Tahoma"/>
        </w:rPr>
      </w:pPr>
      <w:r w:rsidRPr="004B208C">
        <w:rPr>
          <w:rFonts w:cs="Tahoma"/>
          <w:b/>
          <w:bCs/>
          <w:color w:val="000000"/>
          <w:szCs w:val="18"/>
        </w:rPr>
        <w:t xml:space="preserve">A Assistência de Suporte </w:t>
      </w:r>
      <w:r w:rsidRPr="004B208C">
        <w:rPr>
          <w:rFonts w:cs="Tahoma"/>
          <w:color w:val="000000"/>
          <w:szCs w:val="18"/>
        </w:rPr>
        <w:t>fornece avisos e orientações a curto prazo (com base nos recursos da Microsoft disponíveis) sobre problemas não abordados pelo Suporte para Resolução de Problemas, incluindo assistência a</w:t>
      </w:r>
      <w:r w:rsidR="00765C3B">
        <w:rPr>
          <w:rFonts w:cs="Tahoma"/>
          <w:color w:val="000000"/>
          <w:szCs w:val="18"/>
        </w:rPr>
        <w:t> </w:t>
      </w:r>
      <w:r w:rsidRPr="004B208C">
        <w:rPr>
          <w:rFonts w:cs="Tahoma"/>
          <w:color w:val="000000"/>
          <w:szCs w:val="18"/>
        </w:rPr>
        <w:t>questões relacionadas a design, desenvolvimento e implantação.</w:t>
      </w:r>
    </w:p>
    <w:p w:rsidR="00CA52FE" w:rsidRPr="004B208C" w:rsidRDefault="00CA52FE" w:rsidP="00CA52FE">
      <w:pPr>
        <w:jc w:val="both"/>
        <w:rPr>
          <w:rFonts w:cs="Tahoma"/>
        </w:rPr>
      </w:pPr>
    </w:p>
    <w:p w:rsidR="00676723" w:rsidRPr="004B208C" w:rsidRDefault="00DB2D1E" w:rsidP="00CA52FE">
      <w:pPr>
        <w:rPr>
          <w:rFonts w:cs="Tahoma"/>
        </w:rPr>
      </w:pPr>
      <w:r w:rsidRPr="004B208C">
        <w:rPr>
          <w:rFonts w:cs="Tahoma"/>
          <w:b/>
          <w:bCs/>
          <w:color w:val="000000"/>
          <w:szCs w:val="18"/>
        </w:rPr>
        <w:t xml:space="preserve">O Suporte para Resolução de Problemas </w:t>
      </w:r>
      <w:r w:rsidRPr="004B208C">
        <w:rPr>
          <w:rFonts w:cs="Tahoma"/>
          <w:color w:val="000000"/>
          <w:szCs w:val="18"/>
        </w:rPr>
        <w:t>fornece assistência para problemas com sintomas específicos encontrados durante o uso de produtos da Microsoft, quando há uma probabilidade razoável de que o problema tenha sido causado por produtos da Microsoft.</w:t>
      </w:r>
    </w:p>
    <w:p w:rsidR="00676723" w:rsidRPr="004B208C" w:rsidRDefault="00676723">
      <w:pPr>
        <w:rPr>
          <w:rFonts w:cs="Tahoma"/>
        </w:rPr>
      </w:pPr>
      <w:r w:rsidRPr="004B208C">
        <w:rPr>
          <w:rFonts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4B208C"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4B208C" w:rsidRDefault="001C1727" w:rsidP="00DE73D4">
            <w:pPr>
              <w:pStyle w:val="tableclose"/>
              <w:spacing w:line="276" w:lineRule="auto"/>
              <w:rPr>
                <w:rFonts w:ascii="Tahoma" w:hAnsi="Tahoma" w:cs="Tahoma"/>
                <w:b/>
                <w:color w:val="000000"/>
              </w:rPr>
            </w:pPr>
            <w:r w:rsidRPr="004B208C">
              <w:rPr>
                <w:rFonts w:ascii="Tahoma" w:hAnsi="Tahoma" w:cs="Tahoma"/>
                <w:color w:val="000000"/>
                <w:sz w:val="6"/>
              </w:rPr>
              <w:lastRenderedPageBreak/>
              <w:br w:type="page"/>
            </w:r>
            <w:r w:rsidRPr="004B208C">
              <w:rPr>
                <w:rFonts w:ascii="Tahoma" w:hAnsi="Tahoma" w:cs="Tahoma"/>
                <w:b/>
                <w:color w:val="000000"/>
              </w:rPr>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B208C" w:rsidRDefault="00DB2D1E" w:rsidP="00DE73D4">
            <w:pPr>
              <w:pStyle w:val="tableclose"/>
              <w:spacing w:line="276" w:lineRule="auto"/>
              <w:rPr>
                <w:rFonts w:ascii="Tahoma" w:hAnsi="Tahoma" w:cs="Tahoma"/>
                <w:b/>
                <w:color w:val="000000"/>
              </w:rPr>
            </w:pPr>
            <w:r w:rsidRPr="004B208C">
              <w:rPr>
                <w:rFonts w:ascii="Tahoma" w:hAnsi="Tahoma" w:cs="Tahoma"/>
                <w:b/>
                <w:color w:val="000000"/>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B208C" w:rsidRDefault="00DB2D1E" w:rsidP="00DE73D4">
            <w:pPr>
              <w:pStyle w:val="tableclose"/>
              <w:spacing w:line="276" w:lineRule="auto"/>
              <w:rPr>
                <w:rFonts w:ascii="Tahoma" w:hAnsi="Tahoma" w:cs="Tahoma"/>
                <w:b/>
                <w:color w:val="000000"/>
              </w:rPr>
            </w:pPr>
            <w:r w:rsidRPr="004B208C">
              <w:rPr>
                <w:rFonts w:ascii="Tahoma" w:hAnsi="Tahoma" w:cs="Tahoma"/>
                <w:b/>
                <w:color w:val="000000"/>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4B208C" w:rsidRDefault="00DB2D1E" w:rsidP="00DE73D4">
            <w:pPr>
              <w:pStyle w:val="tableclose"/>
              <w:spacing w:line="276" w:lineRule="auto"/>
              <w:rPr>
                <w:rFonts w:ascii="Tahoma" w:hAnsi="Tahoma" w:cs="Tahoma"/>
                <w:b/>
                <w:color w:val="000000"/>
              </w:rPr>
            </w:pPr>
            <w:r w:rsidRPr="004B208C">
              <w:rPr>
                <w:rFonts w:ascii="Tahoma" w:hAnsi="Tahoma" w:cs="Tahoma"/>
                <w:b/>
                <w:color w:val="000000"/>
              </w:rPr>
              <w:t>Resposta Esperada do Cliente</w:t>
            </w:r>
          </w:p>
        </w:tc>
      </w:tr>
      <w:tr w:rsidR="00DB2D1E" w:rsidRPr="004B208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B208C" w:rsidRDefault="00DB2D1E" w:rsidP="00DE73D4">
            <w:pPr>
              <w:pStyle w:val="tableclose"/>
              <w:spacing w:line="276" w:lineRule="auto"/>
              <w:rPr>
                <w:rFonts w:ascii="Tahoma" w:hAnsi="Tahoma" w:cs="Tahoma"/>
                <w:color w:val="000000"/>
                <w:sz w:val="18"/>
                <w:szCs w:val="18"/>
              </w:rPr>
            </w:pPr>
            <w:r w:rsidRPr="004B208C">
              <w:rPr>
                <w:rFonts w:ascii="Tahoma" w:hAnsi="Tahoma" w:cs="Tahoma"/>
                <w:color w:val="000000"/>
                <w:sz w:val="18"/>
                <w:szCs w:val="18"/>
              </w:rPr>
              <w:t>1.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58"/>
              </w:numPr>
              <w:spacing w:line="276" w:lineRule="auto"/>
              <w:rPr>
                <w:rFonts w:ascii="Tahoma" w:hAnsi="Tahoma" w:cs="Tahoma"/>
                <w:sz w:val="18"/>
                <w:szCs w:val="18"/>
              </w:rPr>
            </w:pPr>
            <w:r w:rsidRPr="00765C3B">
              <w:rPr>
                <w:rFonts w:ascii="Tahoma" w:hAnsi="Tahoma" w:cs="Tahoma"/>
                <w:color w:val="000000"/>
                <w:sz w:val="18"/>
                <w:szCs w:val="18"/>
              </w:rPr>
              <w:t xml:space="preserve">Impacto catastrófico nos negócios: </w:t>
            </w:r>
          </w:p>
          <w:p w:rsidR="00DB2D1E" w:rsidRPr="00765C3B" w:rsidRDefault="00DB2D1E" w:rsidP="00A1385C">
            <w:pPr>
              <w:pStyle w:val="ListBullet3"/>
              <w:numPr>
                <w:ilvl w:val="0"/>
                <w:numId w:val="58"/>
              </w:numPr>
              <w:spacing w:line="276" w:lineRule="auto"/>
              <w:rPr>
                <w:rFonts w:ascii="Tahoma" w:hAnsi="Tahoma" w:cs="Tahoma"/>
                <w:sz w:val="18"/>
                <w:szCs w:val="18"/>
              </w:rPr>
            </w:pPr>
            <w:r w:rsidRPr="00765C3B">
              <w:rPr>
                <w:rFonts w:ascii="Tahoma" w:hAnsi="Tahoma" w:cs="Tahoma"/>
                <w:color w:val="000000"/>
                <w:sz w:val="18"/>
                <w:szCs w:val="18"/>
              </w:rPr>
              <w:t>Perda total de um processo comercial essencial (crítico) e</w:t>
            </w:r>
            <w:r w:rsidR="00765C3B">
              <w:rPr>
                <w:rFonts w:ascii="Tahoma" w:hAnsi="Tahoma" w:cs="Tahoma"/>
                <w:color w:val="000000"/>
                <w:sz w:val="18"/>
                <w:szCs w:val="18"/>
              </w:rPr>
              <w:t> </w:t>
            </w:r>
            <w:r w:rsidRPr="00765C3B">
              <w:rPr>
                <w:rFonts w:ascii="Tahoma" w:hAnsi="Tahoma" w:cs="Tahoma"/>
                <w:color w:val="000000"/>
                <w:sz w:val="18"/>
                <w:szCs w:val="18"/>
              </w:rPr>
              <w:t>não</w:t>
            </w:r>
            <w:r w:rsidR="00765C3B">
              <w:rPr>
                <w:rFonts w:ascii="Tahoma" w:hAnsi="Tahoma" w:cs="Tahoma"/>
                <w:color w:val="000000"/>
                <w:sz w:val="18"/>
                <w:szCs w:val="18"/>
              </w:rPr>
              <w:t> </w:t>
            </w:r>
            <w:r w:rsidRPr="00765C3B">
              <w:rPr>
                <w:rFonts w:ascii="Tahoma" w:hAnsi="Tahoma" w:cs="Tahoma"/>
                <w:color w:val="000000"/>
                <w:sz w:val="18"/>
                <w:szCs w:val="18"/>
              </w:rPr>
              <w:t>é possível dar continuidade ao trabalho de maneira razoável</w:t>
            </w:r>
          </w:p>
          <w:p w:rsidR="00DB2D1E" w:rsidRPr="00765C3B" w:rsidRDefault="00DB2D1E" w:rsidP="00A1385C">
            <w:pPr>
              <w:pStyle w:val="ListBullet3"/>
              <w:numPr>
                <w:ilvl w:val="0"/>
                <w:numId w:val="58"/>
              </w:numPr>
              <w:spacing w:line="276" w:lineRule="auto"/>
              <w:rPr>
                <w:rFonts w:ascii="Tahoma" w:hAnsi="Tahoma" w:cs="Tahoma"/>
                <w:color w:val="000000"/>
                <w:sz w:val="18"/>
                <w:szCs w:val="18"/>
              </w:rPr>
            </w:pPr>
            <w:r w:rsidRPr="00765C3B">
              <w:rPr>
                <w:rFonts w:ascii="Tahoma" w:hAnsi="Tahoma" w:cs="Tahoma"/>
                <w:color w:val="000000"/>
                <w:sz w:val="18"/>
                <w:szCs w:val="18"/>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Resposta à 1</w:t>
            </w:r>
            <w:r w:rsidRPr="00765C3B">
              <w:rPr>
                <w:rFonts w:ascii="Tahoma" w:hAnsi="Tahoma" w:cs="Tahoma"/>
                <w:color w:val="000000"/>
                <w:sz w:val="18"/>
                <w:szCs w:val="18"/>
                <w:vertAlign w:val="superscript"/>
              </w:rPr>
              <w:t>ª</w:t>
            </w:r>
            <w:r w:rsidRPr="00765C3B">
              <w:rPr>
                <w:rFonts w:ascii="Tahoma" w:hAnsi="Tahoma" w:cs="Tahoma"/>
                <w:color w:val="000000"/>
                <w:sz w:val="18"/>
                <w:szCs w:val="18"/>
              </w:rPr>
              <w:t xml:space="preserve"> chamada em 1 hora ou menos</w:t>
            </w:r>
          </w:p>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Nossos Recursos serão encaminhados para o local do cliente o mais rápido possível</w:t>
            </w:r>
          </w:p>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Esforço contínuo 24x7</w:t>
            </w:r>
          </w:p>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Escalonamento rápido na Microsoft para equipes do Produto</w:t>
            </w:r>
          </w:p>
          <w:p w:rsidR="00DB2D1E" w:rsidRPr="00765C3B" w:rsidRDefault="00DB2D1E" w:rsidP="00A1385C">
            <w:pPr>
              <w:pStyle w:val="ListBullet3"/>
              <w:numPr>
                <w:ilvl w:val="0"/>
                <w:numId w:val="59"/>
              </w:numPr>
              <w:spacing w:line="276" w:lineRule="auto"/>
              <w:rPr>
                <w:rFonts w:ascii="Tahoma" w:hAnsi="Tahoma" w:cs="Tahoma"/>
                <w:color w:val="000000"/>
                <w:sz w:val="18"/>
                <w:szCs w:val="18"/>
              </w:rPr>
            </w:pPr>
            <w:r w:rsidRPr="00765C3B">
              <w:rPr>
                <w:rFonts w:ascii="Tahoma" w:hAnsi="Tahoma" w:cs="Tahoma"/>
                <w:color w:val="000000"/>
                <w:sz w:val="18"/>
                <w:szCs w:val="18"/>
              </w:rPr>
              <w:t xml:space="preserve">Notificação aos Executivos Sêniores da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60"/>
              </w:numPr>
              <w:spacing w:line="276" w:lineRule="auto"/>
              <w:rPr>
                <w:rFonts w:ascii="Tahoma" w:hAnsi="Tahoma" w:cs="Tahoma"/>
                <w:sz w:val="18"/>
                <w:szCs w:val="18"/>
              </w:rPr>
            </w:pPr>
            <w:r w:rsidRPr="00765C3B">
              <w:rPr>
                <w:rFonts w:ascii="Tahoma" w:hAnsi="Tahoma" w:cs="Tahoma"/>
                <w:color w:val="000000"/>
                <w:sz w:val="18"/>
                <w:szCs w:val="18"/>
              </w:rPr>
              <w:t>Notificação aos Executivos Sêniores do</w:t>
            </w:r>
            <w:r w:rsidR="00765C3B">
              <w:rPr>
                <w:rFonts w:ascii="Tahoma" w:hAnsi="Tahoma" w:cs="Tahoma"/>
                <w:color w:val="000000"/>
                <w:sz w:val="18"/>
                <w:szCs w:val="18"/>
              </w:rPr>
              <w:t> </w:t>
            </w:r>
            <w:r w:rsidRPr="00765C3B">
              <w:rPr>
                <w:rFonts w:ascii="Tahoma" w:hAnsi="Tahoma" w:cs="Tahoma"/>
                <w:color w:val="000000"/>
                <w:sz w:val="18"/>
                <w:szCs w:val="18"/>
              </w:rPr>
              <w:t xml:space="preserve">cliente </w:t>
            </w:r>
          </w:p>
          <w:p w:rsidR="00DB2D1E" w:rsidRPr="00765C3B" w:rsidRDefault="00DB2D1E" w:rsidP="00A1385C">
            <w:pPr>
              <w:pStyle w:val="ListBullet3"/>
              <w:numPr>
                <w:ilvl w:val="0"/>
                <w:numId w:val="60"/>
              </w:numPr>
              <w:spacing w:line="276" w:lineRule="auto"/>
              <w:rPr>
                <w:rFonts w:ascii="Tahoma" w:hAnsi="Tahoma" w:cs="Tahoma"/>
                <w:sz w:val="18"/>
                <w:szCs w:val="18"/>
              </w:rPr>
            </w:pPr>
            <w:r w:rsidRPr="00765C3B">
              <w:rPr>
                <w:rFonts w:ascii="Tahoma" w:hAnsi="Tahoma" w:cs="Tahoma"/>
                <w:color w:val="000000"/>
                <w:sz w:val="18"/>
                <w:szCs w:val="18"/>
              </w:rPr>
              <w:t>Alocação de recursos adequados para manter os esforços contínuos em uma base 24x7</w:t>
            </w:r>
            <w:r w:rsidRPr="00765C3B">
              <w:rPr>
                <w:rFonts w:ascii="Tahoma" w:hAnsi="Tahoma" w:cs="Tahoma"/>
                <w:color w:val="000000"/>
                <w:sz w:val="18"/>
                <w:szCs w:val="18"/>
                <w:vertAlign w:val="superscript"/>
              </w:rPr>
              <w:t>2</w:t>
            </w:r>
          </w:p>
          <w:p w:rsidR="00DB2D1E" w:rsidRPr="00765C3B" w:rsidRDefault="00DB2D1E" w:rsidP="00A1385C">
            <w:pPr>
              <w:pStyle w:val="ListBullet3"/>
              <w:numPr>
                <w:ilvl w:val="0"/>
                <w:numId w:val="60"/>
              </w:numPr>
              <w:spacing w:line="276" w:lineRule="auto"/>
              <w:rPr>
                <w:rFonts w:ascii="Tahoma" w:hAnsi="Tahoma" w:cs="Tahoma"/>
                <w:color w:val="000000"/>
                <w:sz w:val="18"/>
                <w:szCs w:val="18"/>
              </w:rPr>
            </w:pPr>
            <w:r w:rsidRPr="00765C3B">
              <w:rPr>
                <w:rFonts w:ascii="Tahoma" w:hAnsi="Tahoma" w:cs="Tahoma"/>
                <w:color w:val="000000"/>
                <w:sz w:val="18"/>
                <w:szCs w:val="18"/>
              </w:rPr>
              <w:t>Acesso e resposta rápidos da autoridade de controle de alterações</w:t>
            </w:r>
          </w:p>
        </w:tc>
      </w:tr>
      <w:tr w:rsidR="00DB2D1E" w:rsidRPr="004B208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B208C" w:rsidRDefault="00DB2D1E" w:rsidP="00DE73D4">
            <w:pPr>
              <w:pStyle w:val="tableclose"/>
              <w:spacing w:line="276" w:lineRule="auto"/>
              <w:rPr>
                <w:rFonts w:ascii="Tahoma" w:hAnsi="Tahoma" w:cs="Tahoma"/>
                <w:color w:val="000000"/>
                <w:sz w:val="18"/>
                <w:szCs w:val="18"/>
              </w:rPr>
            </w:pPr>
            <w:r w:rsidRPr="004B208C">
              <w:rPr>
                <w:rFonts w:ascii="Tahoma" w:hAnsi="Tahoma" w:cs="Tahoma"/>
                <w:color w:val="000000"/>
                <w:sz w:val="18"/>
                <w:szCs w:val="18"/>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58"/>
              </w:numPr>
              <w:spacing w:line="276" w:lineRule="auto"/>
              <w:rPr>
                <w:rFonts w:ascii="Tahoma" w:hAnsi="Tahoma" w:cs="Tahoma"/>
                <w:sz w:val="18"/>
                <w:szCs w:val="18"/>
              </w:rPr>
            </w:pPr>
            <w:r w:rsidRPr="00765C3B">
              <w:rPr>
                <w:rFonts w:ascii="Tahoma" w:hAnsi="Tahoma" w:cs="Tahoma"/>
                <w:color w:val="000000"/>
                <w:sz w:val="18"/>
                <w:szCs w:val="18"/>
              </w:rPr>
              <w:t xml:space="preserve">Impacto crítico nos negócios: </w:t>
            </w:r>
          </w:p>
          <w:p w:rsidR="00DB2D1E" w:rsidRPr="00765C3B" w:rsidRDefault="00DB2D1E" w:rsidP="00A1385C">
            <w:pPr>
              <w:pStyle w:val="ListBullet3"/>
              <w:numPr>
                <w:ilvl w:val="0"/>
                <w:numId w:val="58"/>
              </w:numPr>
              <w:spacing w:line="276" w:lineRule="auto"/>
              <w:rPr>
                <w:rFonts w:ascii="Tahoma" w:hAnsi="Tahoma" w:cs="Tahoma"/>
                <w:sz w:val="18"/>
                <w:szCs w:val="18"/>
              </w:rPr>
            </w:pPr>
            <w:r w:rsidRPr="00765C3B">
              <w:rPr>
                <w:rFonts w:ascii="Tahoma" w:hAnsi="Tahoma" w:cs="Tahoma"/>
                <w:color w:val="000000"/>
                <w:sz w:val="18"/>
                <w:szCs w:val="18"/>
              </w:rPr>
              <w:t>Perda ou degradação significativa dos serviços</w:t>
            </w:r>
          </w:p>
          <w:p w:rsidR="00DB2D1E" w:rsidRPr="00765C3B" w:rsidRDefault="00DB2D1E" w:rsidP="00A1385C">
            <w:pPr>
              <w:pStyle w:val="ListBullet3"/>
              <w:numPr>
                <w:ilvl w:val="0"/>
                <w:numId w:val="58"/>
              </w:numPr>
              <w:spacing w:line="276" w:lineRule="auto"/>
              <w:rPr>
                <w:rFonts w:ascii="Tahoma" w:hAnsi="Tahoma" w:cs="Tahoma"/>
                <w:color w:val="000000"/>
                <w:sz w:val="18"/>
                <w:szCs w:val="18"/>
              </w:rPr>
            </w:pPr>
            <w:r w:rsidRPr="00765C3B">
              <w:rPr>
                <w:rFonts w:ascii="Tahoma" w:hAnsi="Tahoma" w:cs="Tahoma"/>
                <w:color w:val="000000"/>
                <w:sz w:val="18"/>
                <w:szCs w:val="18"/>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Resposta à 1</w:t>
            </w:r>
            <w:r w:rsidRPr="00765C3B">
              <w:rPr>
                <w:rFonts w:ascii="Tahoma" w:hAnsi="Tahoma" w:cs="Tahoma"/>
                <w:color w:val="000000"/>
                <w:sz w:val="18"/>
                <w:szCs w:val="18"/>
                <w:vertAlign w:val="superscript"/>
              </w:rPr>
              <w:t>ª</w:t>
            </w:r>
            <w:r w:rsidRPr="00765C3B">
              <w:rPr>
                <w:rFonts w:ascii="Tahoma" w:hAnsi="Tahoma" w:cs="Tahoma"/>
                <w:color w:val="000000"/>
                <w:sz w:val="18"/>
                <w:szCs w:val="18"/>
              </w:rPr>
              <w:t xml:space="preserve"> chamada em</w:t>
            </w:r>
            <w:r w:rsidR="00765C3B">
              <w:rPr>
                <w:rFonts w:ascii="Tahoma" w:hAnsi="Tahoma" w:cs="Tahoma"/>
                <w:color w:val="000000"/>
                <w:sz w:val="18"/>
                <w:szCs w:val="18"/>
              </w:rPr>
              <w:t> </w:t>
            </w:r>
            <w:r w:rsidRPr="00765C3B">
              <w:rPr>
                <w:rFonts w:ascii="Tahoma" w:hAnsi="Tahoma" w:cs="Tahoma"/>
                <w:color w:val="000000"/>
                <w:sz w:val="18"/>
                <w:szCs w:val="18"/>
              </w:rPr>
              <w:t>1 hora ou menos</w:t>
            </w:r>
          </w:p>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Nossos Recursos serão encaminhados ao local do</w:t>
            </w:r>
            <w:r w:rsidR="00765C3B">
              <w:rPr>
                <w:rFonts w:ascii="Tahoma" w:hAnsi="Tahoma" w:cs="Tahoma"/>
                <w:color w:val="000000"/>
                <w:sz w:val="18"/>
                <w:szCs w:val="18"/>
              </w:rPr>
              <w:t> </w:t>
            </w:r>
            <w:r w:rsidRPr="00765C3B">
              <w:rPr>
                <w:rFonts w:ascii="Tahoma" w:hAnsi="Tahoma" w:cs="Tahoma"/>
                <w:color w:val="000000"/>
                <w:sz w:val="18"/>
                <w:szCs w:val="18"/>
              </w:rPr>
              <w:t>cliente conforme a</w:t>
            </w:r>
            <w:r w:rsidR="00765C3B">
              <w:rPr>
                <w:rFonts w:ascii="Tahoma" w:hAnsi="Tahoma" w:cs="Tahoma"/>
                <w:color w:val="000000"/>
                <w:sz w:val="18"/>
                <w:szCs w:val="18"/>
              </w:rPr>
              <w:t> </w:t>
            </w:r>
            <w:r w:rsidRPr="00765C3B">
              <w:rPr>
                <w:rFonts w:ascii="Tahoma" w:hAnsi="Tahoma" w:cs="Tahoma"/>
                <w:color w:val="000000"/>
                <w:sz w:val="18"/>
                <w:szCs w:val="18"/>
              </w:rPr>
              <w:t>necessidade</w:t>
            </w:r>
          </w:p>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Esforço contínuo 24x7</w:t>
            </w:r>
          </w:p>
          <w:p w:rsidR="00DB2D1E" w:rsidRPr="00765C3B" w:rsidRDefault="00DB2D1E" w:rsidP="00A1385C">
            <w:pPr>
              <w:pStyle w:val="ListBullet3"/>
              <w:numPr>
                <w:ilvl w:val="0"/>
                <w:numId w:val="59"/>
              </w:numPr>
              <w:spacing w:line="276" w:lineRule="auto"/>
              <w:rPr>
                <w:rFonts w:ascii="Tahoma" w:hAnsi="Tahoma" w:cs="Tahoma"/>
                <w:color w:val="000000"/>
                <w:sz w:val="18"/>
                <w:szCs w:val="18"/>
              </w:rPr>
            </w:pPr>
            <w:r w:rsidRPr="00765C3B">
              <w:rPr>
                <w:rFonts w:ascii="Tahoma" w:hAnsi="Tahoma" w:cs="Tahoma"/>
                <w:color w:val="000000"/>
                <w:sz w:val="18"/>
                <w:szCs w:val="18"/>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60"/>
              </w:numPr>
              <w:spacing w:line="276" w:lineRule="auto"/>
              <w:rPr>
                <w:rFonts w:ascii="Tahoma" w:hAnsi="Tahoma" w:cs="Tahoma"/>
                <w:sz w:val="18"/>
                <w:szCs w:val="18"/>
              </w:rPr>
            </w:pPr>
            <w:r w:rsidRPr="00765C3B">
              <w:rPr>
                <w:rFonts w:ascii="Tahoma" w:hAnsi="Tahoma" w:cs="Tahoma"/>
                <w:color w:val="000000"/>
                <w:sz w:val="18"/>
                <w:szCs w:val="18"/>
              </w:rPr>
              <w:t>Alocação de recursos adequados para manter os esforços contínuos em uma base 24x7</w:t>
            </w:r>
            <w:r w:rsidRPr="00765C3B">
              <w:rPr>
                <w:rFonts w:ascii="Tahoma" w:hAnsi="Tahoma" w:cs="Tahoma"/>
                <w:color w:val="000000"/>
                <w:sz w:val="18"/>
                <w:szCs w:val="18"/>
                <w:vertAlign w:val="superscript"/>
              </w:rPr>
              <w:t>2</w:t>
            </w:r>
          </w:p>
          <w:p w:rsidR="00DB2D1E" w:rsidRPr="00765C3B" w:rsidRDefault="00DB2D1E" w:rsidP="00A1385C">
            <w:pPr>
              <w:pStyle w:val="ListBullet3"/>
              <w:numPr>
                <w:ilvl w:val="0"/>
                <w:numId w:val="60"/>
              </w:numPr>
              <w:spacing w:line="276" w:lineRule="auto"/>
              <w:rPr>
                <w:rFonts w:ascii="Tahoma" w:hAnsi="Tahoma" w:cs="Tahoma"/>
                <w:sz w:val="18"/>
                <w:szCs w:val="18"/>
              </w:rPr>
            </w:pPr>
            <w:r w:rsidRPr="00765C3B">
              <w:rPr>
                <w:rFonts w:ascii="Tahoma" w:hAnsi="Tahoma" w:cs="Tahoma"/>
                <w:color w:val="000000"/>
                <w:sz w:val="18"/>
                <w:szCs w:val="18"/>
              </w:rPr>
              <w:t>Acesso e resposta rápidos da autoridade de controle de alterações</w:t>
            </w:r>
          </w:p>
          <w:p w:rsidR="00DB2D1E" w:rsidRPr="00765C3B" w:rsidRDefault="00DB2D1E" w:rsidP="00A1385C">
            <w:pPr>
              <w:pStyle w:val="ListBullet3"/>
              <w:numPr>
                <w:ilvl w:val="0"/>
                <w:numId w:val="60"/>
              </w:numPr>
              <w:spacing w:line="276" w:lineRule="auto"/>
              <w:rPr>
                <w:rFonts w:ascii="Tahoma" w:hAnsi="Tahoma" w:cs="Tahoma"/>
                <w:color w:val="000000"/>
                <w:sz w:val="18"/>
                <w:szCs w:val="18"/>
              </w:rPr>
            </w:pPr>
            <w:r w:rsidRPr="00765C3B">
              <w:rPr>
                <w:rFonts w:ascii="Tahoma" w:hAnsi="Tahoma" w:cs="Tahoma"/>
                <w:color w:val="000000"/>
                <w:sz w:val="18"/>
                <w:szCs w:val="18"/>
              </w:rPr>
              <w:t>Notificação à gerência</w:t>
            </w:r>
          </w:p>
        </w:tc>
      </w:tr>
      <w:tr w:rsidR="00DB2D1E" w:rsidRPr="004B208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B208C" w:rsidRDefault="00DB2D1E" w:rsidP="00DE73D4">
            <w:pPr>
              <w:pStyle w:val="tableclose"/>
              <w:spacing w:line="276" w:lineRule="auto"/>
              <w:rPr>
                <w:rFonts w:ascii="Tahoma" w:hAnsi="Tahoma" w:cs="Tahoma"/>
                <w:color w:val="000000"/>
                <w:sz w:val="18"/>
                <w:szCs w:val="18"/>
              </w:rPr>
            </w:pPr>
            <w:r w:rsidRPr="004B208C">
              <w:rPr>
                <w:rFonts w:ascii="Tahoma" w:hAnsi="Tahoma" w:cs="Tahoma"/>
                <w:color w:val="000000"/>
                <w:sz w:val="18"/>
                <w:szCs w:val="18"/>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58"/>
              </w:numPr>
              <w:spacing w:line="276" w:lineRule="auto"/>
              <w:rPr>
                <w:rFonts w:ascii="Tahoma" w:hAnsi="Tahoma" w:cs="Tahoma"/>
                <w:sz w:val="18"/>
                <w:szCs w:val="18"/>
              </w:rPr>
            </w:pPr>
            <w:r w:rsidRPr="00765C3B">
              <w:rPr>
                <w:rFonts w:ascii="Tahoma" w:hAnsi="Tahoma" w:cs="Tahoma"/>
                <w:color w:val="000000"/>
                <w:sz w:val="18"/>
                <w:szCs w:val="18"/>
              </w:rPr>
              <w:t xml:space="preserve">Impacto moderado nos negócios: </w:t>
            </w:r>
          </w:p>
          <w:p w:rsidR="00DB2D1E" w:rsidRPr="00765C3B" w:rsidRDefault="00DB2D1E" w:rsidP="00A1385C">
            <w:pPr>
              <w:pStyle w:val="ListBullet3"/>
              <w:numPr>
                <w:ilvl w:val="0"/>
                <w:numId w:val="58"/>
              </w:numPr>
              <w:spacing w:line="276" w:lineRule="auto"/>
              <w:rPr>
                <w:rFonts w:ascii="Tahoma" w:hAnsi="Tahoma" w:cs="Tahoma"/>
                <w:sz w:val="18"/>
                <w:szCs w:val="18"/>
              </w:rPr>
            </w:pPr>
            <w:r w:rsidRPr="00765C3B">
              <w:rPr>
                <w:rFonts w:ascii="Tahoma" w:hAnsi="Tahoma" w:cs="Tahoma"/>
                <w:color w:val="000000"/>
                <w:sz w:val="18"/>
                <w:szCs w:val="18"/>
              </w:rPr>
              <w:t>Perda ou degradação moderada dos serviços, mas o trabalho pode razoavelmente continuar de maneira prejudicada</w:t>
            </w:r>
          </w:p>
          <w:p w:rsidR="00DB2D1E" w:rsidRPr="00765C3B" w:rsidRDefault="00DB2D1E" w:rsidP="00A1385C">
            <w:pPr>
              <w:pStyle w:val="ListBullet3"/>
              <w:numPr>
                <w:ilvl w:val="0"/>
                <w:numId w:val="58"/>
              </w:numPr>
              <w:spacing w:line="276" w:lineRule="auto"/>
              <w:rPr>
                <w:rFonts w:ascii="Tahoma" w:hAnsi="Tahoma" w:cs="Tahoma"/>
                <w:color w:val="000000"/>
                <w:sz w:val="18"/>
                <w:szCs w:val="18"/>
              </w:rPr>
            </w:pPr>
            <w:r w:rsidRPr="00765C3B">
              <w:rPr>
                <w:rFonts w:ascii="Tahoma" w:hAnsi="Tahoma" w:cs="Tahoma"/>
                <w:color w:val="000000"/>
                <w:sz w:val="18"/>
                <w:szCs w:val="18"/>
              </w:rPr>
              <w:t>Necessita de atenção dentro de 2 Horas Comerciais</w:t>
            </w:r>
            <w:r w:rsidRPr="00765C3B">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Resposta à 1</w:t>
            </w:r>
            <w:r w:rsidRPr="00765C3B">
              <w:rPr>
                <w:rFonts w:ascii="Tahoma" w:hAnsi="Tahoma" w:cs="Tahoma"/>
                <w:color w:val="000000"/>
                <w:sz w:val="18"/>
                <w:szCs w:val="18"/>
                <w:vertAlign w:val="superscript"/>
              </w:rPr>
              <w:t>ª</w:t>
            </w:r>
            <w:r w:rsidRPr="00765C3B">
              <w:rPr>
                <w:rFonts w:ascii="Tahoma" w:hAnsi="Tahoma" w:cs="Tahoma"/>
                <w:color w:val="000000"/>
                <w:sz w:val="18"/>
                <w:szCs w:val="18"/>
              </w:rPr>
              <w:t xml:space="preserve"> chamada em 2 horas ou menos</w:t>
            </w:r>
          </w:p>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Esforço apenas durante o Horário Comercial</w:t>
            </w:r>
            <w:r w:rsidRPr="00765C3B">
              <w:rPr>
                <w:rFonts w:ascii="Tahoma" w:hAnsi="Tahoma" w:cs="Tahoma"/>
                <w:color w:val="000000"/>
                <w:sz w:val="18"/>
                <w:szCs w:val="18"/>
                <w:vertAlign w:val="superscript"/>
              </w:rPr>
              <w:t>1</w:t>
            </w:r>
            <w:r w:rsidRPr="00765C3B">
              <w:rPr>
                <w:rFonts w:ascii="Tahoma" w:hAnsi="Tahoma" w:cs="Tahoma"/>
                <w:color w:val="000000"/>
                <w:sz w:val="18"/>
                <w:szCs w:val="18"/>
              </w:rPr>
              <w:t xml:space="preserve"> </w:t>
            </w:r>
          </w:p>
          <w:p w:rsidR="00DB2D1E" w:rsidRPr="00765C3B"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60"/>
              </w:numPr>
              <w:spacing w:line="276" w:lineRule="auto"/>
              <w:rPr>
                <w:rFonts w:ascii="Tahoma" w:hAnsi="Tahoma" w:cs="Tahoma"/>
                <w:sz w:val="18"/>
                <w:szCs w:val="18"/>
              </w:rPr>
            </w:pPr>
            <w:r w:rsidRPr="00765C3B">
              <w:rPr>
                <w:rFonts w:ascii="Tahoma" w:hAnsi="Tahoma" w:cs="Tahoma"/>
                <w:color w:val="000000"/>
                <w:sz w:val="18"/>
                <w:szCs w:val="18"/>
              </w:rPr>
              <w:t>Alocação de recursos adequados para manter esforços contínuos no Horário Comercial</w:t>
            </w:r>
            <w:r w:rsidRPr="00765C3B">
              <w:rPr>
                <w:rFonts w:ascii="Tahoma" w:hAnsi="Tahoma" w:cs="Tahoma"/>
                <w:color w:val="000000"/>
                <w:sz w:val="18"/>
                <w:szCs w:val="18"/>
                <w:vertAlign w:val="superscript"/>
              </w:rPr>
              <w:t>1</w:t>
            </w:r>
            <w:r w:rsidRPr="00765C3B">
              <w:rPr>
                <w:rFonts w:ascii="Tahoma" w:hAnsi="Tahoma" w:cs="Tahoma"/>
                <w:color w:val="000000"/>
                <w:sz w:val="18"/>
                <w:szCs w:val="18"/>
              </w:rPr>
              <w:t xml:space="preserve"> </w:t>
            </w:r>
          </w:p>
          <w:p w:rsidR="00DB2D1E" w:rsidRPr="00765C3B" w:rsidRDefault="00DB2D1E" w:rsidP="00A1385C">
            <w:pPr>
              <w:pStyle w:val="ListBullet3"/>
              <w:numPr>
                <w:ilvl w:val="0"/>
                <w:numId w:val="60"/>
              </w:numPr>
              <w:spacing w:line="276" w:lineRule="auto"/>
              <w:rPr>
                <w:rFonts w:ascii="Tahoma" w:hAnsi="Tahoma" w:cs="Tahoma"/>
                <w:color w:val="000000"/>
                <w:sz w:val="18"/>
                <w:szCs w:val="18"/>
              </w:rPr>
            </w:pPr>
            <w:r w:rsidRPr="00765C3B">
              <w:rPr>
                <w:rFonts w:ascii="Tahoma" w:hAnsi="Tahoma" w:cs="Tahoma"/>
                <w:color w:val="000000"/>
                <w:sz w:val="18"/>
                <w:szCs w:val="18"/>
              </w:rPr>
              <w:t>Acesso e resposta da autoridade de controle de alterações dentro de 4 Horas Comerciais</w:t>
            </w:r>
            <w:r w:rsidRPr="00765C3B">
              <w:rPr>
                <w:rFonts w:ascii="Tahoma" w:hAnsi="Tahoma" w:cs="Tahoma"/>
                <w:color w:val="000000"/>
                <w:sz w:val="18"/>
                <w:szCs w:val="18"/>
                <w:vertAlign w:val="superscript"/>
              </w:rPr>
              <w:t>1</w:t>
            </w:r>
          </w:p>
        </w:tc>
      </w:tr>
      <w:tr w:rsidR="00DB2D1E" w:rsidRPr="004B208C"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4B208C" w:rsidRDefault="00DB2D1E" w:rsidP="00DE73D4">
            <w:pPr>
              <w:pStyle w:val="tableclose"/>
              <w:spacing w:line="276" w:lineRule="auto"/>
              <w:rPr>
                <w:rFonts w:ascii="Tahoma" w:hAnsi="Tahoma" w:cs="Tahoma"/>
                <w:color w:val="000000"/>
                <w:sz w:val="18"/>
                <w:szCs w:val="18"/>
              </w:rPr>
            </w:pPr>
            <w:r w:rsidRPr="004B208C">
              <w:rPr>
                <w:rFonts w:ascii="Tahoma" w:hAnsi="Tahoma" w:cs="Tahoma"/>
                <w:color w:val="000000"/>
                <w:sz w:val="18"/>
                <w:szCs w:val="18"/>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58"/>
              </w:numPr>
              <w:spacing w:line="276" w:lineRule="auto"/>
              <w:rPr>
                <w:rFonts w:ascii="Tahoma" w:hAnsi="Tahoma" w:cs="Tahoma"/>
                <w:sz w:val="18"/>
                <w:szCs w:val="18"/>
              </w:rPr>
            </w:pPr>
            <w:r w:rsidRPr="00765C3B">
              <w:rPr>
                <w:rFonts w:ascii="Tahoma" w:hAnsi="Tahoma" w:cs="Tahoma"/>
                <w:color w:val="000000"/>
                <w:sz w:val="18"/>
                <w:szCs w:val="18"/>
              </w:rPr>
              <w:t xml:space="preserve">Impacto mínimo nos negócios: </w:t>
            </w:r>
          </w:p>
          <w:p w:rsidR="00DB2D1E" w:rsidRPr="00765C3B" w:rsidRDefault="00DB2D1E" w:rsidP="00A1385C">
            <w:pPr>
              <w:pStyle w:val="ListBullet3"/>
              <w:numPr>
                <w:ilvl w:val="0"/>
                <w:numId w:val="58"/>
              </w:numPr>
              <w:spacing w:line="276" w:lineRule="auto"/>
              <w:rPr>
                <w:rFonts w:ascii="Tahoma" w:hAnsi="Tahoma" w:cs="Tahoma"/>
                <w:sz w:val="18"/>
                <w:szCs w:val="18"/>
              </w:rPr>
            </w:pPr>
            <w:r w:rsidRPr="00765C3B">
              <w:rPr>
                <w:rFonts w:ascii="Tahoma" w:hAnsi="Tahoma" w:cs="Tahoma"/>
                <w:color w:val="000000"/>
                <w:sz w:val="18"/>
                <w:szCs w:val="18"/>
              </w:rPr>
              <w:t>Funcionamento de forma substancial, com</w:t>
            </w:r>
            <w:r w:rsidR="00765C3B">
              <w:rPr>
                <w:rFonts w:ascii="Tahoma" w:hAnsi="Tahoma" w:cs="Tahoma"/>
                <w:color w:val="000000"/>
                <w:sz w:val="18"/>
                <w:szCs w:val="18"/>
              </w:rPr>
              <w:t> </w:t>
            </w:r>
            <w:r w:rsidRPr="00765C3B">
              <w:rPr>
                <w:rFonts w:ascii="Tahoma" w:hAnsi="Tahoma" w:cs="Tahoma"/>
                <w:color w:val="000000"/>
                <w:sz w:val="18"/>
                <w:szCs w:val="18"/>
              </w:rPr>
              <w:t>poucos ou nenhum impedimento dos serviços</w:t>
            </w:r>
          </w:p>
          <w:p w:rsidR="00DB2D1E" w:rsidRPr="00765C3B" w:rsidRDefault="00DB2D1E" w:rsidP="00A1385C">
            <w:pPr>
              <w:pStyle w:val="ListBullet3"/>
              <w:numPr>
                <w:ilvl w:val="0"/>
                <w:numId w:val="58"/>
              </w:numPr>
              <w:spacing w:line="276" w:lineRule="auto"/>
              <w:rPr>
                <w:rFonts w:ascii="Tahoma" w:hAnsi="Tahoma" w:cs="Tahoma"/>
                <w:color w:val="000000"/>
                <w:sz w:val="18"/>
                <w:szCs w:val="18"/>
              </w:rPr>
            </w:pPr>
            <w:r w:rsidRPr="00765C3B">
              <w:rPr>
                <w:rFonts w:ascii="Tahoma" w:hAnsi="Tahoma" w:cs="Tahoma"/>
                <w:color w:val="000000"/>
                <w:sz w:val="18"/>
                <w:szCs w:val="18"/>
              </w:rPr>
              <w:t>Necessita de atenção dentro de 4 Horas Comerciais</w:t>
            </w:r>
            <w:r w:rsidRPr="00765C3B">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Resposta à 1</w:t>
            </w:r>
            <w:r w:rsidRPr="00765C3B">
              <w:rPr>
                <w:rFonts w:ascii="Tahoma" w:hAnsi="Tahoma" w:cs="Tahoma"/>
                <w:color w:val="000000"/>
                <w:sz w:val="18"/>
                <w:szCs w:val="18"/>
                <w:vertAlign w:val="superscript"/>
              </w:rPr>
              <w:t>ª</w:t>
            </w:r>
            <w:r w:rsidRPr="00765C3B">
              <w:rPr>
                <w:rFonts w:ascii="Tahoma" w:hAnsi="Tahoma" w:cs="Tahoma"/>
                <w:color w:val="000000"/>
                <w:sz w:val="18"/>
                <w:szCs w:val="18"/>
              </w:rPr>
              <w:t xml:space="preserve"> chamada em</w:t>
            </w:r>
            <w:r w:rsidR="00765C3B">
              <w:rPr>
                <w:rFonts w:ascii="Tahoma" w:hAnsi="Tahoma" w:cs="Tahoma"/>
                <w:color w:val="000000"/>
                <w:sz w:val="18"/>
                <w:szCs w:val="18"/>
              </w:rPr>
              <w:t> </w:t>
            </w:r>
            <w:r w:rsidRPr="00765C3B">
              <w:rPr>
                <w:rFonts w:ascii="Tahoma" w:hAnsi="Tahoma" w:cs="Tahoma"/>
                <w:color w:val="000000"/>
                <w:sz w:val="18"/>
                <w:szCs w:val="18"/>
              </w:rPr>
              <w:t>4 horas ou menos</w:t>
            </w:r>
          </w:p>
          <w:p w:rsidR="00DB2D1E" w:rsidRPr="00765C3B" w:rsidRDefault="00DB2D1E" w:rsidP="00A1385C">
            <w:pPr>
              <w:pStyle w:val="ListBullet3"/>
              <w:numPr>
                <w:ilvl w:val="0"/>
                <w:numId w:val="59"/>
              </w:numPr>
              <w:spacing w:line="276" w:lineRule="auto"/>
              <w:rPr>
                <w:rFonts w:ascii="Tahoma" w:hAnsi="Tahoma" w:cs="Tahoma"/>
                <w:sz w:val="18"/>
                <w:szCs w:val="18"/>
              </w:rPr>
            </w:pPr>
            <w:r w:rsidRPr="00765C3B">
              <w:rPr>
                <w:rFonts w:ascii="Tahoma" w:hAnsi="Tahoma" w:cs="Tahoma"/>
                <w:color w:val="000000"/>
                <w:sz w:val="18"/>
                <w:szCs w:val="18"/>
              </w:rPr>
              <w:t>Esforço apenas durante o</w:t>
            </w:r>
            <w:r w:rsidR="00765C3B">
              <w:rPr>
                <w:rFonts w:ascii="Tahoma" w:hAnsi="Tahoma" w:cs="Tahoma"/>
                <w:color w:val="000000"/>
                <w:sz w:val="18"/>
                <w:szCs w:val="18"/>
              </w:rPr>
              <w:t> </w:t>
            </w:r>
            <w:r w:rsidRPr="00765C3B">
              <w:rPr>
                <w:rFonts w:ascii="Tahoma" w:hAnsi="Tahoma" w:cs="Tahoma"/>
                <w:color w:val="000000"/>
                <w:sz w:val="18"/>
                <w:szCs w:val="18"/>
              </w:rPr>
              <w:t>Horário Comercial</w:t>
            </w:r>
            <w:r w:rsidRPr="00765C3B">
              <w:rPr>
                <w:rFonts w:ascii="Tahoma" w:hAnsi="Tahoma" w:cs="Tahoma"/>
                <w:color w:val="000000"/>
                <w:sz w:val="18"/>
                <w:szCs w:val="18"/>
                <w:vertAlign w:val="superscript"/>
              </w:rPr>
              <w:t>1</w:t>
            </w:r>
            <w:r w:rsidRPr="00765C3B">
              <w:rPr>
                <w:rFonts w:ascii="Tahoma" w:hAnsi="Tahoma" w:cs="Tahoma"/>
                <w:color w:val="000000"/>
                <w:sz w:val="18"/>
                <w:szCs w:val="18"/>
              </w:rPr>
              <w:t xml:space="preserve"> </w:t>
            </w:r>
          </w:p>
          <w:p w:rsidR="00DB2D1E" w:rsidRPr="00765C3B"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765C3B" w:rsidRDefault="00DB2D1E" w:rsidP="00A1385C">
            <w:pPr>
              <w:pStyle w:val="ListBullet3"/>
              <w:numPr>
                <w:ilvl w:val="0"/>
                <w:numId w:val="60"/>
              </w:numPr>
              <w:spacing w:line="276" w:lineRule="auto"/>
              <w:rPr>
                <w:rFonts w:ascii="Tahoma" w:hAnsi="Tahoma" w:cs="Tahoma"/>
                <w:sz w:val="18"/>
                <w:szCs w:val="18"/>
              </w:rPr>
            </w:pPr>
            <w:r w:rsidRPr="00765C3B">
              <w:rPr>
                <w:rFonts w:ascii="Tahoma" w:hAnsi="Tahoma" w:cs="Tahoma"/>
                <w:color w:val="000000"/>
                <w:sz w:val="18"/>
                <w:szCs w:val="18"/>
              </w:rPr>
              <w:t>Informações de contato precisas sobre o proprietário do caso</w:t>
            </w:r>
          </w:p>
          <w:p w:rsidR="00DB2D1E" w:rsidRPr="00765C3B" w:rsidRDefault="00DB2D1E" w:rsidP="00A1385C">
            <w:pPr>
              <w:pStyle w:val="ListBullet3"/>
              <w:numPr>
                <w:ilvl w:val="0"/>
                <w:numId w:val="60"/>
              </w:numPr>
              <w:spacing w:line="276" w:lineRule="auto"/>
              <w:rPr>
                <w:rFonts w:ascii="Tahoma" w:hAnsi="Tahoma" w:cs="Tahoma"/>
                <w:color w:val="000000"/>
                <w:sz w:val="18"/>
                <w:szCs w:val="18"/>
              </w:rPr>
            </w:pPr>
            <w:r w:rsidRPr="00765C3B">
              <w:rPr>
                <w:rFonts w:ascii="Tahoma" w:hAnsi="Tahoma" w:cs="Tahoma"/>
                <w:color w:val="000000"/>
                <w:sz w:val="18"/>
                <w:szCs w:val="18"/>
              </w:rPr>
              <w:t>Resposta dentro de 24</w:t>
            </w:r>
            <w:r w:rsidR="00765C3B">
              <w:rPr>
                <w:rFonts w:ascii="Tahoma" w:hAnsi="Tahoma" w:cs="Tahoma"/>
                <w:color w:val="000000"/>
                <w:sz w:val="18"/>
                <w:szCs w:val="18"/>
              </w:rPr>
              <w:t> </w:t>
            </w:r>
            <w:r w:rsidRPr="00765C3B">
              <w:rPr>
                <w:rFonts w:ascii="Tahoma" w:hAnsi="Tahoma" w:cs="Tahoma"/>
                <w:color w:val="000000"/>
                <w:sz w:val="18"/>
                <w:szCs w:val="18"/>
              </w:rPr>
              <w:t>horas</w:t>
            </w:r>
          </w:p>
        </w:tc>
      </w:tr>
    </w:tbl>
    <w:p w:rsidR="00DB2D1E" w:rsidRPr="00765C3B" w:rsidRDefault="00DB2D1E" w:rsidP="00DB2D1E">
      <w:pPr>
        <w:pStyle w:val="tableclose"/>
        <w:rPr>
          <w:rFonts w:ascii="Tahoma" w:hAnsi="Tahoma" w:cs="Tahoma"/>
          <w:sz w:val="16"/>
          <w:szCs w:val="16"/>
        </w:rPr>
      </w:pPr>
      <w:r w:rsidRPr="00765C3B">
        <w:rPr>
          <w:rFonts w:ascii="Tahoma" w:hAnsi="Tahoma" w:cs="Tahoma"/>
          <w:i/>
          <w:color w:val="000000"/>
          <w:sz w:val="16"/>
          <w:szCs w:val="16"/>
          <w:vertAlign w:val="superscript"/>
        </w:rPr>
        <w:t>1</w:t>
      </w:r>
      <w:r w:rsidRPr="00765C3B">
        <w:rPr>
          <w:rFonts w:ascii="Tahoma" w:hAnsi="Tahoma" w:cs="Tahoma"/>
          <w:i/>
          <w:color w:val="000000"/>
          <w:sz w:val="16"/>
          <w:szCs w:val="16"/>
        </w:rPr>
        <w:t xml:space="preserve"> O Horário Comercial é definido localmente.</w:t>
      </w:r>
    </w:p>
    <w:p w:rsidR="00DB2D1E" w:rsidRPr="00765C3B" w:rsidRDefault="00DB2D1E" w:rsidP="00F42FB8">
      <w:pPr>
        <w:pStyle w:val="tableclose"/>
        <w:rPr>
          <w:rFonts w:ascii="Tahoma" w:hAnsi="Tahoma" w:cs="Tahoma"/>
          <w:sz w:val="16"/>
          <w:szCs w:val="16"/>
        </w:rPr>
      </w:pPr>
      <w:r w:rsidRPr="00765C3B">
        <w:rPr>
          <w:rFonts w:ascii="Tahoma" w:hAnsi="Tahoma" w:cs="Tahoma"/>
          <w:i/>
          <w:color w:val="000000"/>
          <w:sz w:val="16"/>
          <w:szCs w:val="16"/>
          <w:vertAlign w:val="superscript"/>
        </w:rPr>
        <w:t>2</w:t>
      </w:r>
      <w:r w:rsidRPr="00765C3B">
        <w:rPr>
          <w:rFonts w:ascii="Tahoma" w:hAnsi="Tahoma" w:cs="Tahoma"/>
          <w:i/>
          <w:color w:val="000000"/>
          <w:sz w:val="16"/>
          <w:szCs w:val="16"/>
        </w:rPr>
        <w:t xml:space="preserve"> Pode ser necessário reduzir o nível de severidade se o cliente não puder fornecer os recursos ou as respostas adequadas para darmos continuidade aos esforços de resolução do problema.</w:t>
      </w:r>
    </w:p>
    <w:p w:rsidR="00DB2D1E" w:rsidRPr="004B208C" w:rsidRDefault="00DB2D1E" w:rsidP="00F42FB8">
      <w:pPr>
        <w:rPr>
          <w:rFonts w:cs="Tahoma"/>
        </w:rPr>
      </w:pPr>
    </w:p>
    <w:p w:rsidR="00DB2D1E" w:rsidRPr="004B208C" w:rsidRDefault="00DB2D1E" w:rsidP="00DB2D1E">
      <w:pPr>
        <w:spacing w:after="120"/>
        <w:rPr>
          <w:rFonts w:cs="Tahoma"/>
        </w:rPr>
      </w:pPr>
      <w:r w:rsidRPr="004B208C">
        <w:rPr>
          <w:rFonts w:cs="Tahoma"/>
          <w:b/>
          <w:bCs/>
          <w:color w:val="000000"/>
          <w:szCs w:val="18"/>
        </w:rPr>
        <w:lastRenderedPageBreak/>
        <w:t>Os Serviços de Informações</w:t>
      </w:r>
      <w:r w:rsidRPr="004B208C">
        <w:rPr>
          <w:rFonts w:cs="Tahoma"/>
          <w:color w:val="000000"/>
          <w:szCs w:val="18"/>
        </w:rPr>
        <w:t xml:space="preserve"> incluem o acesso ao site Premier e a webcasts de suporte regularmente agendados conduzidos por gerentes de programas, desenvolvedores e profissionais da Microsoft, que fornecem informações importantes sobre a tecnologia da Microsoft.</w:t>
      </w:r>
    </w:p>
    <w:p w:rsidR="00DB2D1E" w:rsidRPr="004B208C" w:rsidRDefault="00DB2D1E" w:rsidP="00DB2D1E">
      <w:pPr>
        <w:rPr>
          <w:rFonts w:cs="Tahoma"/>
        </w:rPr>
      </w:pPr>
      <w:r w:rsidRPr="004B208C">
        <w:rPr>
          <w:rFonts w:cs="Tahoma"/>
          <w:b/>
          <w:bCs/>
          <w:color w:val="000000"/>
          <w:szCs w:val="18"/>
        </w:rPr>
        <w:t xml:space="preserve">As Horas Complementares </w:t>
      </w:r>
      <w:r w:rsidRPr="004B208C">
        <w:rPr>
          <w:rFonts w:cs="Tahoma"/>
          <w:color w:val="000000"/>
          <w:szCs w:val="18"/>
        </w:rPr>
        <w:t xml:space="preserve">podem ser usadas para a Assistência de Suporte ou o Suporte para Resolução de Problemas. </w:t>
      </w:r>
    </w:p>
    <w:p w:rsidR="00DB2D1E" w:rsidRPr="004B208C" w:rsidRDefault="00DB2D1E" w:rsidP="00DB2D1E">
      <w:pPr>
        <w:jc w:val="both"/>
        <w:rPr>
          <w:rFonts w:cs="Tahoma"/>
        </w:rPr>
      </w:pPr>
    </w:p>
    <w:p w:rsidR="00DC0853" w:rsidRPr="004B208C" w:rsidRDefault="00DC0853" w:rsidP="00DC0853">
      <w:pPr>
        <w:spacing w:after="60"/>
        <w:rPr>
          <w:rFonts w:cs="Tahoma"/>
        </w:rPr>
      </w:pPr>
      <w:r w:rsidRPr="004B208C">
        <w:rPr>
          <w:rFonts w:cs="Tahoma"/>
          <w:b/>
          <w:bCs/>
          <w:color w:val="000000"/>
          <w:szCs w:val="18"/>
        </w:rPr>
        <w:t>Regras Comerciais Associadas</w:t>
      </w:r>
    </w:p>
    <w:p w:rsidR="00DB2D1E" w:rsidRPr="004B208C" w:rsidRDefault="00DB2D1E" w:rsidP="00FD27BC">
      <w:pPr>
        <w:rPr>
          <w:rFonts w:cs="Tahoma"/>
        </w:rPr>
      </w:pPr>
      <w:r w:rsidRPr="004B208C">
        <w:rPr>
          <w:rFonts w:cs="Tahoma"/>
          <w:color w:val="000000"/>
          <w:szCs w:val="18"/>
        </w:rPr>
        <w:t>Todos os Serviços oferecem suporte a Produtos da Microsoft lançados comercialmente e disponível de maneira geral (a menos que especificamente excluído do site Microsoft Premier Online ou do site de Ciclo de Vida de Suporte da Microsoft).</w:t>
      </w:r>
      <w:r w:rsidR="00172F11">
        <w:rPr>
          <w:rFonts w:cs="Tahoma"/>
          <w:color w:val="000000"/>
          <w:szCs w:val="18"/>
        </w:rPr>
        <w:t xml:space="preserve"> </w:t>
      </w:r>
      <w:r w:rsidRPr="004B208C">
        <w:rPr>
          <w:rFonts w:cs="Tahoma"/>
          <w:color w:val="000000"/>
          <w:szCs w:val="18"/>
        </w:rPr>
        <w:t>Geralmente, os Serviços serão cobrados de acordo com as horas, serão fornecidos de maneira remota e</w:t>
      </w:r>
      <w:r w:rsidR="00765C3B">
        <w:rPr>
          <w:rFonts w:cs="Tahoma"/>
          <w:color w:val="000000"/>
          <w:szCs w:val="18"/>
        </w:rPr>
        <w:t> </w:t>
      </w:r>
      <w:r w:rsidRPr="004B208C">
        <w:rPr>
          <w:rFonts w:cs="Tahoma"/>
          <w:color w:val="000000"/>
          <w:szCs w:val="18"/>
        </w:rPr>
        <w:t>em inglês (a menos que outro idioma esteja disponível).</w:t>
      </w:r>
      <w:r w:rsidR="00172F11">
        <w:rPr>
          <w:rFonts w:cs="Tahoma"/>
          <w:color w:val="000000"/>
          <w:szCs w:val="18"/>
        </w:rPr>
        <w:t xml:space="preserve"> </w:t>
      </w:r>
      <w:r w:rsidRPr="004B208C">
        <w:rPr>
          <w:rFonts w:cs="Tahoma"/>
          <w:color w:val="000000"/>
          <w:szCs w:val="18"/>
        </w:rPr>
        <w:t>Os Serviços serão fornecidos no país no qual o contrato VL</w:t>
      </w:r>
      <w:r w:rsidR="00765C3B">
        <w:rPr>
          <w:rFonts w:cs="Tahoma"/>
          <w:color w:val="000000"/>
          <w:szCs w:val="18"/>
        </w:rPr>
        <w:t> </w:t>
      </w:r>
      <w:r w:rsidRPr="004B208C">
        <w:rPr>
          <w:rFonts w:cs="Tahoma"/>
          <w:color w:val="000000"/>
          <w:szCs w:val="18"/>
        </w:rPr>
        <w:t>foi assinado. As visitas no local não são pagas com antecedência e estão sujeitas à disponibilidade do recurso.</w:t>
      </w:r>
      <w:r w:rsidR="00172F11">
        <w:rPr>
          <w:rFonts w:cs="Tahoma"/>
          <w:color w:val="000000"/>
          <w:szCs w:val="18"/>
        </w:rPr>
        <w:t xml:space="preserve"> </w:t>
      </w:r>
      <w:r w:rsidRPr="004B208C">
        <w:rPr>
          <w:rFonts w:cs="Tahoma"/>
          <w:color w:val="000000"/>
          <w:szCs w:val="18"/>
        </w:rPr>
        <w:t>Todos os Serviços que não forem consumidos em uma base anual serão perdidos.</w:t>
      </w:r>
      <w:r w:rsidR="00172F11">
        <w:rPr>
          <w:rFonts w:cs="Tahoma"/>
          <w:color w:val="000000"/>
          <w:szCs w:val="18"/>
        </w:rPr>
        <w:t xml:space="preserve"> </w:t>
      </w:r>
      <w:r w:rsidRPr="004B208C">
        <w:rPr>
          <w:rFonts w:cs="Tahoma"/>
          <w:color w:val="000000"/>
          <w:szCs w:val="18"/>
        </w:rPr>
        <w:t>Mediante solicitação do cliente, nós podemos acessar o sistema dele por meio de conexão remota para analisar o problema.</w:t>
      </w:r>
      <w:r w:rsidR="00172F11">
        <w:rPr>
          <w:rFonts w:cs="Tahoma"/>
          <w:color w:val="000000"/>
          <w:szCs w:val="18"/>
        </w:rPr>
        <w:t xml:space="preserve"> </w:t>
      </w:r>
      <w:r w:rsidRPr="004B208C">
        <w:rPr>
          <w:rFonts w:cs="Tahoma"/>
          <w:color w:val="000000"/>
          <w:szCs w:val="18"/>
        </w:rPr>
        <w:t>O cliente deve ter acesso à Internet para poder aproveitar os serviços com base na Internet.</w:t>
      </w:r>
    </w:p>
    <w:p w:rsidR="00DB2D1E" w:rsidRPr="004B208C" w:rsidRDefault="00DB2D1E" w:rsidP="00DB2D1E">
      <w:pPr>
        <w:jc w:val="both"/>
        <w:rPr>
          <w:rFonts w:cs="Tahoma"/>
        </w:rPr>
      </w:pPr>
    </w:p>
    <w:p w:rsidR="00596386" w:rsidRPr="004B208C" w:rsidRDefault="00596386" w:rsidP="00596386">
      <w:pPr>
        <w:rPr>
          <w:rFonts w:cs="Tahoma"/>
        </w:rPr>
      </w:pPr>
      <w:r w:rsidRPr="004B208C">
        <w:rPr>
          <w:rFonts w:cs="Tahoma"/>
          <w:b/>
          <w:sz w:val="24"/>
          <w:szCs w:val="24"/>
        </w:rPr>
        <w:t>Ofertas de Suporte do Microsoft Windows Azure</w:t>
      </w:r>
    </w:p>
    <w:p w:rsidR="00596386" w:rsidRPr="004B208C" w:rsidRDefault="00596386" w:rsidP="00596386">
      <w:pPr>
        <w:rPr>
          <w:rFonts w:cs="Tahoma"/>
        </w:rPr>
      </w:pPr>
    </w:p>
    <w:p w:rsidR="00596386" w:rsidRPr="004B208C" w:rsidRDefault="00596386" w:rsidP="00596386">
      <w:pPr>
        <w:jc w:val="both"/>
        <w:rPr>
          <w:rFonts w:cs="Tahoma"/>
        </w:rPr>
      </w:pPr>
      <w:r w:rsidRPr="004B208C">
        <w:rPr>
          <w:rFonts w:cs="Tahoma"/>
          <w:color w:val="000000"/>
          <w:szCs w:val="18"/>
        </w:rPr>
        <w:t xml:space="preserve">A menos que seja especificado de outra forma abaixo, os Serviços de suporte do Windows Azure estão disponíveis para o Windows Azure. </w:t>
      </w:r>
    </w:p>
    <w:p w:rsidR="00596386" w:rsidRPr="004B208C" w:rsidRDefault="00596386" w:rsidP="00596386">
      <w:pPr>
        <w:tabs>
          <w:tab w:val="left" w:pos="360"/>
        </w:tabs>
        <w:jc w:val="both"/>
        <w:rPr>
          <w:rFonts w:cs="Tahoma"/>
        </w:rPr>
      </w:pPr>
    </w:p>
    <w:p w:rsidR="00596386" w:rsidRPr="004B208C" w:rsidRDefault="00596386" w:rsidP="00596386">
      <w:pPr>
        <w:tabs>
          <w:tab w:val="left" w:pos="360"/>
        </w:tabs>
        <w:jc w:val="both"/>
        <w:rPr>
          <w:rFonts w:cs="Tahoma"/>
        </w:rPr>
      </w:pPr>
      <w:r w:rsidRPr="004B208C">
        <w:rPr>
          <w:rFonts w:cs="Tahoma"/>
          <w:szCs w:val="18"/>
        </w:rPr>
        <w:t>Os Serviços serão fornecidos pela equipe de Suporte do Windows Azure, que é composta pelos especialistas do Windows Azure que responderão às solicitações de suporte de um cliente para Windows Azure</w:t>
      </w:r>
      <w:r w:rsidRPr="004B208C">
        <w:rPr>
          <w:rFonts w:cs="Tahoma"/>
          <w:snapToGrid w:val="0"/>
          <w:szCs w:val="18"/>
        </w:rPr>
        <w:t xml:space="preserve">. Os clientes recebem uma experiência de suporte elevada com </w:t>
      </w:r>
      <w:r w:rsidRPr="004B208C">
        <w:rPr>
          <w:rFonts w:cs="Tahoma"/>
          <w:szCs w:val="18"/>
        </w:rPr>
        <w:t>suporte disponível 24 horas por dia, 7 dias por semana e apenas em inglês.</w:t>
      </w:r>
      <w:r w:rsidR="00172F11">
        <w:rPr>
          <w:rFonts w:cs="Tahoma"/>
          <w:szCs w:val="18"/>
        </w:rPr>
        <w:t xml:space="preserve"> </w:t>
      </w:r>
      <w:r w:rsidRPr="004B208C">
        <w:rPr>
          <w:rFonts w:cs="Tahoma"/>
          <w:szCs w:val="18"/>
        </w:rPr>
        <w:t>O suporte a outros idiomas (</w:t>
      </w:r>
      <w:hyperlink r:id="rId30" w:history="1">
        <w:r w:rsidR="00765C3B">
          <w:rPr>
            <w:rStyle w:val="Hyperlink"/>
            <w:szCs w:val="18"/>
          </w:rPr>
          <w:t>www.windowsazure.com/en-us/support/plans/</w:t>
        </w:r>
      </w:hyperlink>
      <w:r w:rsidRPr="004B208C">
        <w:rPr>
          <w:rFonts w:cs="Tahoma"/>
          <w:szCs w:val="18"/>
        </w:rPr>
        <w:t>) está disponível apenas durante o horário comercial.</w:t>
      </w:r>
      <w:r w:rsidR="00172F11">
        <w:rPr>
          <w:rFonts w:cs="Tahoma"/>
          <w:szCs w:val="18"/>
        </w:rPr>
        <w:t xml:space="preserve"> </w:t>
      </w:r>
    </w:p>
    <w:p w:rsidR="00596386" w:rsidRPr="004B208C" w:rsidRDefault="00596386" w:rsidP="00596386">
      <w:pPr>
        <w:tabs>
          <w:tab w:val="left" w:pos="360"/>
        </w:tabs>
        <w:jc w:val="both"/>
        <w:rPr>
          <w:rFonts w:cs="Tahoma"/>
        </w:rPr>
      </w:pPr>
    </w:p>
    <w:p w:rsidR="00596386" w:rsidRPr="004B208C" w:rsidRDefault="00596386" w:rsidP="00596386">
      <w:pPr>
        <w:tabs>
          <w:tab w:val="left" w:pos="360"/>
        </w:tabs>
        <w:jc w:val="both"/>
        <w:rPr>
          <w:rFonts w:cs="Tahoma"/>
        </w:rPr>
      </w:pPr>
      <w:r w:rsidRPr="004B208C">
        <w:rPr>
          <w:rFonts w:cs="Tahoma"/>
          <w:szCs w:val="18"/>
        </w:rPr>
        <w:t>“Incidente” significa uma solicitação de suporte referente à falha ou interrupção e conserto (fix) assistida para um Problema Único de Suporte.</w:t>
      </w:r>
      <w:r w:rsidR="00172F11">
        <w:rPr>
          <w:rFonts w:cs="Tahoma"/>
          <w:szCs w:val="18"/>
        </w:rPr>
        <w:t xml:space="preserve"> </w:t>
      </w:r>
      <w:r w:rsidRPr="004B208C">
        <w:rPr>
          <w:rFonts w:cs="Tahoma"/>
          <w:szCs w:val="18"/>
        </w:rPr>
        <w:t>“Problema Único de Suporte” significa um problema que não pode ser subdividido em problemas subordinados.</w:t>
      </w:r>
      <w:r w:rsidR="00172F11">
        <w:rPr>
          <w:rFonts w:cs="Tahoma"/>
          <w:szCs w:val="18"/>
        </w:rPr>
        <w:t xml:space="preserve"> </w:t>
      </w:r>
      <w:r w:rsidRPr="004B208C">
        <w:rPr>
          <w:rFonts w:cs="Tahoma"/>
          <w:szCs w:val="18"/>
        </w:rPr>
        <w:t>Se o problema consistir em problemas subordinados, cada um será considerado um Incidente separado.</w:t>
      </w:r>
      <w:r w:rsidR="00172F11">
        <w:rPr>
          <w:rFonts w:cs="Tahoma"/>
          <w:szCs w:val="18"/>
        </w:rPr>
        <w:t xml:space="preserve"> </w:t>
      </w:r>
      <w:r w:rsidRPr="004B208C">
        <w:rPr>
          <w:rFonts w:cs="Tahoma"/>
          <w:szCs w:val="18"/>
        </w:rPr>
        <w:t>Incidentes incluem o valor comercialmente razoável dos serviços necessários para solucionar o</w:t>
      </w:r>
      <w:r w:rsidR="00765C3B">
        <w:rPr>
          <w:rFonts w:cs="Tahoma"/>
          <w:szCs w:val="18"/>
        </w:rPr>
        <w:t> </w:t>
      </w:r>
      <w:r w:rsidRPr="004B208C">
        <w:rPr>
          <w:rFonts w:cs="Tahoma"/>
          <w:szCs w:val="18"/>
        </w:rPr>
        <w:t>problema e auxiliar a resolver o problema de suporte.</w:t>
      </w:r>
      <w:r w:rsidR="00172F11">
        <w:rPr>
          <w:rFonts w:cs="Tahoma"/>
          <w:szCs w:val="18"/>
        </w:rPr>
        <w:t xml:space="preserve"> </w:t>
      </w:r>
      <w:r w:rsidRPr="004B208C">
        <w:rPr>
          <w:rFonts w:cs="Tahoma"/>
          <w:szCs w:val="18"/>
        </w:rPr>
        <w:t xml:space="preserve">Incidentes podem ser enviados por meio do site de suporte online assistido em </w:t>
      </w:r>
      <w:hyperlink r:id="rId31" w:history="1">
        <w:r w:rsidR="00765C3B" w:rsidRPr="001B7E60">
          <w:rPr>
            <w:rStyle w:val="Hyperlink"/>
            <w:rFonts w:cs="Arial"/>
            <w:szCs w:val="18"/>
          </w:rPr>
          <w:t>www.windowsazure.com</w:t>
        </w:r>
      </w:hyperlink>
      <w:r w:rsidRPr="004B208C">
        <w:rPr>
          <w:rFonts w:cs="Tahoma"/>
          <w:szCs w:val="18"/>
        </w:rPr>
        <w:t>.</w:t>
      </w:r>
      <w:r w:rsidR="00172F11">
        <w:rPr>
          <w:rFonts w:cs="Tahoma"/>
          <w:szCs w:val="18"/>
        </w:rPr>
        <w:t xml:space="preserve"> </w:t>
      </w:r>
    </w:p>
    <w:p w:rsidR="00596386" w:rsidRPr="004B208C" w:rsidRDefault="00596386" w:rsidP="00596386">
      <w:pPr>
        <w:tabs>
          <w:tab w:val="left" w:pos="360"/>
        </w:tabs>
        <w:jc w:val="both"/>
        <w:rPr>
          <w:rFonts w:cs="Tahoma"/>
        </w:rPr>
      </w:pPr>
    </w:p>
    <w:p w:rsidR="00596386" w:rsidRPr="004B208C" w:rsidRDefault="00596386" w:rsidP="00596386">
      <w:pPr>
        <w:tabs>
          <w:tab w:val="left" w:pos="360"/>
        </w:tabs>
        <w:jc w:val="both"/>
        <w:rPr>
          <w:rFonts w:cs="Tahoma"/>
        </w:rPr>
      </w:pPr>
      <w:r w:rsidRPr="004B208C">
        <w:rPr>
          <w:rFonts w:cs="Tahoma"/>
          <w:szCs w:val="18"/>
        </w:rPr>
        <w:t>Os Serviços serão fornecidos em inglês, salvo acordo contrário entre o cliente e a Microsoft por escrito. Serviços adicionais, inclusive serviços de suporte técnico, podem estar disponíveis para o Windows Azure mediante um contrato separado firmado entre as partes.</w:t>
      </w:r>
      <w:r w:rsidR="00172F11">
        <w:rPr>
          <w:rFonts w:cs="Tahoma"/>
          <w:szCs w:val="18"/>
        </w:rPr>
        <w:t xml:space="preserve"> </w:t>
      </w:r>
      <w:r w:rsidRPr="004B208C">
        <w:rPr>
          <w:rFonts w:cs="Tahoma"/>
          <w:szCs w:val="18"/>
        </w:rPr>
        <w:t>Esses serviços adicionais serão regidos pelos termos do contrato separado.</w:t>
      </w:r>
    </w:p>
    <w:p w:rsidR="00596386" w:rsidRPr="00765C3B" w:rsidRDefault="00596386" w:rsidP="00596386">
      <w:pPr>
        <w:pStyle w:val="normal1"/>
        <w:jc w:val="both"/>
        <w:rPr>
          <w:rFonts w:ascii="Tahoma" w:hAnsi="Tahoma" w:cs="Tahoma"/>
          <w:sz w:val="18"/>
          <w:szCs w:val="18"/>
        </w:rPr>
      </w:pPr>
    </w:p>
    <w:p w:rsidR="00596386" w:rsidRPr="004B208C" w:rsidRDefault="00596386" w:rsidP="00596386">
      <w:pPr>
        <w:widowControl w:val="0"/>
        <w:tabs>
          <w:tab w:val="left" w:pos="720"/>
          <w:tab w:val="left" w:pos="1170"/>
        </w:tabs>
        <w:rPr>
          <w:rFonts w:cs="Tahoma"/>
        </w:rPr>
      </w:pPr>
      <w:r w:rsidRPr="004B208C">
        <w:rPr>
          <w:rFonts w:cs="Tahoma"/>
          <w:b/>
          <w:bCs/>
          <w:sz w:val="24"/>
          <w:szCs w:val="18"/>
        </w:rPr>
        <w:t>Suporte Profissional Direto para Windows Azure</w:t>
      </w:r>
    </w:p>
    <w:p w:rsidR="001B7453" w:rsidRPr="004B208C" w:rsidRDefault="001B7453" w:rsidP="006E7D7A">
      <w:pPr>
        <w:tabs>
          <w:tab w:val="left" w:pos="360"/>
        </w:tabs>
        <w:jc w:val="both"/>
        <w:rPr>
          <w:rFonts w:cs="Tahoma"/>
        </w:rPr>
      </w:pPr>
    </w:p>
    <w:p w:rsidR="00596386" w:rsidRPr="004B208C" w:rsidRDefault="00596386" w:rsidP="00596386">
      <w:pPr>
        <w:tabs>
          <w:tab w:val="left" w:pos="360"/>
        </w:tabs>
        <w:jc w:val="both"/>
        <w:rPr>
          <w:rFonts w:cs="Tahoma"/>
        </w:rPr>
      </w:pPr>
      <w:r w:rsidRPr="004B208C">
        <w:rPr>
          <w:rFonts w:cs="Tahoma"/>
          <w:color w:val="000000"/>
          <w:szCs w:val="18"/>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172F11">
        <w:rPr>
          <w:rFonts w:cs="Tahoma"/>
          <w:color w:val="000000"/>
          <w:szCs w:val="18"/>
        </w:rPr>
        <w:t xml:space="preserve"> </w:t>
      </w:r>
      <w:r w:rsidRPr="004B208C">
        <w:rPr>
          <w:rFonts w:cs="Tahoma"/>
          <w:color w:val="000000"/>
          <w:szCs w:val="18"/>
        </w:rPr>
        <w:t>A gravidade do incidente determinará os níveis de resposta na Microsoft, e o tempo estimado de resposta é definido na tabela a seguir.</w:t>
      </w:r>
      <w:r w:rsidR="00172F11">
        <w:rPr>
          <w:rFonts w:cs="Tahoma"/>
          <w:color w:val="000000"/>
          <w:szCs w:val="18"/>
        </w:rPr>
        <w:t xml:space="preserve"> </w:t>
      </w:r>
      <w:r w:rsidRPr="004B208C">
        <w:rPr>
          <w:rFonts w:cs="Tahoma"/>
          <w:color w:val="000000"/>
          <w:szCs w:val="18"/>
        </w:rPr>
        <w:t>A capacidade de a Microsoft prestar os serviços ao cliente depende da inteira e pontual cooperação desta, bem como da precisão e da integridade das informações fornecidas ao cliente.</w:t>
      </w:r>
    </w:p>
    <w:p w:rsidR="000D747C" w:rsidRPr="004B208C" w:rsidRDefault="000D747C" w:rsidP="00596386">
      <w:pPr>
        <w:tabs>
          <w:tab w:val="left" w:pos="360"/>
        </w:tabs>
        <w:jc w:val="both"/>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938"/>
        <w:gridCol w:w="2941"/>
        <w:gridCol w:w="3314"/>
      </w:tblGrid>
      <w:tr w:rsidR="00596386" w:rsidRPr="004B208C" w:rsidTr="00765C3B">
        <w:trPr>
          <w:tblHeader/>
        </w:trPr>
        <w:tc>
          <w:tcPr>
            <w:tcW w:w="1347" w:type="dxa"/>
            <w:shd w:val="clear" w:color="auto" w:fill="FABF8F"/>
          </w:tcPr>
          <w:p w:rsidR="00596386" w:rsidRPr="004B208C" w:rsidRDefault="00596386" w:rsidP="0037031E">
            <w:pPr>
              <w:jc w:val="center"/>
              <w:rPr>
                <w:rFonts w:cs="Tahoma"/>
                <w:b/>
                <w:bCs/>
                <w:color w:val="000000"/>
                <w:sz w:val="20"/>
                <w:szCs w:val="18"/>
              </w:rPr>
            </w:pPr>
            <w:r w:rsidRPr="004B208C">
              <w:rPr>
                <w:rFonts w:cs="Tahoma"/>
                <w:b/>
                <w:bCs/>
                <w:color w:val="000000"/>
                <w:sz w:val="20"/>
                <w:szCs w:val="18"/>
              </w:rPr>
              <w:t>Severidade</w:t>
            </w:r>
          </w:p>
        </w:tc>
        <w:tc>
          <w:tcPr>
            <w:tcW w:w="1938" w:type="dxa"/>
            <w:shd w:val="clear" w:color="auto" w:fill="FABF8F"/>
          </w:tcPr>
          <w:p w:rsidR="00596386" w:rsidRPr="004B208C" w:rsidRDefault="00596386" w:rsidP="0037031E">
            <w:pPr>
              <w:jc w:val="center"/>
              <w:rPr>
                <w:rFonts w:cs="Tahoma"/>
                <w:b/>
                <w:bCs/>
                <w:color w:val="000000"/>
                <w:sz w:val="20"/>
                <w:szCs w:val="18"/>
              </w:rPr>
            </w:pPr>
            <w:r w:rsidRPr="004B208C">
              <w:rPr>
                <w:rFonts w:cs="Tahoma"/>
                <w:b/>
                <w:bCs/>
                <w:color w:val="000000"/>
                <w:sz w:val="20"/>
                <w:szCs w:val="18"/>
              </w:rPr>
              <w:t>Contato</w:t>
            </w:r>
          </w:p>
        </w:tc>
        <w:tc>
          <w:tcPr>
            <w:tcW w:w="2941" w:type="dxa"/>
            <w:shd w:val="clear" w:color="auto" w:fill="FABF8F"/>
          </w:tcPr>
          <w:p w:rsidR="00596386" w:rsidRPr="004B208C" w:rsidRDefault="00596386" w:rsidP="0037031E">
            <w:pPr>
              <w:jc w:val="center"/>
              <w:rPr>
                <w:rFonts w:cs="Tahoma"/>
                <w:b/>
                <w:bCs/>
                <w:color w:val="000000"/>
                <w:sz w:val="20"/>
                <w:szCs w:val="18"/>
              </w:rPr>
            </w:pPr>
            <w:r w:rsidRPr="004B208C">
              <w:rPr>
                <w:rFonts w:cs="Tahoma"/>
                <w:b/>
                <w:bCs/>
                <w:color w:val="000000"/>
                <w:sz w:val="20"/>
                <w:szCs w:val="18"/>
              </w:rPr>
              <w:t>Situação do Cliente</w:t>
            </w:r>
          </w:p>
        </w:tc>
        <w:tc>
          <w:tcPr>
            <w:tcW w:w="3314" w:type="dxa"/>
            <w:shd w:val="clear" w:color="auto" w:fill="FABF8F"/>
          </w:tcPr>
          <w:p w:rsidR="00596386" w:rsidRPr="004B208C" w:rsidRDefault="00596386" w:rsidP="0037031E">
            <w:pPr>
              <w:jc w:val="center"/>
              <w:rPr>
                <w:rFonts w:cs="Tahoma"/>
                <w:b/>
                <w:bCs/>
                <w:color w:val="000000"/>
                <w:sz w:val="20"/>
                <w:szCs w:val="18"/>
              </w:rPr>
            </w:pPr>
            <w:r w:rsidRPr="004B208C">
              <w:rPr>
                <w:rFonts w:cs="Tahoma"/>
                <w:b/>
                <w:bCs/>
                <w:color w:val="000000"/>
                <w:sz w:val="20"/>
                <w:szCs w:val="18"/>
              </w:rPr>
              <w:t>Resposta Esperada da Microsoft</w:t>
            </w:r>
          </w:p>
        </w:tc>
      </w:tr>
      <w:tr w:rsidR="00596386" w:rsidRPr="004B208C" w:rsidTr="00765C3B">
        <w:tc>
          <w:tcPr>
            <w:tcW w:w="1347" w:type="dxa"/>
          </w:tcPr>
          <w:p w:rsidR="00596386" w:rsidRPr="004B208C" w:rsidRDefault="00596386" w:rsidP="00647923">
            <w:pPr>
              <w:spacing w:after="60" w:line="240" w:lineRule="atLeast"/>
              <w:jc w:val="center"/>
              <w:rPr>
                <w:rFonts w:cs="Tahoma"/>
                <w:szCs w:val="18"/>
              </w:rPr>
            </w:pPr>
            <w:r w:rsidRPr="004B208C">
              <w:rPr>
                <w:rFonts w:cs="Tahoma"/>
                <w:szCs w:val="18"/>
              </w:rPr>
              <w:t>A</w:t>
            </w:r>
          </w:p>
        </w:tc>
        <w:tc>
          <w:tcPr>
            <w:tcW w:w="1938" w:type="dxa"/>
          </w:tcPr>
          <w:p w:rsidR="00596386" w:rsidRPr="004B208C" w:rsidRDefault="00596386" w:rsidP="00647923">
            <w:pPr>
              <w:spacing w:after="60" w:line="240" w:lineRule="atLeast"/>
              <w:jc w:val="center"/>
              <w:rPr>
                <w:rFonts w:cs="Tahoma"/>
                <w:szCs w:val="18"/>
              </w:rPr>
            </w:pPr>
            <w:r w:rsidRPr="004B208C">
              <w:rPr>
                <w:rFonts w:cs="Tahoma"/>
                <w:szCs w:val="18"/>
              </w:rPr>
              <w:t>Solicitação pela Web</w:t>
            </w:r>
          </w:p>
        </w:tc>
        <w:tc>
          <w:tcPr>
            <w:tcW w:w="2941" w:type="dxa"/>
          </w:tcPr>
          <w:p w:rsidR="00596386" w:rsidRPr="004B208C" w:rsidRDefault="00596386" w:rsidP="00647923">
            <w:pPr>
              <w:spacing w:after="60" w:line="240" w:lineRule="atLeast"/>
              <w:rPr>
                <w:rFonts w:cs="Tahoma"/>
              </w:rPr>
            </w:pPr>
            <w:r w:rsidRPr="004B208C">
              <w:rPr>
                <w:rFonts w:cs="Tahoma"/>
                <w:szCs w:val="18"/>
              </w:rPr>
              <w:t>Impacto crítico nos negócios:</w:t>
            </w:r>
          </w:p>
          <w:p w:rsidR="00596386" w:rsidRPr="004B208C" w:rsidRDefault="00596386" w:rsidP="00647923">
            <w:pPr>
              <w:spacing w:after="60" w:line="240" w:lineRule="atLeast"/>
              <w:rPr>
                <w:rFonts w:cs="Tahoma"/>
              </w:rPr>
            </w:pPr>
            <w:r w:rsidRPr="004B208C">
              <w:rPr>
                <w:rFonts w:cs="Tahoma"/>
                <w:szCs w:val="18"/>
              </w:rPr>
              <w:t>Perda ou degradação significativa de serviços (aplicativo inativo)</w:t>
            </w:r>
          </w:p>
          <w:p w:rsidR="00596386" w:rsidRPr="004B208C" w:rsidRDefault="00596386" w:rsidP="00647923">
            <w:pPr>
              <w:spacing w:after="60" w:line="240" w:lineRule="atLeast"/>
              <w:rPr>
                <w:rFonts w:cs="Tahoma"/>
                <w:szCs w:val="18"/>
              </w:rPr>
            </w:pPr>
            <w:r w:rsidRPr="004B208C">
              <w:rPr>
                <w:rFonts w:cs="Tahoma"/>
                <w:szCs w:val="18"/>
              </w:rPr>
              <w:t>Necessita de atenção em 1 hora</w:t>
            </w:r>
          </w:p>
        </w:tc>
        <w:tc>
          <w:tcPr>
            <w:tcW w:w="3314" w:type="dxa"/>
          </w:tcPr>
          <w:p w:rsidR="00596386" w:rsidRPr="004B208C" w:rsidRDefault="00596386" w:rsidP="00647923">
            <w:pPr>
              <w:spacing w:after="60" w:line="240" w:lineRule="atLeast"/>
              <w:rPr>
                <w:rFonts w:cs="Tahoma"/>
              </w:rPr>
            </w:pPr>
            <w:r w:rsidRPr="004B208C">
              <w:rPr>
                <w:rFonts w:cs="Tahoma"/>
                <w:szCs w:val="18"/>
              </w:rPr>
              <w:t>1</w:t>
            </w:r>
            <w:r w:rsidRPr="004B208C">
              <w:rPr>
                <w:rFonts w:cs="Tahoma"/>
                <w:szCs w:val="18"/>
                <w:vertAlign w:val="superscript"/>
              </w:rPr>
              <w:t>ª</w:t>
            </w:r>
            <w:r w:rsidRPr="004B208C">
              <w:rPr>
                <w:rFonts w:cs="Tahoma"/>
                <w:szCs w:val="18"/>
              </w:rPr>
              <w:t xml:space="preserve"> resposta em 1 hora ou menos</w:t>
            </w:r>
          </w:p>
          <w:p w:rsidR="00596386" w:rsidRPr="004B208C" w:rsidRDefault="00596386" w:rsidP="00647923">
            <w:pPr>
              <w:spacing w:after="60" w:line="240" w:lineRule="atLeast"/>
              <w:rPr>
                <w:rFonts w:cs="Tahoma"/>
                <w:szCs w:val="18"/>
              </w:rPr>
            </w:pPr>
          </w:p>
        </w:tc>
      </w:tr>
      <w:tr w:rsidR="00596386" w:rsidRPr="004B208C" w:rsidTr="00765C3B">
        <w:tc>
          <w:tcPr>
            <w:tcW w:w="1347" w:type="dxa"/>
          </w:tcPr>
          <w:p w:rsidR="00596386" w:rsidRPr="004B208C" w:rsidRDefault="00596386" w:rsidP="009539FE">
            <w:pPr>
              <w:keepNext/>
              <w:spacing w:after="60" w:line="240" w:lineRule="atLeast"/>
              <w:jc w:val="center"/>
              <w:rPr>
                <w:rFonts w:cs="Tahoma"/>
                <w:szCs w:val="18"/>
              </w:rPr>
            </w:pPr>
            <w:r w:rsidRPr="004B208C">
              <w:rPr>
                <w:rFonts w:cs="Tahoma"/>
                <w:szCs w:val="18"/>
              </w:rPr>
              <w:lastRenderedPageBreak/>
              <w:t>B</w:t>
            </w:r>
          </w:p>
        </w:tc>
        <w:tc>
          <w:tcPr>
            <w:tcW w:w="1938" w:type="dxa"/>
          </w:tcPr>
          <w:p w:rsidR="00596386" w:rsidRPr="004B208C" w:rsidRDefault="00596386" w:rsidP="009539FE">
            <w:pPr>
              <w:keepNext/>
              <w:spacing w:after="60" w:line="240" w:lineRule="atLeast"/>
              <w:jc w:val="center"/>
              <w:rPr>
                <w:rFonts w:cs="Tahoma"/>
                <w:szCs w:val="18"/>
              </w:rPr>
            </w:pPr>
            <w:r w:rsidRPr="004B208C">
              <w:rPr>
                <w:rFonts w:cs="Tahoma"/>
                <w:szCs w:val="18"/>
              </w:rPr>
              <w:t>Solicitação pela Web</w:t>
            </w:r>
          </w:p>
        </w:tc>
        <w:tc>
          <w:tcPr>
            <w:tcW w:w="2941" w:type="dxa"/>
          </w:tcPr>
          <w:p w:rsidR="00596386" w:rsidRPr="004B208C" w:rsidRDefault="00596386" w:rsidP="009539FE">
            <w:pPr>
              <w:keepNext/>
              <w:spacing w:after="60" w:line="240" w:lineRule="atLeast"/>
              <w:rPr>
                <w:rFonts w:cs="Tahoma"/>
              </w:rPr>
            </w:pPr>
            <w:r w:rsidRPr="004B208C">
              <w:rPr>
                <w:rFonts w:cs="Tahoma"/>
                <w:szCs w:val="18"/>
              </w:rPr>
              <w:t xml:space="preserve">Impacto moderado nos negócios: </w:t>
            </w:r>
          </w:p>
          <w:p w:rsidR="00596386" w:rsidRPr="004B208C" w:rsidRDefault="00596386" w:rsidP="009539FE">
            <w:pPr>
              <w:keepNext/>
              <w:spacing w:line="240" w:lineRule="atLeast"/>
              <w:rPr>
                <w:rFonts w:cs="Tahoma"/>
              </w:rPr>
            </w:pPr>
            <w:r w:rsidRPr="004B208C">
              <w:rPr>
                <w:rFonts w:cs="Tahoma"/>
                <w:szCs w:val="18"/>
              </w:rPr>
              <w:t>Perda ou degradação moderada dos serviços, mas o trabalho pode razoavelmente continuar de maneira prejudicada</w:t>
            </w:r>
          </w:p>
          <w:p w:rsidR="00596386" w:rsidRPr="004B208C" w:rsidRDefault="00596386" w:rsidP="009539FE">
            <w:pPr>
              <w:keepNext/>
              <w:spacing w:after="60" w:line="240" w:lineRule="atLeast"/>
              <w:rPr>
                <w:rFonts w:cs="Tahoma"/>
                <w:szCs w:val="18"/>
              </w:rPr>
            </w:pPr>
            <w:r w:rsidRPr="004B208C">
              <w:rPr>
                <w:rFonts w:cs="Tahoma"/>
                <w:szCs w:val="18"/>
              </w:rPr>
              <w:t>Necessita de atenção em 2 horas</w:t>
            </w:r>
          </w:p>
        </w:tc>
        <w:tc>
          <w:tcPr>
            <w:tcW w:w="3314" w:type="dxa"/>
          </w:tcPr>
          <w:p w:rsidR="00596386" w:rsidRPr="004B208C" w:rsidRDefault="00596386" w:rsidP="009539FE">
            <w:pPr>
              <w:keepNext/>
              <w:spacing w:line="240" w:lineRule="atLeast"/>
              <w:rPr>
                <w:rFonts w:cs="Tahoma"/>
              </w:rPr>
            </w:pPr>
            <w:r w:rsidRPr="004B208C">
              <w:rPr>
                <w:rFonts w:cs="Tahoma"/>
                <w:szCs w:val="18"/>
              </w:rPr>
              <w:t>1</w:t>
            </w:r>
            <w:r w:rsidRPr="004B208C">
              <w:rPr>
                <w:rFonts w:cs="Tahoma"/>
                <w:szCs w:val="18"/>
                <w:vertAlign w:val="superscript"/>
              </w:rPr>
              <w:t>ª</w:t>
            </w:r>
            <w:r w:rsidRPr="004B208C">
              <w:rPr>
                <w:rFonts w:cs="Tahoma"/>
                <w:szCs w:val="18"/>
              </w:rPr>
              <w:t xml:space="preserve"> resposta em 2 horas ou menos</w:t>
            </w:r>
          </w:p>
          <w:p w:rsidR="00596386" w:rsidRPr="004B208C" w:rsidRDefault="00596386" w:rsidP="009539FE">
            <w:pPr>
              <w:keepNext/>
              <w:spacing w:after="60" w:line="240" w:lineRule="atLeast"/>
              <w:rPr>
                <w:rFonts w:cs="Tahoma"/>
                <w:szCs w:val="18"/>
              </w:rPr>
            </w:pPr>
          </w:p>
        </w:tc>
      </w:tr>
      <w:tr w:rsidR="00596386" w:rsidRPr="004B208C" w:rsidTr="00765C3B">
        <w:tc>
          <w:tcPr>
            <w:tcW w:w="1347" w:type="dxa"/>
          </w:tcPr>
          <w:p w:rsidR="00596386" w:rsidRPr="004B208C" w:rsidRDefault="00596386" w:rsidP="00647923">
            <w:pPr>
              <w:spacing w:after="60" w:line="240" w:lineRule="atLeast"/>
              <w:jc w:val="center"/>
              <w:rPr>
                <w:rFonts w:cs="Tahoma"/>
                <w:szCs w:val="18"/>
              </w:rPr>
            </w:pPr>
            <w:r w:rsidRPr="004B208C">
              <w:rPr>
                <w:rFonts w:cs="Tahoma"/>
                <w:szCs w:val="18"/>
              </w:rPr>
              <w:t>C</w:t>
            </w:r>
          </w:p>
        </w:tc>
        <w:tc>
          <w:tcPr>
            <w:tcW w:w="1938" w:type="dxa"/>
          </w:tcPr>
          <w:p w:rsidR="00596386" w:rsidRPr="004B208C" w:rsidRDefault="00596386" w:rsidP="00647923">
            <w:pPr>
              <w:spacing w:after="60" w:line="240" w:lineRule="atLeast"/>
              <w:jc w:val="center"/>
              <w:rPr>
                <w:rFonts w:cs="Tahoma"/>
                <w:szCs w:val="18"/>
              </w:rPr>
            </w:pPr>
            <w:r w:rsidRPr="004B208C">
              <w:rPr>
                <w:rFonts w:cs="Tahoma"/>
                <w:szCs w:val="18"/>
              </w:rPr>
              <w:t>Solicitação pela Web</w:t>
            </w:r>
          </w:p>
        </w:tc>
        <w:tc>
          <w:tcPr>
            <w:tcW w:w="2941" w:type="dxa"/>
          </w:tcPr>
          <w:p w:rsidR="00596386" w:rsidRPr="004B208C" w:rsidRDefault="00596386" w:rsidP="00647923">
            <w:pPr>
              <w:rPr>
                <w:rFonts w:cs="Tahoma"/>
              </w:rPr>
            </w:pPr>
            <w:r w:rsidRPr="004B208C">
              <w:rPr>
                <w:rFonts w:cs="Tahoma"/>
                <w:szCs w:val="18"/>
              </w:rPr>
              <w:t>Impacto mínimo nos negócios:</w:t>
            </w:r>
          </w:p>
          <w:p w:rsidR="00596386" w:rsidRPr="004B208C" w:rsidRDefault="00596386" w:rsidP="00647923">
            <w:pPr>
              <w:rPr>
                <w:rFonts w:cs="Tahoma"/>
              </w:rPr>
            </w:pPr>
            <w:r w:rsidRPr="004B208C">
              <w:rPr>
                <w:rFonts w:cs="Tahoma"/>
                <w:szCs w:val="18"/>
              </w:rPr>
              <w:t>Funcionamento de forma substancial, com poucos ou nenhum impedimento dos serviços</w:t>
            </w:r>
          </w:p>
          <w:p w:rsidR="00596386" w:rsidRPr="004B208C" w:rsidRDefault="00596386" w:rsidP="00647923">
            <w:pPr>
              <w:spacing w:after="60" w:line="240" w:lineRule="atLeast"/>
              <w:rPr>
                <w:rFonts w:cs="Tahoma"/>
                <w:szCs w:val="18"/>
              </w:rPr>
            </w:pPr>
            <w:r w:rsidRPr="004B208C">
              <w:rPr>
                <w:rFonts w:cs="Tahoma"/>
                <w:szCs w:val="18"/>
              </w:rPr>
              <w:t>Necessita de atenção em 4 horas</w:t>
            </w:r>
          </w:p>
        </w:tc>
        <w:tc>
          <w:tcPr>
            <w:tcW w:w="3314" w:type="dxa"/>
          </w:tcPr>
          <w:p w:rsidR="00596386" w:rsidRPr="004B208C" w:rsidRDefault="00596386" w:rsidP="00647923">
            <w:pPr>
              <w:rPr>
                <w:rFonts w:cs="Tahoma"/>
              </w:rPr>
            </w:pPr>
            <w:r w:rsidRPr="004B208C">
              <w:rPr>
                <w:rFonts w:cs="Tahoma"/>
                <w:szCs w:val="18"/>
              </w:rPr>
              <w:t>1</w:t>
            </w:r>
            <w:r w:rsidRPr="004B208C">
              <w:rPr>
                <w:rFonts w:cs="Tahoma"/>
                <w:szCs w:val="18"/>
                <w:vertAlign w:val="superscript"/>
              </w:rPr>
              <w:t>ª</w:t>
            </w:r>
            <w:r w:rsidRPr="004B208C">
              <w:rPr>
                <w:rFonts w:cs="Tahoma"/>
                <w:szCs w:val="18"/>
              </w:rPr>
              <w:t xml:space="preserve"> resposta em 4 horas ou menos</w:t>
            </w:r>
          </w:p>
          <w:p w:rsidR="00596386" w:rsidRPr="004B208C" w:rsidRDefault="00596386" w:rsidP="00647923">
            <w:pPr>
              <w:spacing w:line="240" w:lineRule="atLeast"/>
              <w:rPr>
                <w:rFonts w:cs="Tahoma"/>
                <w:szCs w:val="18"/>
              </w:rPr>
            </w:pPr>
          </w:p>
        </w:tc>
      </w:tr>
    </w:tbl>
    <w:p w:rsidR="00596386" w:rsidRPr="004B208C" w:rsidRDefault="00596386" w:rsidP="00DD7F8E">
      <w:pPr>
        <w:rPr>
          <w:rFonts w:cs="Tahoma"/>
        </w:rPr>
      </w:pPr>
    </w:p>
    <w:p w:rsidR="000D747C" w:rsidRPr="004B208C" w:rsidRDefault="000D747C" w:rsidP="000D747C">
      <w:pPr>
        <w:rPr>
          <w:rFonts w:cs="Tahoma"/>
        </w:rPr>
      </w:pPr>
      <w:r w:rsidRPr="004B208C">
        <w:rPr>
          <w:rFonts w:cs="Tahoma"/>
          <w:snapToGrid w:val="0"/>
          <w:color w:val="000000"/>
          <w:szCs w:val="18"/>
        </w:rPr>
        <w:t>Os clientes podem optar por receber um retorno de chamada da Microsoft.</w:t>
      </w:r>
      <w:r w:rsidR="00172F11">
        <w:rPr>
          <w:rFonts w:cs="Tahoma"/>
          <w:snapToGrid w:val="0"/>
          <w:color w:val="000000"/>
          <w:szCs w:val="18"/>
        </w:rPr>
        <w:t xml:space="preserve"> </w:t>
      </w:r>
      <w:r w:rsidRPr="004B208C">
        <w:rPr>
          <w:rFonts w:cs="Tahoma"/>
          <w:snapToGrid w:val="0"/>
          <w:color w:val="000000"/>
          <w:szCs w:val="18"/>
        </w:rPr>
        <w:t>Caso contrário, a equipe de Suporte do Windows Azure solucionará o problema e ajudará a resolver o incidente pelos canais online (por exemplo, por email ou portal do Windows Azure).</w:t>
      </w:r>
    </w:p>
    <w:p w:rsidR="001C1727" w:rsidRPr="004B208C" w:rsidRDefault="001C1727">
      <w:pPr>
        <w:rPr>
          <w:rFonts w:cs="Tahoma"/>
        </w:rPr>
      </w:pPr>
    </w:p>
    <w:p w:rsidR="00DC0853" w:rsidRPr="004B208C" w:rsidRDefault="00CB228A" w:rsidP="0047054A">
      <w:pPr>
        <w:keepNext/>
        <w:tabs>
          <w:tab w:val="left" w:pos="360"/>
        </w:tabs>
        <w:spacing w:after="60"/>
        <w:jc w:val="both"/>
        <w:rPr>
          <w:rFonts w:cs="Tahoma"/>
        </w:rPr>
      </w:pPr>
      <w:r w:rsidRPr="004B208C">
        <w:rPr>
          <w:rFonts w:cs="Tahoma"/>
          <w:b/>
          <w:color w:val="000000"/>
          <w:szCs w:val="18"/>
        </w:rPr>
        <w:t>Gerenciamento de Fornecimento de Serviços</w:t>
      </w:r>
    </w:p>
    <w:p w:rsidR="00596386" w:rsidRPr="004B208C" w:rsidRDefault="00596386" w:rsidP="00596386">
      <w:pPr>
        <w:tabs>
          <w:tab w:val="left" w:pos="360"/>
        </w:tabs>
        <w:jc w:val="both"/>
        <w:rPr>
          <w:rFonts w:cs="Tahoma"/>
        </w:rPr>
      </w:pPr>
      <w:r w:rsidRPr="004B208C">
        <w:rPr>
          <w:rFonts w:cs="Tahoma"/>
          <w:color w:val="000000"/>
          <w:szCs w:val="18"/>
        </w:rPr>
        <w:t>Além dos</w:t>
      </w:r>
      <w:r w:rsidRPr="004B208C">
        <w:rPr>
          <w:rFonts w:cs="Tahoma"/>
          <w:snapToGrid w:val="0"/>
          <w:szCs w:val="18"/>
        </w:rPr>
        <w:t xml:space="preserve"> Serviços descritos acima, os clientes com Suporte Profissional Direto para Windows Azure recebem </w:t>
      </w:r>
      <w:r w:rsidRPr="004B208C">
        <w:rPr>
          <w:rFonts w:cs="Tahoma"/>
          <w:snapToGrid w:val="0"/>
          <w:color w:val="000000"/>
          <w:szCs w:val="18"/>
        </w:rPr>
        <w:t>ajuda na coordenação do suporte e relacionamento de serviços para Windows Azure.</w:t>
      </w:r>
      <w:r w:rsidR="00172F11">
        <w:rPr>
          <w:rFonts w:cs="Tahoma"/>
          <w:snapToGrid w:val="0"/>
          <w:color w:val="000000"/>
          <w:szCs w:val="18"/>
        </w:rPr>
        <w:t xml:space="preserve"> </w:t>
      </w:r>
      <w:r w:rsidRPr="004B208C">
        <w:rPr>
          <w:rFonts w:cs="Tahoma"/>
          <w:snapToGrid w:val="0"/>
          <w:color w:val="000000"/>
          <w:szCs w:val="18"/>
        </w:rPr>
        <w:t>Esses serviços são fornecidos pelo pessoal de serviços (“Gerentes de Entrega Direta Profissionais”).</w:t>
      </w:r>
      <w:r w:rsidR="00172F11">
        <w:rPr>
          <w:rFonts w:cs="Tahoma"/>
          <w:snapToGrid w:val="0"/>
          <w:color w:val="000000"/>
          <w:szCs w:val="18"/>
        </w:rPr>
        <w:t xml:space="preserve"> </w:t>
      </w:r>
      <w:r w:rsidRPr="004B208C">
        <w:rPr>
          <w:rFonts w:cs="Tahoma"/>
          <w:snapToGrid w:val="0"/>
          <w:color w:val="000000"/>
          <w:szCs w:val="18"/>
        </w:rPr>
        <w:t xml:space="preserve">Os Gerentes de Entrega Direta Profissionais são </w:t>
      </w:r>
      <w:r w:rsidRPr="004B208C">
        <w:rPr>
          <w:rFonts w:cs="Tahoma"/>
          <w:szCs w:val="18"/>
        </w:rPr>
        <w:t>advogados do cliente</w:t>
      </w:r>
      <w:r w:rsidRPr="004B208C">
        <w:rPr>
          <w:rFonts w:cs="Tahoma"/>
          <w:snapToGrid w:val="0"/>
          <w:color w:val="000000"/>
          <w:szCs w:val="18"/>
        </w:rPr>
        <w:t xml:space="preserve"> na Microsoft que facilitam a coordenação com as equipes, podendo fornecer o suporte técnico disponível para os Serviços Online.</w:t>
      </w:r>
      <w:r w:rsidR="00172F11">
        <w:rPr>
          <w:rFonts w:cs="Tahoma"/>
          <w:snapToGrid w:val="0"/>
          <w:color w:val="000000"/>
          <w:szCs w:val="18"/>
        </w:rPr>
        <w:t xml:space="preserve"> </w:t>
      </w:r>
      <w:r w:rsidRPr="004B208C">
        <w:rPr>
          <w:rFonts w:cs="Tahoma"/>
          <w:snapToGrid w:val="0"/>
          <w:color w:val="000000"/>
          <w:szCs w:val="18"/>
        </w:rPr>
        <w:t xml:space="preserve">Os Gerentes de Entrega Direta Profissionais também atuam como o ponto de fornecimento de informações e encaminham o </w:t>
      </w:r>
      <w:r w:rsidRPr="004B208C">
        <w:rPr>
          <w:rFonts w:cs="Tahoma"/>
          <w:szCs w:val="18"/>
        </w:rPr>
        <w:t>feedback</w:t>
      </w:r>
      <w:r w:rsidRPr="004B208C">
        <w:rPr>
          <w:rFonts w:cs="Tahoma"/>
          <w:snapToGrid w:val="0"/>
          <w:color w:val="000000"/>
          <w:szCs w:val="18"/>
        </w:rPr>
        <w:t xml:space="preserve"> do cliente sobre os Serviços aos outros grupos da Microsoft.</w:t>
      </w:r>
      <w:r w:rsidR="00172F11">
        <w:rPr>
          <w:rFonts w:cs="Tahoma"/>
          <w:snapToGrid w:val="0"/>
          <w:color w:val="000000"/>
          <w:szCs w:val="18"/>
        </w:rPr>
        <w:t xml:space="preserve"> </w:t>
      </w:r>
      <w:r w:rsidRPr="004B208C">
        <w:rPr>
          <w:rFonts w:cs="Tahoma"/>
          <w:snapToGrid w:val="0"/>
          <w:color w:val="000000"/>
          <w:szCs w:val="18"/>
        </w:rPr>
        <w:t>Os Gerentes de Entrega Direta Profissionais podem ainda prestar os Serviços adicionais a seguir:</w:t>
      </w:r>
    </w:p>
    <w:p w:rsidR="00596386" w:rsidRPr="004B208C" w:rsidRDefault="00596386" w:rsidP="00596386">
      <w:pPr>
        <w:tabs>
          <w:tab w:val="left" w:pos="360"/>
        </w:tabs>
        <w:jc w:val="both"/>
        <w:rPr>
          <w:rFonts w:cs="Tahoma"/>
        </w:rPr>
      </w:pPr>
    </w:p>
    <w:p w:rsidR="00596386" w:rsidRPr="004B208C" w:rsidRDefault="00596386" w:rsidP="00A1385C">
      <w:pPr>
        <w:numPr>
          <w:ilvl w:val="0"/>
          <w:numId w:val="107"/>
        </w:numPr>
        <w:tabs>
          <w:tab w:val="clear" w:pos="720"/>
        </w:tabs>
        <w:spacing w:after="60"/>
        <w:ind w:left="1440"/>
        <w:jc w:val="both"/>
        <w:rPr>
          <w:rFonts w:cs="Tahoma"/>
        </w:rPr>
      </w:pPr>
      <w:r w:rsidRPr="004B208C">
        <w:rPr>
          <w:rFonts w:cs="Tahoma"/>
          <w:b/>
          <w:color w:val="000000"/>
          <w:szCs w:val="18"/>
        </w:rPr>
        <w:t>Planejamento e Facilitação de Recursos.</w:t>
      </w:r>
      <w:r w:rsidRPr="004B208C">
        <w:rPr>
          <w:rFonts w:cs="Tahoma"/>
          <w:szCs w:val="18"/>
        </w:rPr>
        <w:t xml:space="preserve"> No início do presente Contrato, A Microsoft oferece uma sessão de orientação para gerenciamento de clientes e equipe por teleconferência.</w:t>
      </w:r>
      <w:r w:rsidR="00172F11">
        <w:rPr>
          <w:rFonts w:cs="Tahoma"/>
          <w:szCs w:val="18"/>
        </w:rPr>
        <w:t xml:space="preserve"> </w:t>
      </w:r>
      <w:r w:rsidRPr="004B208C">
        <w:rPr>
          <w:rFonts w:cs="Tahoma"/>
          <w:szCs w:val="18"/>
        </w:rPr>
        <w:t>O objetivo dessa reunião é discutir os Serviços de suporte disponíveis e responder a quaisquer dúvidas de</w:t>
      </w:r>
      <w:r w:rsidR="001032A9">
        <w:rPr>
          <w:rFonts w:cs="Tahoma"/>
          <w:szCs w:val="18"/>
        </w:rPr>
        <w:t> </w:t>
      </w:r>
      <w:r w:rsidRPr="004B208C">
        <w:rPr>
          <w:rFonts w:cs="Tahoma"/>
          <w:szCs w:val="18"/>
        </w:rPr>
        <w:t>forma que o cliente possa planejar o uso dos Serviços.</w:t>
      </w:r>
    </w:p>
    <w:p w:rsidR="00596386" w:rsidRPr="004B208C" w:rsidRDefault="00596386" w:rsidP="00A1385C">
      <w:pPr>
        <w:numPr>
          <w:ilvl w:val="0"/>
          <w:numId w:val="107"/>
        </w:numPr>
        <w:tabs>
          <w:tab w:val="clear" w:pos="720"/>
        </w:tabs>
        <w:spacing w:after="60"/>
        <w:ind w:left="1440"/>
        <w:jc w:val="both"/>
        <w:rPr>
          <w:rFonts w:cs="Tahoma"/>
        </w:rPr>
      </w:pPr>
      <w:r w:rsidRPr="004B208C">
        <w:rPr>
          <w:rFonts w:cs="Tahoma"/>
          <w:b/>
          <w:color w:val="000000"/>
          <w:szCs w:val="18"/>
        </w:rPr>
        <w:t>Gerenciamento de Escalonamento.</w:t>
      </w:r>
      <w:r w:rsidRPr="004B208C">
        <w:rPr>
          <w:rFonts w:cs="Tahoma"/>
          <w:szCs w:val="18"/>
        </w:rPr>
        <w:t xml:space="preserve"> Um Gerente de Entrega Direta Profissional </w:t>
      </w:r>
      <w:r w:rsidRPr="004B208C">
        <w:rPr>
          <w:rFonts w:cs="Tahoma"/>
          <w:snapToGrid w:val="0"/>
          <w:szCs w:val="18"/>
        </w:rPr>
        <w:t>fornecerá ao cliente os serviços de gerenciamento de escalonamento de suporte técnico para Windows Azure.</w:t>
      </w:r>
    </w:p>
    <w:p w:rsidR="00596386" w:rsidRPr="004B208C" w:rsidRDefault="00596386" w:rsidP="00596386">
      <w:pPr>
        <w:tabs>
          <w:tab w:val="left" w:pos="360"/>
        </w:tabs>
        <w:jc w:val="both"/>
        <w:rPr>
          <w:rFonts w:cs="Tahoma"/>
        </w:rPr>
      </w:pPr>
    </w:p>
    <w:p w:rsidR="00596386" w:rsidRPr="00765C3B" w:rsidRDefault="00CB228A" w:rsidP="00E03856">
      <w:pPr>
        <w:pStyle w:val="normal1"/>
        <w:jc w:val="both"/>
        <w:rPr>
          <w:rFonts w:ascii="Tahoma" w:hAnsi="Tahoma" w:cs="Tahoma"/>
          <w:sz w:val="18"/>
          <w:szCs w:val="18"/>
        </w:rPr>
      </w:pPr>
      <w:r w:rsidRPr="00765C3B">
        <w:rPr>
          <w:rFonts w:ascii="Tahoma" w:hAnsi="Tahoma" w:cs="Tahoma"/>
          <w:color w:val="000000"/>
          <w:sz w:val="18"/>
          <w:szCs w:val="18"/>
        </w:rPr>
        <w:t>Os serviços de Gerenciamento de Entrega de Serviço são fornecidos apenas em inglês, das 9 às 17 horas - horário local,</w:t>
      </w:r>
      <w:r w:rsidRPr="00765C3B">
        <w:rPr>
          <w:rFonts w:ascii="Tahoma" w:hAnsi="Tahoma" w:cs="Tahoma"/>
          <w:color w:val="FF3399"/>
          <w:sz w:val="18"/>
          <w:szCs w:val="18"/>
        </w:rPr>
        <w:t xml:space="preserve"> </w:t>
      </w:r>
      <w:r w:rsidRPr="00765C3B">
        <w:rPr>
          <w:rFonts w:ascii="Tahoma" w:hAnsi="Tahoma" w:cs="Tahoma"/>
          <w:sz w:val="18"/>
          <w:szCs w:val="18"/>
        </w:rPr>
        <w:t>de segunda a sexta-feira, com exceção de finais de semana e feriados.</w:t>
      </w:r>
      <w:r w:rsidRPr="00765C3B">
        <w:rPr>
          <w:rFonts w:ascii="Tahoma" w:hAnsi="Tahoma" w:cs="Tahoma"/>
          <w:color w:val="000000"/>
          <w:sz w:val="18"/>
          <w:szCs w:val="18"/>
          <w:u w:val="single"/>
        </w:rPr>
        <w:t xml:space="preserve"> </w:t>
      </w:r>
    </w:p>
    <w:p w:rsidR="00596386" w:rsidRPr="00765C3B" w:rsidRDefault="00596386" w:rsidP="00596386">
      <w:pPr>
        <w:pStyle w:val="normal1"/>
        <w:jc w:val="both"/>
        <w:rPr>
          <w:rFonts w:ascii="Tahoma" w:hAnsi="Tahoma" w:cs="Tahoma"/>
          <w:sz w:val="18"/>
          <w:szCs w:val="18"/>
        </w:rPr>
      </w:pPr>
    </w:p>
    <w:p w:rsidR="00DC0853" w:rsidRPr="004B208C" w:rsidRDefault="00596386" w:rsidP="00DC0853">
      <w:pPr>
        <w:tabs>
          <w:tab w:val="left" w:pos="360"/>
        </w:tabs>
        <w:spacing w:after="60"/>
        <w:jc w:val="both"/>
        <w:rPr>
          <w:rFonts w:cs="Tahoma"/>
        </w:rPr>
      </w:pPr>
      <w:r w:rsidRPr="004B208C">
        <w:rPr>
          <w:rFonts w:cs="Tahoma"/>
          <w:b/>
          <w:szCs w:val="18"/>
        </w:rPr>
        <w:t>Outros Serviços de Informações e Benefícios</w:t>
      </w:r>
    </w:p>
    <w:p w:rsidR="00596386" w:rsidRPr="004B208C" w:rsidRDefault="00596386" w:rsidP="00596386">
      <w:pPr>
        <w:tabs>
          <w:tab w:val="left" w:pos="360"/>
        </w:tabs>
        <w:jc w:val="both"/>
        <w:rPr>
          <w:rFonts w:cs="Tahoma"/>
        </w:rPr>
      </w:pPr>
      <w:r w:rsidRPr="004B208C">
        <w:rPr>
          <w:rFonts w:cs="Tahoma"/>
          <w:szCs w:val="18"/>
        </w:rPr>
        <w:t>Os Serviços de Informações fornecem informações técnicas sobre o Windows Azure e ferramentas de suporte que ajudam os clientes a implementar e operar o Windows Azure de maneira mais eficaz e eficiente.</w:t>
      </w:r>
      <w:r w:rsidR="00172F11">
        <w:rPr>
          <w:rFonts w:cs="Tahoma"/>
          <w:szCs w:val="18"/>
        </w:rPr>
        <w:t xml:space="preserve"> </w:t>
      </w:r>
      <w:r w:rsidRPr="004B208C">
        <w:rPr>
          <w:rFonts w:cs="Tahoma"/>
          <w:szCs w:val="18"/>
        </w:rPr>
        <w:t>Os Serviços de Informações são fornecidos apenas em inglês e incluem o seguinte:</w:t>
      </w:r>
    </w:p>
    <w:p w:rsidR="00596386" w:rsidRPr="004B208C" w:rsidRDefault="00596386" w:rsidP="00596386">
      <w:pPr>
        <w:tabs>
          <w:tab w:val="left" w:pos="360"/>
        </w:tabs>
        <w:jc w:val="both"/>
        <w:rPr>
          <w:rFonts w:cs="Tahoma"/>
        </w:rPr>
      </w:pPr>
    </w:p>
    <w:p w:rsidR="00596386" w:rsidRPr="00765C3B" w:rsidRDefault="00596386" w:rsidP="00A1385C">
      <w:pPr>
        <w:pStyle w:val="ListParagraph"/>
        <w:numPr>
          <w:ilvl w:val="0"/>
          <w:numId w:val="108"/>
        </w:numPr>
        <w:tabs>
          <w:tab w:val="left" w:pos="360"/>
        </w:tabs>
        <w:spacing w:after="60"/>
        <w:ind w:left="1440"/>
        <w:contextualSpacing w:val="0"/>
        <w:jc w:val="both"/>
        <w:rPr>
          <w:rFonts w:ascii="Tahoma" w:hAnsi="Tahoma" w:cs="Tahoma"/>
          <w:sz w:val="18"/>
          <w:szCs w:val="18"/>
        </w:rPr>
      </w:pPr>
      <w:r w:rsidRPr="00765C3B">
        <w:rPr>
          <w:rFonts w:ascii="Tahoma" w:hAnsi="Tahoma" w:cs="Tahoma"/>
          <w:b/>
          <w:color w:val="000000"/>
          <w:sz w:val="18"/>
          <w:szCs w:val="18"/>
        </w:rPr>
        <w:t xml:space="preserve">Suporte Profissional Direto para conteúdo exclusivo do Windows Azure. </w:t>
      </w:r>
      <w:r w:rsidRPr="00765C3B">
        <w:rPr>
          <w:rFonts w:ascii="Tahoma" w:hAnsi="Tahoma" w:cs="Tahoma"/>
          <w:snapToGrid w:val="0"/>
          <w:sz w:val="18"/>
          <w:szCs w:val="18"/>
        </w:rPr>
        <w:t>Aos clientes será concedido acesso ao conteúdo exclusivo do Windows Azure, incluindo, mas não se limitando, publicações online relacionadas aos guias de práticas recomendadas de implantação e</w:t>
      </w:r>
      <w:r w:rsidR="00765C3B">
        <w:rPr>
          <w:rFonts w:ascii="Tahoma" w:hAnsi="Tahoma" w:cs="Tahoma"/>
          <w:snapToGrid w:val="0"/>
          <w:sz w:val="18"/>
          <w:szCs w:val="18"/>
        </w:rPr>
        <w:t> </w:t>
      </w:r>
      <w:r w:rsidRPr="00765C3B">
        <w:rPr>
          <w:rFonts w:ascii="Tahoma" w:hAnsi="Tahoma" w:cs="Tahoma"/>
          <w:snapToGrid w:val="0"/>
          <w:sz w:val="18"/>
          <w:szCs w:val="18"/>
        </w:rPr>
        <w:t>arquiteturais, conteúdo de treinamento arquivado, notificações de Webinars futuros e outras informações gerais sobre o Windows Azure.</w:t>
      </w:r>
    </w:p>
    <w:p w:rsidR="00596386" w:rsidRDefault="00596386" w:rsidP="00A1385C">
      <w:pPr>
        <w:numPr>
          <w:ilvl w:val="0"/>
          <w:numId w:val="108"/>
        </w:numPr>
        <w:tabs>
          <w:tab w:val="left" w:pos="360"/>
        </w:tabs>
        <w:spacing w:after="60"/>
        <w:ind w:left="1440"/>
        <w:jc w:val="both"/>
        <w:rPr>
          <w:rFonts w:cs="Tahoma"/>
          <w:szCs w:val="18"/>
        </w:rPr>
      </w:pPr>
      <w:r w:rsidRPr="00765C3B">
        <w:rPr>
          <w:rFonts w:cs="Tahoma"/>
          <w:b/>
          <w:color w:val="000000"/>
          <w:szCs w:val="18"/>
        </w:rPr>
        <w:t>Webinars.</w:t>
      </w:r>
      <w:r w:rsidRPr="00765C3B">
        <w:rPr>
          <w:rFonts w:cs="Tahoma"/>
          <w:szCs w:val="18"/>
        </w:rPr>
        <w:t xml:space="preserve"> Webinars são discussões programadas regularmente conduzidas por profissionais da Microsoft, abrangendo áreas principais dos Serviços Online da Microsoft. Os Webinars incluem, sem se limitar, o “Guia de Introdução” ao Windows Azure, REsumo dos Novos Recursos e Perguntas e</w:t>
      </w:r>
      <w:r w:rsidR="001032A9">
        <w:rPr>
          <w:rFonts w:cs="Tahoma"/>
          <w:szCs w:val="18"/>
        </w:rPr>
        <w:t> </w:t>
      </w:r>
      <w:r w:rsidRPr="00765C3B">
        <w:rPr>
          <w:rFonts w:cs="Tahoma"/>
          <w:szCs w:val="18"/>
        </w:rPr>
        <w:t xml:space="preserve">Respostas “Pergunte </w:t>
      </w:r>
      <w:r w:rsidR="009539FE">
        <w:rPr>
          <w:rFonts w:cs="Tahoma"/>
          <w:szCs w:val="18"/>
        </w:rPr>
        <w:t>aos Especialistas”.</w:t>
      </w:r>
    </w:p>
    <w:p w:rsidR="009539FE" w:rsidRDefault="009539FE" w:rsidP="009539FE">
      <w:pPr>
        <w:tabs>
          <w:tab w:val="left" w:pos="360"/>
        </w:tabs>
        <w:spacing w:after="60"/>
        <w:jc w:val="both"/>
        <w:rPr>
          <w:rFonts w:cs="Tahoma"/>
          <w:szCs w:val="18"/>
        </w:rPr>
      </w:pPr>
    </w:p>
    <w:p w:rsidR="009539FE" w:rsidRPr="00765C3B" w:rsidRDefault="009539FE" w:rsidP="009539FE">
      <w:pPr>
        <w:tabs>
          <w:tab w:val="left" w:pos="360"/>
        </w:tabs>
        <w:spacing w:after="60"/>
        <w:jc w:val="both"/>
        <w:rPr>
          <w:rFonts w:cs="Tahoma"/>
          <w:szCs w:val="18"/>
        </w:rPr>
      </w:pPr>
    </w:p>
    <w:p w:rsidR="00596386" w:rsidRPr="004B208C" w:rsidRDefault="00596386" w:rsidP="00A1385C">
      <w:pPr>
        <w:numPr>
          <w:ilvl w:val="0"/>
          <w:numId w:val="108"/>
        </w:numPr>
        <w:tabs>
          <w:tab w:val="left" w:pos="360"/>
        </w:tabs>
        <w:spacing w:after="60"/>
        <w:ind w:left="1440"/>
        <w:jc w:val="both"/>
        <w:rPr>
          <w:rFonts w:cs="Tahoma"/>
        </w:rPr>
      </w:pPr>
      <w:r w:rsidRPr="004B208C">
        <w:rPr>
          <w:rFonts w:cs="Tahoma"/>
          <w:b/>
          <w:color w:val="000000"/>
          <w:szCs w:val="18"/>
        </w:rPr>
        <w:lastRenderedPageBreak/>
        <w:t>Serviços de Consultoria Adicionais executados por Gerentes de Entrega Direta Profissionais.</w:t>
      </w:r>
    </w:p>
    <w:p w:rsidR="00596386" w:rsidRPr="004B208C" w:rsidRDefault="00596386" w:rsidP="00A1385C">
      <w:pPr>
        <w:numPr>
          <w:ilvl w:val="1"/>
          <w:numId w:val="94"/>
        </w:numPr>
        <w:tabs>
          <w:tab w:val="left" w:pos="360"/>
        </w:tabs>
        <w:spacing w:after="60"/>
        <w:ind w:left="1980"/>
        <w:jc w:val="both"/>
        <w:rPr>
          <w:rFonts w:cs="Tahoma"/>
        </w:rPr>
      </w:pPr>
      <w:r w:rsidRPr="004B208C">
        <w:rPr>
          <w:rFonts w:cs="Tahoma"/>
          <w:snapToGrid w:val="0"/>
          <w:szCs w:val="18"/>
        </w:rPr>
        <w:t>Refere-se aos principais recursos online.</w:t>
      </w:r>
      <w:r w:rsidR="00172F11">
        <w:rPr>
          <w:rFonts w:cs="Tahoma"/>
          <w:snapToGrid w:val="0"/>
          <w:szCs w:val="18"/>
        </w:rPr>
        <w:t xml:space="preserve"> </w:t>
      </w:r>
      <w:r w:rsidRPr="004B208C">
        <w:rPr>
          <w:rFonts w:cs="Tahoma"/>
          <w:snapToGrid w:val="0"/>
          <w:szCs w:val="18"/>
        </w:rPr>
        <w:t>Um Gerente de Entrega Direta Profissional fornecerá aos clientes recomendações, inclusive instruções sobre como acessar recursos de autoatendimento para ajudar a solucionar as dúvidas sobre recursos e serviços comuns do Windows Azure.</w:t>
      </w:r>
    </w:p>
    <w:p w:rsidR="00596386" w:rsidRPr="004B208C" w:rsidRDefault="00596386" w:rsidP="00A1385C">
      <w:pPr>
        <w:numPr>
          <w:ilvl w:val="1"/>
          <w:numId w:val="94"/>
        </w:numPr>
        <w:spacing w:after="60"/>
        <w:ind w:left="1980"/>
        <w:jc w:val="both"/>
        <w:rPr>
          <w:rFonts w:cs="Tahoma"/>
        </w:rPr>
      </w:pPr>
      <w:r w:rsidRPr="004B208C">
        <w:rPr>
          <w:rFonts w:cs="Tahoma"/>
          <w:snapToGrid w:val="0"/>
          <w:szCs w:val="18"/>
        </w:rPr>
        <w:t>Tendência básica de incidentes.</w:t>
      </w:r>
      <w:r w:rsidR="00172F11">
        <w:rPr>
          <w:rFonts w:cs="Tahoma"/>
          <w:snapToGrid w:val="0"/>
          <w:szCs w:val="18"/>
        </w:rPr>
        <w:t xml:space="preserve"> </w:t>
      </w:r>
      <w:r w:rsidRPr="004B208C">
        <w:rPr>
          <w:rFonts w:cs="Tahoma"/>
          <w:snapToGrid w:val="0"/>
          <w:szCs w:val="18"/>
        </w:rPr>
        <w:t>Um Gerente de Entrega Direta Profissional ajudará a</w:t>
      </w:r>
      <w:r w:rsidR="00765C3B">
        <w:rPr>
          <w:rFonts w:cs="Tahoma"/>
          <w:snapToGrid w:val="0"/>
          <w:szCs w:val="18"/>
        </w:rPr>
        <w:t> </w:t>
      </w:r>
      <w:r w:rsidRPr="004B208C">
        <w:rPr>
          <w:rFonts w:cs="Tahoma"/>
          <w:snapToGrid w:val="0"/>
          <w:szCs w:val="18"/>
        </w:rPr>
        <w:t>detectar e avaliar a causa-raiz de solicitações comuns de suporte enviadas pelos clientes, fornecendo sugestões sobre como minimizar tais problemas de suporte no futuro.</w:t>
      </w:r>
    </w:p>
    <w:p w:rsidR="00596386" w:rsidRPr="004B208C" w:rsidRDefault="00596386" w:rsidP="00A1385C">
      <w:pPr>
        <w:numPr>
          <w:ilvl w:val="0"/>
          <w:numId w:val="108"/>
        </w:numPr>
        <w:tabs>
          <w:tab w:val="left" w:pos="360"/>
        </w:tabs>
        <w:spacing w:after="60"/>
        <w:ind w:left="1440"/>
        <w:jc w:val="both"/>
        <w:rPr>
          <w:rFonts w:cs="Tahoma"/>
        </w:rPr>
      </w:pPr>
      <w:r w:rsidRPr="004B208C">
        <w:rPr>
          <w:rFonts w:cs="Tahoma"/>
          <w:b/>
          <w:color w:val="000000"/>
          <w:szCs w:val="18"/>
        </w:rPr>
        <w:t xml:space="preserve">Relatórios de Otimização do Windows Azure. </w:t>
      </w:r>
      <w:r w:rsidRPr="004B208C">
        <w:rPr>
          <w:rFonts w:cs="Tahoma"/>
          <w:szCs w:val="18"/>
        </w:rPr>
        <w:t>Um Gerente de Entrega Direta Profissional fornecerá relatórios regulares para ajudar a identificar riscos de segurança em potencial e</w:t>
      </w:r>
      <w:r w:rsidR="00765C3B">
        <w:rPr>
          <w:rFonts w:cs="Tahoma"/>
          <w:szCs w:val="18"/>
        </w:rPr>
        <w:t> </w:t>
      </w:r>
      <w:r w:rsidRPr="004B208C">
        <w:rPr>
          <w:rFonts w:cs="Tahoma"/>
          <w:szCs w:val="18"/>
        </w:rPr>
        <w:t>oportunidades de otimização.</w:t>
      </w:r>
      <w:r w:rsidR="00172F11">
        <w:rPr>
          <w:rFonts w:cs="Tahoma"/>
        </w:rPr>
        <w:t xml:space="preserve"> </w:t>
      </w:r>
    </w:p>
    <w:p w:rsidR="00A47BFD" w:rsidRPr="00765C3B" w:rsidRDefault="00A47BFD" w:rsidP="00596386">
      <w:pPr>
        <w:pStyle w:val="normal1"/>
        <w:jc w:val="both"/>
        <w:rPr>
          <w:rFonts w:ascii="Tahoma" w:hAnsi="Tahoma" w:cs="Tahoma"/>
          <w:sz w:val="18"/>
          <w:szCs w:val="18"/>
        </w:rPr>
      </w:pPr>
    </w:p>
    <w:p w:rsidR="00596386" w:rsidRPr="004B208C" w:rsidRDefault="00596386" w:rsidP="00596386">
      <w:pPr>
        <w:tabs>
          <w:tab w:val="left" w:pos="360"/>
        </w:tabs>
        <w:jc w:val="both"/>
        <w:rPr>
          <w:rFonts w:cs="Tahoma"/>
        </w:rPr>
      </w:pPr>
      <w:r w:rsidRPr="004B208C">
        <w:rPr>
          <w:rFonts w:cs="Tahoma"/>
          <w:b/>
          <w:sz w:val="24"/>
          <w:szCs w:val="18"/>
        </w:rPr>
        <w:t>Suporte Padrão para Windows Azure</w:t>
      </w:r>
    </w:p>
    <w:p w:rsidR="00596386" w:rsidRPr="004B208C" w:rsidRDefault="00596386" w:rsidP="00596386">
      <w:pPr>
        <w:tabs>
          <w:tab w:val="left" w:pos="360"/>
        </w:tabs>
        <w:jc w:val="both"/>
        <w:rPr>
          <w:rFonts w:cs="Tahoma"/>
        </w:rPr>
      </w:pPr>
    </w:p>
    <w:p w:rsidR="00596386" w:rsidRPr="004B208C" w:rsidRDefault="00A47BFD" w:rsidP="00596386">
      <w:pPr>
        <w:rPr>
          <w:rFonts w:cs="Tahoma"/>
        </w:rPr>
      </w:pPr>
      <w:r w:rsidRPr="004B208C">
        <w:rPr>
          <w:rFonts w:cs="Tahoma"/>
          <w:color w:val="000000"/>
          <w:szCs w:val="18"/>
        </w:rPr>
        <w:t>Os clientes são responsáveis pela definição do nível inicial de gravidade durante o processo de envio pela Web em alinhamento com o guia de gravidade fornecido a seguir.</w:t>
      </w:r>
      <w:r w:rsidR="00172F11">
        <w:rPr>
          <w:rFonts w:cs="Tahoma"/>
          <w:color w:val="000000"/>
          <w:szCs w:val="18"/>
        </w:rPr>
        <w:t xml:space="preserve"> </w:t>
      </w:r>
      <w:r w:rsidRPr="004B208C">
        <w:rPr>
          <w:rFonts w:cs="Tahoma"/>
          <w:color w:val="000000"/>
          <w:szCs w:val="18"/>
        </w:rPr>
        <w:t xml:space="preserve">A Microsoft pode reduzir o nível de gravidade se o cliente não puder fornecer os recursos ou as respostas adequadas para darmos continuidade aos esforços de resolução do problema. </w:t>
      </w:r>
      <w:r w:rsidRPr="004B208C">
        <w:rPr>
          <w:rFonts w:cs="Tahoma"/>
          <w:szCs w:val="18"/>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rsidR="00596386" w:rsidRPr="004B208C"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4B208C" w:rsidTr="002A6416">
        <w:tc>
          <w:tcPr>
            <w:tcW w:w="779" w:type="pct"/>
            <w:shd w:val="clear" w:color="auto" w:fill="FABF8F"/>
          </w:tcPr>
          <w:p w:rsidR="00596386" w:rsidRPr="004B208C" w:rsidRDefault="00596386" w:rsidP="0037031E">
            <w:pPr>
              <w:jc w:val="center"/>
              <w:rPr>
                <w:rFonts w:cs="Tahoma"/>
                <w:b/>
                <w:bCs/>
                <w:color w:val="000000"/>
                <w:sz w:val="20"/>
                <w:szCs w:val="18"/>
              </w:rPr>
            </w:pPr>
            <w:r w:rsidRPr="004B208C">
              <w:rPr>
                <w:rFonts w:cs="Tahoma"/>
                <w:b/>
                <w:bCs/>
                <w:color w:val="000000"/>
                <w:sz w:val="20"/>
                <w:szCs w:val="18"/>
              </w:rPr>
              <w:t>Severidade</w:t>
            </w:r>
          </w:p>
        </w:tc>
        <w:tc>
          <w:tcPr>
            <w:tcW w:w="1022" w:type="pct"/>
            <w:shd w:val="clear" w:color="auto" w:fill="FABF8F"/>
          </w:tcPr>
          <w:p w:rsidR="00596386" w:rsidRPr="004B208C" w:rsidRDefault="00596386" w:rsidP="0037031E">
            <w:pPr>
              <w:jc w:val="center"/>
              <w:rPr>
                <w:rFonts w:cs="Tahoma"/>
                <w:b/>
                <w:bCs/>
                <w:color w:val="000000"/>
                <w:sz w:val="20"/>
                <w:szCs w:val="18"/>
              </w:rPr>
            </w:pPr>
            <w:r w:rsidRPr="004B208C">
              <w:rPr>
                <w:rFonts w:cs="Tahoma"/>
                <w:b/>
                <w:bCs/>
                <w:color w:val="000000"/>
                <w:sz w:val="20"/>
                <w:szCs w:val="18"/>
              </w:rPr>
              <w:t>Contato</w:t>
            </w:r>
          </w:p>
        </w:tc>
        <w:tc>
          <w:tcPr>
            <w:tcW w:w="1571" w:type="pct"/>
            <w:shd w:val="clear" w:color="auto" w:fill="FABF8F"/>
          </w:tcPr>
          <w:p w:rsidR="00596386" w:rsidRPr="004B208C" w:rsidRDefault="00596386" w:rsidP="0037031E">
            <w:pPr>
              <w:jc w:val="center"/>
              <w:rPr>
                <w:rFonts w:cs="Tahoma"/>
                <w:b/>
                <w:bCs/>
                <w:color w:val="000000"/>
                <w:sz w:val="20"/>
                <w:szCs w:val="18"/>
              </w:rPr>
            </w:pPr>
            <w:r w:rsidRPr="004B208C">
              <w:rPr>
                <w:rFonts w:cs="Tahoma"/>
                <w:b/>
                <w:bCs/>
                <w:color w:val="000000"/>
                <w:sz w:val="20"/>
                <w:szCs w:val="18"/>
              </w:rPr>
              <w:t>Situação do Cliente</w:t>
            </w:r>
          </w:p>
        </w:tc>
        <w:tc>
          <w:tcPr>
            <w:tcW w:w="1628" w:type="pct"/>
            <w:shd w:val="clear" w:color="auto" w:fill="FABF8F"/>
          </w:tcPr>
          <w:p w:rsidR="00596386" w:rsidRPr="004B208C" w:rsidRDefault="00596386" w:rsidP="0037031E">
            <w:pPr>
              <w:jc w:val="center"/>
              <w:rPr>
                <w:rFonts w:cs="Tahoma"/>
                <w:b/>
                <w:bCs/>
                <w:color w:val="000000"/>
                <w:sz w:val="20"/>
                <w:szCs w:val="18"/>
              </w:rPr>
            </w:pPr>
            <w:r w:rsidRPr="004B208C">
              <w:rPr>
                <w:rFonts w:cs="Tahoma"/>
                <w:b/>
                <w:bCs/>
                <w:color w:val="000000"/>
                <w:sz w:val="20"/>
                <w:szCs w:val="18"/>
              </w:rPr>
              <w:t>Resposta Esperada da Microsoft</w:t>
            </w:r>
          </w:p>
        </w:tc>
      </w:tr>
      <w:tr w:rsidR="00596386" w:rsidRPr="004B208C" w:rsidTr="002A6416">
        <w:tc>
          <w:tcPr>
            <w:tcW w:w="779" w:type="pct"/>
          </w:tcPr>
          <w:p w:rsidR="00596386" w:rsidRPr="004B208C" w:rsidRDefault="00596386" w:rsidP="00647923">
            <w:pPr>
              <w:spacing w:after="60" w:line="240" w:lineRule="atLeast"/>
              <w:jc w:val="center"/>
              <w:rPr>
                <w:rFonts w:cs="Tahoma"/>
                <w:szCs w:val="18"/>
              </w:rPr>
            </w:pPr>
            <w:r w:rsidRPr="004B208C">
              <w:rPr>
                <w:rFonts w:cs="Tahoma"/>
                <w:szCs w:val="18"/>
              </w:rPr>
              <w:t>A</w:t>
            </w:r>
          </w:p>
        </w:tc>
        <w:tc>
          <w:tcPr>
            <w:tcW w:w="1022" w:type="pct"/>
          </w:tcPr>
          <w:p w:rsidR="00596386" w:rsidRPr="004B208C" w:rsidRDefault="00596386" w:rsidP="00647923">
            <w:pPr>
              <w:spacing w:after="60" w:line="240" w:lineRule="atLeast"/>
              <w:jc w:val="center"/>
              <w:rPr>
                <w:rFonts w:cs="Tahoma"/>
                <w:szCs w:val="18"/>
              </w:rPr>
            </w:pPr>
            <w:r w:rsidRPr="004B208C">
              <w:rPr>
                <w:rFonts w:cs="Tahoma"/>
                <w:szCs w:val="18"/>
              </w:rPr>
              <w:t>Solicitação pela Web</w:t>
            </w:r>
          </w:p>
        </w:tc>
        <w:tc>
          <w:tcPr>
            <w:tcW w:w="1571" w:type="pct"/>
          </w:tcPr>
          <w:p w:rsidR="00596386" w:rsidRPr="00765C3B" w:rsidRDefault="00596386" w:rsidP="00647923">
            <w:pPr>
              <w:spacing w:after="60" w:line="240" w:lineRule="atLeast"/>
              <w:rPr>
                <w:rFonts w:cs="Tahoma"/>
                <w:szCs w:val="18"/>
              </w:rPr>
            </w:pPr>
            <w:r w:rsidRPr="00765C3B">
              <w:rPr>
                <w:rFonts w:cs="Tahoma"/>
                <w:szCs w:val="18"/>
              </w:rPr>
              <w:t>Impacto crítico nos negócios:</w:t>
            </w:r>
          </w:p>
          <w:p w:rsidR="00596386" w:rsidRPr="00765C3B" w:rsidRDefault="00596386" w:rsidP="00647923">
            <w:pPr>
              <w:spacing w:after="60" w:line="240" w:lineRule="atLeast"/>
              <w:rPr>
                <w:rFonts w:cs="Tahoma"/>
                <w:szCs w:val="18"/>
              </w:rPr>
            </w:pPr>
            <w:r w:rsidRPr="00765C3B">
              <w:rPr>
                <w:rFonts w:cs="Tahoma"/>
                <w:szCs w:val="18"/>
              </w:rPr>
              <w:t>Perda ou degradação significativa de serviços (aplicativo inativo)</w:t>
            </w:r>
          </w:p>
          <w:p w:rsidR="00596386" w:rsidRPr="00765C3B" w:rsidRDefault="00596386" w:rsidP="00647923">
            <w:pPr>
              <w:spacing w:after="60" w:line="240" w:lineRule="atLeast"/>
              <w:rPr>
                <w:rFonts w:cs="Tahoma"/>
                <w:szCs w:val="18"/>
              </w:rPr>
            </w:pPr>
            <w:r w:rsidRPr="00765C3B">
              <w:rPr>
                <w:rFonts w:cs="Tahoma"/>
                <w:szCs w:val="18"/>
              </w:rPr>
              <w:t>Necessita de atenção em 2 horas</w:t>
            </w:r>
          </w:p>
        </w:tc>
        <w:tc>
          <w:tcPr>
            <w:tcW w:w="1628" w:type="pct"/>
          </w:tcPr>
          <w:p w:rsidR="00596386" w:rsidRPr="00765C3B" w:rsidRDefault="00596386" w:rsidP="00647923">
            <w:pPr>
              <w:spacing w:after="60" w:line="240" w:lineRule="atLeast"/>
              <w:rPr>
                <w:rFonts w:cs="Tahoma"/>
                <w:szCs w:val="18"/>
              </w:rPr>
            </w:pPr>
            <w:r w:rsidRPr="00765C3B">
              <w:rPr>
                <w:rFonts w:cs="Tahoma"/>
                <w:szCs w:val="18"/>
              </w:rPr>
              <w:t>1</w:t>
            </w:r>
            <w:r w:rsidRPr="00765C3B">
              <w:rPr>
                <w:rFonts w:cs="Tahoma"/>
                <w:szCs w:val="18"/>
                <w:vertAlign w:val="superscript"/>
              </w:rPr>
              <w:t>ª</w:t>
            </w:r>
            <w:r w:rsidRPr="00765C3B">
              <w:rPr>
                <w:rFonts w:cs="Tahoma"/>
                <w:szCs w:val="18"/>
              </w:rPr>
              <w:t xml:space="preserve"> resposta em 2 horas ou menos</w:t>
            </w:r>
          </w:p>
          <w:p w:rsidR="00596386" w:rsidRPr="00765C3B" w:rsidRDefault="00596386" w:rsidP="00647923">
            <w:pPr>
              <w:spacing w:after="60" w:line="240" w:lineRule="atLeast"/>
              <w:rPr>
                <w:rFonts w:cs="Tahoma"/>
                <w:szCs w:val="18"/>
              </w:rPr>
            </w:pPr>
          </w:p>
        </w:tc>
      </w:tr>
      <w:tr w:rsidR="00596386" w:rsidRPr="004B208C" w:rsidTr="002A6416">
        <w:tc>
          <w:tcPr>
            <w:tcW w:w="779" w:type="pct"/>
          </w:tcPr>
          <w:p w:rsidR="00596386" w:rsidRPr="004B208C" w:rsidRDefault="00596386" w:rsidP="00D824E9">
            <w:pPr>
              <w:keepNext/>
              <w:spacing w:after="60" w:line="240" w:lineRule="atLeast"/>
              <w:jc w:val="center"/>
              <w:rPr>
                <w:rFonts w:cs="Tahoma"/>
                <w:szCs w:val="18"/>
              </w:rPr>
            </w:pPr>
            <w:r w:rsidRPr="004B208C">
              <w:rPr>
                <w:rFonts w:cs="Tahoma"/>
                <w:szCs w:val="18"/>
              </w:rPr>
              <w:t>B</w:t>
            </w:r>
          </w:p>
        </w:tc>
        <w:tc>
          <w:tcPr>
            <w:tcW w:w="1022" w:type="pct"/>
          </w:tcPr>
          <w:p w:rsidR="00596386" w:rsidRPr="004B208C" w:rsidRDefault="00596386" w:rsidP="00647923">
            <w:pPr>
              <w:spacing w:after="60" w:line="240" w:lineRule="atLeast"/>
              <w:jc w:val="center"/>
              <w:rPr>
                <w:rFonts w:cs="Tahoma"/>
                <w:szCs w:val="18"/>
              </w:rPr>
            </w:pPr>
            <w:r w:rsidRPr="004B208C">
              <w:rPr>
                <w:rFonts w:cs="Tahoma"/>
                <w:szCs w:val="18"/>
              </w:rPr>
              <w:t>Solicitação pela Web</w:t>
            </w:r>
          </w:p>
        </w:tc>
        <w:tc>
          <w:tcPr>
            <w:tcW w:w="1571" w:type="pct"/>
          </w:tcPr>
          <w:p w:rsidR="00596386" w:rsidRPr="00765C3B" w:rsidRDefault="00596386" w:rsidP="00647923">
            <w:pPr>
              <w:spacing w:after="60" w:line="240" w:lineRule="atLeast"/>
              <w:rPr>
                <w:rFonts w:cs="Tahoma"/>
                <w:szCs w:val="18"/>
              </w:rPr>
            </w:pPr>
            <w:r w:rsidRPr="00765C3B">
              <w:rPr>
                <w:rFonts w:cs="Tahoma"/>
                <w:szCs w:val="18"/>
              </w:rPr>
              <w:t xml:space="preserve">Impacto moderado nos negócios: </w:t>
            </w:r>
          </w:p>
          <w:p w:rsidR="00596386" w:rsidRPr="00765C3B" w:rsidRDefault="00596386" w:rsidP="00647923">
            <w:pPr>
              <w:spacing w:line="240" w:lineRule="atLeast"/>
              <w:rPr>
                <w:rFonts w:cs="Tahoma"/>
                <w:szCs w:val="18"/>
              </w:rPr>
            </w:pPr>
            <w:r w:rsidRPr="00765C3B">
              <w:rPr>
                <w:rFonts w:cs="Tahoma"/>
                <w:szCs w:val="18"/>
              </w:rPr>
              <w:t>Perda ou degradação moderada dos serviços, mas o trabalho pode razoavelmente continuar de maneira prejudicada</w:t>
            </w:r>
          </w:p>
          <w:p w:rsidR="00596386" w:rsidRPr="00765C3B" w:rsidRDefault="00596386" w:rsidP="00647923">
            <w:pPr>
              <w:spacing w:after="60" w:line="240" w:lineRule="atLeast"/>
              <w:rPr>
                <w:rFonts w:cs="Tahoma"/>
                <w:szCs w:val="18"/>
              </w:rPr>
            </w:pPr>
            <w:r w:rsidRPr="00765C3B">
              <w:rPr>
                <w:rFonts w:cs="Tahoma"/>
                <w:szCs w:val="18"/>
              </w:rPr>
              <w:t>Necessita de atenção em 4 horas</w:t>
            </w:r>
          </w:p>
        </w:tc>
        <w:tc>
          <w:tcPr>
            <w:tcW w:w="1628" w:type="pct"/>
          </w:tcPr>
          <w:p w:rsidR="00596386" w:rsidRPr="00765C3B" w:rsidRDefault="00596386" w:rsidP="00647923">
            <w:pPr>
              <w:spacing w:line="240" w:lineRule="atLeast"/>
              <w:rPr>
                <w:rFonts w:cs="Tahoma"/>
                <w:szCs w:val="18"/>
              </w:rPr>
            </w:pPr>
            <w:r w:rsidRPr="00765C3B">
              <w:rPr>
                <w:rFonts w:cs="Tahoma"/>
                <w:szCs w:val="18"/>
              </w:rPr>
              <w:t>1</w:t>
            </w:r>
            <w:r w:rsidRPr="00765C3B">
              <w:rPr>
                <w:rFonts w:cs="Tahoma"/>
                <w:szCs w:val="18"/>
                <w:vertAlign w:val="superscript"/>
              </w:rPr>
              <w:t>ª</w:t>
            </w:r>
            <w:r w:rsidRPr="00765C3B">
              <w:rPr>
                <w:rFonts w:cs="Tahoma"/>
                <w:szCs w:val="18"/>
              </w:rPr>
              <w:t xml:space="preserve"> resposta em 4 horas ou menos</w:t>
            </w:r>
          </w:p>
          <w:p w:rsidR="00596386" w:rsidRPr="00765C3B" w:rsidRDefault="00596386" w:rsidP="00647923">
            <w:pPr>
              <w:spacing w:after="60" w:line="240" w:lineRule="atLeast"/>
              <w:rPr>
                <w:rFonts w:cs="Tahoma"/>
                <w:szCs w:val="18"/>
              </w:rPr>
            </w:pPr>
          </w:p>
        </w:tc>
      </w:tr>
      <w:tr w:rsidR="00596386" w:rsidRPr="004B208C" w:rsidTr="002A6416">
        <w:tc>
          <w:tcPr>
            <w:tcW w:w="779" w:type="pct"/>
          </w:tcPr>
          <w:p w:rsidR="00596386" w:rsidRPr="004B208C" w:rsidRDefault="00596386" w:rsidP="00647923">
            <w:pPr>
              <w:spacing w:after="60" w:line="240" w:lineRule="atLeast"/>
              <w:jc w:val="center"/>
              <w:rPr>
                <w:rFonts w:cs="Tahoma"/>
                <w:szCs w:val="18"/>
              </w:rPr>
            </w:pPr>
            <w:r w:rsidRPr="004B208C">
              <w:rPr>
                <w:rFonts w:cs="Tahoma"/>
                <w:szCs w:val="18"/>
              </w:rPr>
              <w:t>C</w:t>
            </w:r>
          </w:p>
        </w:tc>
        <w:tc>
          <w:tcPr>
            <w:tcW w:w="1022" w:type="pct"/>
          </w:tcPr>
          <w:p w:rsidR="00596386" w:rsidRPr="004B208C" w:rsidRDefault="00596386" w:rsidP="00647923">
            <w:pPr>
              <w:spacing w:after="60" w:line="240" w:lineRule="atLeast"/>
              <w:jc w:val="center"/>
              <w:rPr>
                <w:rFonts w:cs="Tahoma"/>
                <w:szCs w:val="18"/>
              </w:rPr>
            </w:pPr>
            <w:r w:rsidRPr="004B208C">
              <w:rPr>
                <w:rFonts w:cs="Tahoma"/>
                <w:szCs w:val="18"/>
              </w:rPr>
              <w:t>Solicitação pela Web</w:t>
            </w:r>
          </w:p>
        </w:tc>
        <w:tc>
          <w:tcPr>
            <w:tcW w:w="1571" w:type="pct"/>
          </w:tcPr>
          <w:p w:rsidR="00596386" w:rsidRPr="00765C3B" w:rsidRDefault="00596386" w:rsidP="00647923">
            <w:pPr>
              <w:rPr>
                <w:rFonts w:cs="Tahoma"/>
                <w:szCs w:val="18"/>
              </w:rPr>
            </w:pPr>
            <w:r w:rsidRPr="00765C3B">
              <w:rPr>
                <w:rFonts w:cs="Tahoma"/>
                <w:szCs w:val="18"/>
              </w:rPr>
              <w:t>Impacto mínimo nos negócios:</w:t>
            </w:r>
          </w:p>
          <w:p w:rsidR="00596386" w:rsidRPr="00765C3B" w:rsidRDefault="00596386" w:rsidP="00647923">
            <w:pPr>
              <w:rPr>
                <w:rFonts w:cs="Tahoma"/>
                <w:szCs w:val="18"/>
              </w:rPr>
            </w:pPr>
            <w:r w:rsidRPr="00765C3B">
              <w:rPr>
                <w:rFonts w:cs="Tahoma"/>
                <w:szCs w:val="18"/>
              </w:rPr>
              <w:t>Funcionamento de forma substancial, com poucos ou nenhum impedimento dos serviços</w:t>
            </w:r>
          </w:p>
          <w:p w:rsidR="00596386" w:rsidRPr="00765C3B" w:rsidRDefault="00596386" w:rsidP="00647923">
            <w:pPr>
              <w:spacing w:after="60" w:line="240" w:lineRule="atLeast"/>
              <w:rPr>
                <w:rFonts w:cs="Tahoma"/>
                <w:szCs w:val="18"/>
              </w:rPr>
            </w:pPr>
            <w:r w:rsidRPr="00765C3B">
              <w:rPr>
                <w:rFonts w:cs="Tahoma"/>
                <w:szCs w:val="18"/>
              </w:rPr>
              <w:t>Necessita de atenção em 8 horas</w:t>
            </w:r>
          </w:p>
        </w:tc>
        <w:tc>
          <w:tcPr>
            <w:tcW w:w="1628" w:type="pct"/>
          </w:tcPr>
          <w:p w:rsidR="00596386" w:rsidRPr="00765C3B" w:rsidRDefault="00596386" w:rsidP="00647923">
            <w:pPr>
              <w:rPr>
                <w:rFonts w:cs="Tahoma"/>
                <w:szCs w:val="18"/>
              </w:rPr>
            </w:pPr>
            <w:r w:rsidRPr="00765C3B">
              <w:rPr>
                <w:rFonts w:cs="Tahoma"/>
                <w:szCs w:val="18"/>
              </w:rPr>
              <w:t>1</w:t>
            </w:r>
            <w:r w:rsidRPr="00765C3B">
              <w:rPr>
                <w:rFonts w:cs="Tahoma"/>
                <w:szCs w:val="18"/>
                <w:vertAlign w:val="superscript"/>
              </w:rPr>
              <w:t>ª</w:t>
            </w:r>
            <w:r w:rsidRPr="00765C3B">
              <w:rPr>
                <w:rFonts w:cs="Tahoma"/>
                <w:szCs w:val="18"/>
              </w:rPr>
              <w:t xml:space="preserve"> resposta em 8 horas ou menos</w:t>
            </w:r>
          </w:p>
          <w:p w:rsidR="00596386" w:rsidRPr="00765C3B" w:rsidRDefault="00596386" w:rsidP="00647923">
            <w:pPr>
              <w:spacing w:line="240" w:lineRule="atLeast"/>
              <w:rPr>
                <w:rFonts w:cs="Tahoma"/>
                <w:szCs w:val="18"/>
              </w:rPr>
            </w:pPr>
          </w:p>
        </w:tc>
      </w:tr>
    </w:tbl>
    <w:p w:rsidR="00596386" w:rsidRPr="004B208C" w:rsidRDefault="00596386" w:rsidP="00596386">
      <w:pPr>
        <w:rPr>
          <w:rFonts w:cs="Tahoma"/>
        </w:rPr>
      </w:pPr>
    </w:p>
    <w:p w:rsidR="00596386" w:rsidRPr="004B208C" w:rsidRDefault="00596386" w:rsidP="00596386">
      <w:pPr>
        <w:tabs>
          <w:tab w:val="left" w:pos="360"/>
        </w:tabs>
        <w:jc w:val="both"/>
        <w:rPr>
          <w:rFonts w:cs="Tahoma"/>
        </w:rPr>
      </w:pPr>
      <w:r w:rsidRPr="004B208C">
        <w:rPr>
          <w:rFonts w:cs="Tahoma"/>
          <w:snapToGrid w:val="0"/>
          <w:color w:val="000000"/>
          <w:szCs w:val="18"/>
        </w:rPr>
        <w:t>Os clientes podem optar por receber um retorno de chamada da Microsoft em até 3 incidentes por mês.</w:t>
      </w:r>
      <w:r w:rsidR="00172F11">
        <w:rPr>
          <w:rFonts w:cs="Tahoma"/>
          <w:snapToGrid w:val="0"/>
          <w:color w:val="000000"/>
          <w:szCs w:val="18"/>
        </w:rPr>
        <w:t xml:space="preserve"> </w:t>
      </w:r>
      <w:r w:rsidRPr="004B208C">
        <w:rPr>
          <w:rFonts w:cs="Tahoma"/>
          <w:snapToGrid w:val="0"/>
          <w:color w:val="000000"/>
          <w:szCs w:val="18"/>
        </w:rPr>
        <w:t>Caso contrário, a equipe de Suporte do Windows Azure solucionará o problema e ajudará a resolver o incidente pelos canais online (por exemplo, por email ou portal do Windows Azure).</w:t>
      </w:r>
      <w:r w:rsidR="00172F11">
        <w:rPr>
          <w:rFonts w:cs="Tahoma"/>
          <w:snapToGrid w:val="0"/>
          <w:color w:val="000000"/>
          <w:szCs w:val="18"/>
        </w:rPr>
        <w:t xml:space="preserve"> </w:t>
      </w:r>
    </w:p>
    <w:p w:rsidR="00596386" w:rsidRDefault="00596386" w:rsidP="00DD7F8E">
      <w:pPr>
        <w:rPr>
          <w:rFonts w:cs="Tahoma"/>
        </w:rPr>
      </w:pPr>
    </w:p>
    <w:p w:rsidR="00DD7F8E" w:rsidRPr="004B208C" w:rsidRDefault="00DD7F8E" w:rsidP="00DD7F8E">
      <w:pPr>
        <w:rPr>
          <w:rFonts w:cs="Tahoma"/>
        </w:rPr>
      </w:pPr>
      <w:r w:rsidRPr="004B208C">
        <w:rPr>
          <w:rFonts w:cs="Tahoma"/>
          <w:b/>
          <w:sz w:val="24"/>
          <w:szCs w:val="24"/>
        </w:rPr>
        <w:t>Ofertas do Programa Microsoft Enterprise Strategy</w:t>
      </w:r>
    </w:p>
    <w:p w:rsidR="00DD7F8E" w:rsidRPr="004B208C" w:rsidRDefault="00DD7F8E" w:rsidP="00DD7F8E">
      <w:pPr>
        <w:rPr>
          <w:rFonts w:cs="Tahoma"/>
        </w:rPr>
      </w:pPr>
    </w:p>
    <w:p w:rsidR="00DD7F8E" w:rsidRPr="004B208C" w:rsidRDefault="00DD7F8E" w:rsidP="006D6BED">
      <w:pPr>
        <w:widowControl w:val="0"/>
        <w:tabs>
          <w:tab w:val="left" w:pos="720"/>
          <w:tab w:val="left" w:pos="1170"/>
        </w:tabs>
        <w:spacing w:after="60"/>
        <w:rPr>
          <w:rFonts w:cs="Tahoma"/>
        </w:rPr>
      </w:pPr>
      <w:r w:rsidRPr="004B208C">
        <w:rPr>
          <w:rFonts w:cs="Tahoma"/>
          <w:b/>
          <w:bCs/>
          <w:szCs w:val="18"/>
        </w:rPr>
        <w:t>Visão Geral do Programa Enterprise Strategy</w:t>
      </w:r>
    </w:p>
    <w:p w:rsidR="00BA5266" w:rsidRPr="004B208C" w:rsidRDefault="00BA5266" w:rsidP="006D6BED">
      <w:pPr>
        <w:widowControl w:val="0"/>
        <w:tabs>
          <w:tab w:val="left" w:pos="720"/>
          <w:tab w:val="left" w:pos="1170"/>
        </w:tabs>
        <w:spacing w:after="60"/>
        <w:rPr>
          <w:rFonts w:cs="Tahoma"/>
        </w:rPr>
      </w:pPr>
    </w:p>
    <w:p w:rsidR="00BA5266" w:rsidRPr="004B208C" w:rsidRDefault="00BA5266" w:rsidP="00BA5266">
      <w:pPr>
        <w:rPr>
          <w:rFonts w:cs="Tahoma"/>
        </w:rPr>
      </w:pPr>
      <w:r w:rsidRPr="004B208C">
        <w:rPr>
          <w:rFonts w:cs="Tahoma"/>
          <w:szCs w:val="18"/>
        </w:rPr>
        <w:t xml:space="preserve">O Programa Enterprise Strategy para o Contrato Microsoft Enterprise oferece aos clientes a consultoria de um Arquitetos Microsoft Enterprise e a Equipe de Prestação de Serviços Corporativos sobre como acelerar o tempo de adoção da tecnologia e como planejar uma alteração significativa para valorizar seu investimento feito nas tecnologias e nos produtos da Microsoft. </w:t>
      </w:r>
    </w:p>
    <w:p w:rsidR="00BA5266" w:rsidRPr="004B208C" w:rsidRDefault="00BA5266" w:rsidP="00BA5266">
      <w:pPr>
        <w:spacing w:after="60"/>
        <w:rPr>
          <w:rFonts w:cs="Tahoma"/>
        </w:rPr>
      </w:pPr>
    </w:p>
    <w:p w:rsidR="00BA5266" w:rsidRPr="004B208C" w:rsidRDefault="00BA5266" w:rsidP="00BA5266">
      <w:pPr>
        <w:spacing w:after="60"/>
        <w:rPr>
          <w:rFonts w:cs="Tahoma"/>
        </w:rPr>
      </w:pPr>
      <w:r w:rsidRPr="004B208C">
        <w:rPr>
          <w:rFonts w:cs="Tahoma"/>
          <w:szCs w:val="18"/>
        </w:rPr>
        <w:lastRenderedPageBreak/>
        <w:t>As ofertas do Programa Enterprise Strategy contêm os seguintes componentes, que serão fornecidos para cada ano do Contrato Enterprise do Cliente:</w:t>
      </w:r>
    </w:p>
    <w:p w:rsidR="00BA5266" w:rsidRPr="004B208C" w:rsidRDefault="00BA5266" w:rsidP="00BA5266">
      <w:pPr>
        <w:spacing w:after="60"/>
        <w:rPr>
          <w:rFonts w:cs="Tahoma"/>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4B208C" w:rsidTr="00D629A3">
        <w:tc>
          <w:tcPr>
            <w:tcW w:w="2555" w:type="dxa"/>
            <w:shd w:val="clear" w:color="auto" w:fill="FABF8F"/>
            <w:vAlign w:val="center"/>
          </w:tcPr>
          <w:p w:rsidR="00BA5266" w:rsidRPr="004B208C" w:rsidRDefault="00BA5266" w:rsidP="00D629A3">
            <w:pPr>
              <w:jc w:val="center"/>
              <w:rPr>
                <w:rFonts w:cs="Tahoma"/>
                <w:color w:val="000000"/>
                <w:szCs w:val="18"/>
              </w:rPr>
            </w:pPr>
            <w:r w:rsidRPr="004B208C">
              <w:rPr>
                <w:rFonts w:cs="Tahoma"/>
                <w:b/>
                <w:bCs/>
                <w:color w:val="000000"/>
                <w:sz w:val="20"/>
                <w:szCs w:val="18"/>
              </w:rPr>
              <w:t>Área</w:t>
            </w:r>
          </w:p>
        </w:tc>
        <w:tc>
          <w:tcPr>
            <w:tcW w:w="2268" w:type="dxa"/>
            <w:shd w:val="clear" w:color="auto" w:fill="FABF8F"/>
            <w:vAlign w:val="center"/>
          </w:tcPr>
          <w:p w:rsidR="00BA5266" w:rsidRPr="004B208C" w:rsidRDefault="00BA5266" w:rsidP="00D629A3">
            <w:pPr>
              <w:jc w:val="center"/>
              <w:rPr>
                <w:rFonts w:cs="Tahoma"/>
                <w:b/>
                <w:bCs/>
                <w:color w:val="000000"/>
                <w:sz w:val="20"/>
                <w:szCs w:val="20"/>
              </w:rPr>
            </w:pPr>
            <w:r w:rsidRPr="004B208C">
              <w:rPr>
                <w:rFonts w:cs="Tahoma"/>
                <w:b/>
                <w:bCs/>
                <w:color w:val="000000"/>
                <w:sz w:val="20"/>
                <w:szCs w:val="20"/>
              </w:rPr>
              <w:t>Enterprise Strategy Connect</w:t>
            </w:r>
          </w:p>
        </w:tc>
        <w:tc>
          <w:tcPr>
            <w:tcW w:w="2268" w:type="dxa"/>
            <w:shd w:val="clear" w:color="auto" w:fill="FABF8F"/>
            <w:vAlign w:val="center"/>
          </w:tcPr>
          <w:p w:rsidR="00BA5266" w:rsidRPr="004B208C" w:rsidRDefault="00BA5266" w:rsidP="00D629A3">
            <w:pPr>
              <w:jc w:val="center"/>
              <w:rPr>
                <w:rFonts w:cs="Tahoma"/>
                <w:color w:val="000000"/>
                <w:sz w:val="20"/>
                <w:szCs w:val="20"/>
              </w:rPr>
            </w:pPr>
            <w:r w:rsidRPr="004B208C">
              <w:rPr>
                <w:rFonts w:cs="Tahoma"/>
                <w:b/>
                <w:bCs/>
                <w:color w:val="000000"/>
                <w:sz w:val="20"/>
                <w:szCs w:val="20"/>
              </w:rPr>
              <w:t>Enterprise Strategy Foundation</w:t>
            </w:r>
          </w:p>
        </w:tc>
        <w:tc>
          <w:tcPr>
            <w:tcW w:w="2269" w:type="dxa"/>
            <w:shd w:val="clear" w:color="auto" w:fill="FABF8F"/>
            <w:vAlign w:val="center"/>
          </w:tcPr>
          <w:p w:rsidR="00BA5266" w:rsidRPr="004B208C" w:rsidRDefault="00BA5266" w:rsidP="00D629A3">
            <w:pPr>
              <w:jc w:val="center"/>
              <w:rPr>
                <w:rFonts w:cs="Tahoma"/>
                <w:b/>
                <w:bCs/>
                <w:color w:val="000000"/>
                <w:sz w:val="20"/>
                <w:szCs w:val="18"/>
              </w:rPr>
            </w:pPr>
            <w:r w:rsidRPr="004B208C">
              <w:rPr>
                <w:rFonts w:cs="Tahoma"/>
                <w:b/>
                <w:bCs/>
                <w:color w:val="000000"/>
                <w:sz w:val="20"/>
                <w:szCs w:val="18"/>
              </w:rPr>
              <w:t>Enterprise Strategy Portfolio</w:t>
            </w:r>
          </w:p>
        </w:tc>
      </w:tr>
      <w:tr w:rsidR="00BA5266" w:rsidRPr="004B208C" w:rsidTr="00D629A3">
        <w:trPr>
          <w:trHeight w:val="1088"/>
        </w:trPr>
        <w:tc>
          <w:tcPr>
            <w:tcW w:w="2555" w:type="dxa"/>
            <w:vAlign w:val="center"/>
          </w:tcPr>
          <w:p w:rsidR="00BA5266" w:rsidRPr="004B208C" w:rsidRDefault="00BA5266" w:rsidP="00D629A3">
            <w:pPr>
              <w:rPr>
                <w:rFonts w:cs="Tahoma"/>
                <w:color w:val="000000"/>
                <w:szCs w:val="18"/>
              </w:rPr>
            </w:pPr>
            <w:r w:rsidRPr="004B208C">
              <w:rPr>
                <w:rFonts w:cs="Tahoma"/>
                <w:color w:val="000000"/>
                <w:szCs w:val="18"/>
              </w:rPr>
              <w:t>Arquiteto Enterprise e Equipe de Prestação de Serviços Corporativos</w:t>
            </w:r>
          </w:p>
        </w:tc>
        <w:tc>
          <w:tcPr>
            <w:tcW w:w="2268" w:type="dxa"/>
            <w:vAlign w:val="center"/>
          </w:tcPr>
          <w:p w:rsidR="00BA5266" w:rsidRPr="004B208C" w:rsidRDefault="00BA5266" w:rsidP="00D629A3">
            <w:pPr>
              <w:jc w:val="center"/>
              <w:rPr>
                <w:rFonts w:eastAsia="MS UI Gothic" w:cs="Tahoma"/>
                <w:color w:val="000000"/>
                <w:szCs w:val="18"/>
              </w:rPr>
            </w:pPr>
            <w:r w:rsidRPr="004B208C">
              <w:rPr>
                <w:rFonts w:cs="Tahoma"/>
                <w:szCs w:val="18"/>
              </w:rPr>
              <w:t xml:space="preserve">Até 400 horas globais do Arquiteto Microsoft Enterprise e da Equipe de Prestação de Serviços </w:t>
            </w:r>
            <w:r w:rsidRPr="004B208C">
              <w:rPr>
                <w:rFonts w:cs="Tahoma"/>
                <w:color w:val="000000"/>
                <w:szCs w:val="18"/>
              </w:rPr>
              <w:t>Corporativos</w:t>
            </w:r>
            <w:r w:rsidR="00172F11">
              <w:rPr>
                <w:rFonts w:cs="Tahoma"/>
                <w:color w:val="000000"/>
                <w:szCs w:val="18"/>
              </w:rPr>
              <w:t xml:space="preserve"> </w:t>
            </w:r>
          </w:p>
        </w:tc>
        <w:tc>
          <w:tcPr>
            <w:tcW w:w="2268" w:type="dxa"/>
            <w:vAlign w:val="center"/>
          </w:tcPr>
          <w:p w:rsidR="00BA5266" w:rsidRPr="004B208C" w:rsidRDefault="00BA5266" w:rsidP="00D629A3">
            <w:pPr>
              <w:jc w:val="center"/>
              <w:rPr>
                <w:rFonts w:cs="Tahoma"/>
                <w:color w:val="000000"/>
                <w:szCs w:val="18"/>
              </w:rPr>
            </w:pPr>
            <w:r w:rsidRPr="004B208C">
              <w:rPr>
                <w:rFonts w:cs="Tahoma"/>
                <w:szCs w:val="18"/>
              </w:rPr>
              <w:t xml:space="preserve">Até 800 horas globais do Arquiteto Microsoft Enterprise e da Equipe de Prestação de Serviços </w:t>
            </w:r>
            <w:r w:rsidRPr="004B208C">
              <w:rPr>
                <w:rFonts w:cs="Tahoma"/>
                <w:color w:val="000000"/>
                <w:szCs w:val="18"/>
              </w:rPr>
              <w:t>Corporativos</w:t>
            </w:r>
            <w:r w:rsidR="00172F11">
              <w:rPr>
                <w:rFonts w:cs="Tahoma"/>
                <w:color w:val="000000"/>
                <w:szCs w:val="18"/>
              </w:rPr>
              <w:t xml:space="preserve"> </w:t>
            </w:r>
          </w:p>
        </w:tc>
        <w:tc>
          <w:tcPr>
            <w:tcW w:w="2269" w:type="dxa"/>
            <w:vAlign w:val="center"/>
          </w:tcPr>
          <w:p w:rsidR="00BA5266" w:rsidRPr="004B208C" w:rsidRDefault="00BA5266" w:rsidP="00D629A3">
            <w:pPr>
              <w:jc w:val="center"/>
              <w:rPr>
                <w:rFonts w:cs="Tahoma"/>
                <w:color w:val="000000"/>
                <w:szCs w:val="18"/>
              </w:rPr>
            </w:pPr>
            <w:r w:rsidRPr="004B208C">
              <w:rPr>
                <w:rFonts w:cs="Tahoma"/>
                <w:szCs w:val="18"/>
              </w:rPr>
              <w:t xml:space="preserve">Até 1600 horas globais do Arquiteto Microsoft Enterprise e da Equipe de Prestação de Serviços </w:t>
            </w:r>
            <w:r w:rsidRPr="004B208C">
              <w:rPr>
                <w:rFonts w:cs="Tahoma"/>
                <w:color w:val="000000"/>
                <w:szCs w:val="18"/>
              </w:rPr>
              <w:t>Corporativos</w:t>
            </w:r>
            <w:r w:rsidR="00172F11">
              <w:rPr>
                <w:rFonts w:cs="Tahoma"/>
                <w:color w:val="000000"/>
                <w:szCs w:val="18"/>
              </w:rPr>
              <w:t xml:space="preserve"> </w:t>
            </w:r>
          </w:p>
        </w:tc>
      </w:tr>
      <w:tr w:rsidR="00BA5266" w:rsidRPr="004B208C" w:rsidTr="00D629A3">
        <w:tc>
          <w:tcPr>
            <w:tcW w:w="2555" w:type="dxa"/>
            <w:vAlign w:val="center"/>
          </w:tcPr>
          <w:p w:rsidR="00BA5266" w:rsidRPr="004B208C" w:rsidRDefault="00BA5266" w:rsidP="00765C3B">
            <w:pPr>
              <w:rPr>
                <w:rFonts w:cs="Tahoma"/>
                <w:color w:val="000000"/>
                <w:szCs w:val="18"/>
              </w:rPr>
            </w:pPr>
            <w:r w:rsidRPr="004B208C">
              <w:rPr>
                <w:rFonts w:cs="Tahoma"/>
                <w:color w:val="000000"/>
                <w:szCs w:val="18"/>
              </w:rPr>
              <w:t>Plano de Prestação de</w:t>
            </w:r>
            <w:r w:rsidR="00765C3B">
              <w:rPr>
                <w:rFonts w:cs="Tahoma"/>
                <w:color w:val="000000"/>
                <w:szCs w:val="18"/>
              </w:rPr>
              <w:t> </w:t>
            </w:r>
            <w:r w:rsidRPr="004B208C">
              <w:rPr>
                <w:rFonts w:cs="Tahoma"/>
                <w:color w:val="000000"/>
                <w:szCs w:val="18"/>
              </w:rPr>
              <w:t>Serviços (SDP)</w:t>
            </w:r>
          </w:p>
        </w:tc>
        <w:tc>
          <w:tcPr>
            <w:tcW w:w="2268" w:type="dxa"/>
            <w:vAlign w:val="center"/>
          </w:tcPr>
          <w:p w:rsidR="00BA5266" w:rsidRPr="00765C3B" w:rsidDel="00F328FC" w:rsidRDefault="00BA5266" w:rsidP="00D629A3">
            <w:pPr>
              <w:jc w:val="center"/>
              <w:rPr>
                <w:rFonts w:ascii="Segoe UI Symbol" w:eastAsia="MS UI Gothic" w:hAnsi="Segoe UI Symbol" w:cs="Tahoma"/>
                <w:color w:val="000000"/>
                <w:szCs w:val="18"/>
              </w:rPr>
            </w:pPr>
            <w:r w:rsidRPr="00765C3B">
              <w:rPr>
                <w:rFonts w:ascii="MS Mincho" w:hAnsi="MS Mincho" w:cs="MS Mincho" w:hint="eastAsia"/>
                <w:color w:val="000000"/>
                <w:szCs w:val="18"/>
              </w:rPr>
              <w:t>✓</w:t>
            </w:r>
          </w:p>
        </w:tc>
        <w:tc>
          <w:tcPr>
            <w:tcW w:w="2268" w:type="dxa"/>
            <w:vAlign w:val="center"/>
          </w:tcPr>
          <w:p w:rsidR="00BA5266" w:rsidRPr="004B208C" w:rsidDel="00F328FC" w:rsidRDefault="00BA5266" w:rsidP="00D629A3">
            <w:pPr>
              <w:jc w:val="center"/>
              <w:rPr>
                <w:rFonts w:eastAsia="MS UI Gothic" w:cs="Tahoma"/>
                <w:color w:val="000000"/>
                <w:szCs w:val="18"/>
              </w:rPr>
            </w:pPr>
            <w:r w:rsidRPr="004B208C">
              <w:rPr>
                <w:rFonts w:ascii="MS UI Gothic" w:eastAsia="MS UI Gothic" w:hAnsi="MS UI Gothic" w:cs="MS UI Gothic" w:hint="eastAsia"/>
                <w:color w:val="000000"/>
                <w:szCs w:val="18"/>
              </w:rPr>
              <w:t>✓</w:t>
            </w:r>
          </w:p>
        </w:tc>
        <w:tc>
          <w:tcPr>
            <w:tcW w:w="2269" w:type="dxa"/>
            <w:vAlign w:val="center"/>
          </w:tcPr>
          <w:p w:rsidR="00BA5266" w:rsidRPr="004B208C" w:rsidDel="00F328FC" w:rsidRDefault="00BA5266" w:rsidP="00D629A3">
            <w:pPr>
              <w:jc w:val="center"/>
              <w:rPr>
                <w:rFonts w:eastAsia="MS UI Gothic" w:cs="Tahoma"/>
                <w:color w:val="000000"/>
                <w:szCs w:val="18"/>
              </w:rPr>
            </w:pPr>
            <w:r w:rsidRPr="004B208C">
              <w:rPr>
                <w:rFonts w:ascii="MS UI Gothic" w:eastAsia="MS UI Gothic" w:hAnsi="MS UI Gothic" w:cs="MS UI Gothic" w:hint="eastAsia"/>
                <w:szCs w:val="18"/>
              </w:rPr>
              <w:t>✓</w:t>
            </w:r>
          </w:p>
        </w:tc>
      </w:tr>
      <w:tr w:rsidR="00BA5266" w:rsidRPr="004B208C" w:rsidTr="00D629A3">
        <w:tc>
          <w:tcPr>
            <w:tcW w:w="2555" w:type="dxa"/>
            <w:vAlign w:val="center"/>
          </w:tcPr>
          <w:p w:rsidR="00BA5266" w:rsidRPr="004B208C" w:rsidRDefault="00BA5266" w:rsidP="00D629A3">
            <w:pPr>
              <w:rPr>
                <w:rFonts w:cs="Tahoma"/>
                <w:color w:val="000000"/>
                <w:szCs w:val="18"/>
              </w:rPr>
            </w:pPr>
            <w:r w:rsidRPr="004B208C">
              <w:rPr>
                <w:rFonts w:cs="Tahoma"/>
                <w:color w:val="000000"/>
                <w:szCs w:val="18"/>
              </w:rPr>
              <w:t>Enterprise Strategy Network</w:t>
            </w:r>
          </w:p>
        </w:tc>
        <w:tc>
          <w:tcPr>
            <w:tcW w:w="2268" w:type="dxa"/>
            <w:vAlign w:val="center"/>
          </w:tcPr>
          <w:p w:rsidR="00BA5266" w:rsidRPr="004B208C" w:rsidRDefault="00BA5266" w:rsidP="00D629A3">
            <w:pPr>
              <w:jc w:val="center"/>
              <w:rPr>
                <w:rFonts w:eastAsia="MS UI Gothic" w:cs="Tahoma"/>
                <w:color w:val="000000"/>
                <w:szCs w:val="18"/>
              </w:rPr>
            </w:pPr>
            <w:r w:rsidRPr="004B208C">
              <w:rPr>
                <w:rFonts w:ascii="MS UI Gothic" w:eastAsia="MS UI Gothic" w:hAnsi="MS UI Gothic" w:cs="MS UI Gothic" w:hint="eastAsia"/>
                <w:color w:val="000000"/>
                <w:szCs w:val="18"/>
              </w:rPr>
              <w:t>✓</w:t>
            </w:r>
          </w:p>
        </w:tc>
        <w:tc>
          <w:tcPr>
            <w:tcW w:w="2268" w:type="dxa"/>
            <w:vAlign w:val="center"/>
          </w:tcPr>
          <w:p w:rsidR="00BA5266" w:rsidRPr="004B208C" w:rsidRDefault="00BA5266" w:rsidP="00D629A3">
            <w:pPr>
              <w:jc w:val="center"/>
              <w:rPr>
                <w:rFonts w:eastAsia="MS UI Gothic" w:cs="Tahoma"/>
                <w:color w:val="000000"/>
                <w:szCs w:val="18"/>
              </w:rPr>
            </w:pPr>
            <w:r w:rsidRPr="004B208C">
              <w:rPr>
                <w:rFonts w:ascii="MS UI Gothic" w:eastAsia="MS UI Gothic" w:hAnsi="MS UI Gothic" w:cs="MS UI Gothic" w:hint="eastAsia"/>
                <w:color w:val="000000"/>
                <w:szCs w:val="18"/>
              </w:rPr>
              <w:t>✓</w:t>
            </w:r>
          </w:p>
        </w:tc>
        <w:tc>
          <w:tcPr>
            <w:tcW w:w="2269" w:type="dxa"/>
            <w:vAlign w:val="center"/>
          </w:tcPr>
          <w:p w:rsidR="00BA5266" w:rsidRPr="004B208C" w:rsidRDefault="00BA5266" w:rsidP="00D629A3">
            <w:pPr>
              <w:jc w:val="center"/>
              <w:rPr>
                <w:rFonts w:eastAsia="MS UI Gothic" w:cs="Tahoma"/>
                <w:szCs w:val="18"/>
              </w:rPr>
            </w:pPr>
            <w:r w:rsidRPr="004B208C">
              <w:rPr>
                <w:rFonts w:ascii="MS UI Gothic" w:eastAsia="MS UI Gothic" w:hAnsi="MS UI Gothic" w:cs="MS UI Gothic" w:hint="eastAsia"/>
                <w:szCs w:val="18"/>
              </w:rPr>
              <w:t>✓</w:t>
            </w:r>
          </w:p>
        </w:tc>
      </w:tr>
      <w:tr w:rsidR="00BA5266" w:rsidRPr="004B208C" w:rsidTr="00D629A3">
        <w:tc>
          <w:tcPr>
            <w:tcW w:w="2555" w:type="dxa"/>
            <w:vAlign w:val="center"/>
          </w:tcPr>
          <w:p w:rsidR="00BA5266" w:rsidRPr="004B208C" w:rsidRDefault="00BA5266" w:rsidP="00D629A3">
            <w:pPr>
              <w:rPr>
                <w:rFonts w:cs="Tahoma"/>
                <w:color w:val="000000"/>
                <w:szCs w:val="18"/>
              </w:rPr>
            </w:pPr>
            <w:r w:rsidRPr="004B208C">
              <w:rPr>
                <w:rFonts w:cs="Tahoma"/>
                <w:color w:val="000000"/>
                <w:szCs w:val="18"/>
              </w:rPr>
              <w:t>Enterprise Strategy Library</w:t>
            </w:r>
          </w:p>
        </w:tc>
        <w:tc>
          <w:tcPr>
            <w:tcW w:w="2268" w:type="dxa"/>
            <w:vAlign w:val="center"/>
          </w:tcPr>
          <w:p w:rsidR="00BA5266" w:rsidRPr="004B208C" w:rsidRDefault="00BA5266" w:rsidP="00D629A3">
            <w:pPr>
              <w:jc w:val="center"/>
              <w:rPr>
                <w:rFonts w:eastAsia="MS UI Gothic" w:cs="Tahoma"/>
                <w:color w:val="000000"/>
                <w:szCs w:val="18"/>
              </w:rPr>
            </w:pPr>
            <w:r w:rsidRPr="004B208C">
              <w:rPr>
                <w:rFonts w:ascii="MS UI Gothic" w:eastAsia="MS UI Gothic" w:hAnsi="MS UI Gothic" w:cs="MS UI Gothic" w:hint="eastAsia"/>
                <w:color w:val="000000"/>
                <w:szCs w:val="18"/>
              </w:rPr>
              <w:t>✓</w:t>
            </w:r>
          </w:p>
        </w:tc>
        <w:tc>
          <w:tcPr>
            <w:tcW w:w="2268" w:type="dxa"/>
            <w:vAlign w:val="center"/>
          </w:tcPr>
          <w:p w:rsidR="00BA5266" w:rsidRPr="004B208C" w:rsidRDefault="00BA5266" w:rsidP="00D629A3">
            <w:pPr>
              <w:jc w:val="center"/>
              <w:rPr>
                <w:rFonts w:eastAsia="MS UI Gothic" w:cs="Tahoma"/>
                <w:color w:val="000000"/>
                <w:szCs w:val="18"/>
              </w:rPr>
            </w:pPr>
            <w:r w:rsidRPr="004B208C">
              <w:rPr>
                <w:rFonts w:ascii="MS UI Gothic" w:eastAsia="MS UI Gothic" w:hAnsi="MS UI Gothic" w:cs="MS UI Gothic" w:hint="eastAsia"/>
                <w:color w:val="000000"/>
                <w:szCs w:val="18"/>
              </w:rPr>
              <w:t>✓</w:t>
            </w:r>
          </w:p>
        </w:tc>
        <w:tc>
          <w:tcPr>
            <w:tcW w:w="2269" w:type="dxa"/>
            <w:vAlign w:val="center"/>
          </w:tcPr>
          <w:p w:rsidR="00BA5266" w:rsidRPr="004B208C" w:rsidRDefault="00BA5266" w:rsidP="00D629A3">
            <w:pPr>
              <w:jc w:val="center"/>
              <w:rPr>
                <w:rFonts w:eastAsia="MS UI Gothic" w:cs="Tahoma"/>
                <w:szCs w:val="18"/>
              </w:rPr>
            </w:pPr>
            <w:r w:rsidRPr="004B208C">
              <w:rPr>
                <w:rFonts w:ascii="MS UI Gothic" w:eastAsia="MS UI Gothic" w:hAnsi="MS UI Gothic" w:cs="MS UI Gothic" w:hint="eastAsia"/>
                <w:color w:val="000000"/>
                <w:szCs w:val="18"/>
              </w:rPr>
              <w:t>✓</w:t>
            </w:r>
          </w:p>
        </w:tc>
      </w:tr>
      <w:tr w:rsidR="00BA5266" w:rsidRPr="004B208C" w:rsidTr="00D629A3">
        <w:tc>
          <w:tcPr>
            <w:tcW w:w="2555" w:type="dxa"/>
            <w:vAlign w:val="center"/>
          </w:tcPr>
          <w:p w:rsidR="00BA5266" w:rsidRPr="004B208C" w:rsidRDefault="00BA5266" w:rsidP="00D629A3">
            <w:pPr>
              <w:rPr>
                <w:rFonts w:cs="Tahoma"/>
                <w:color w:val="000000"/>
                <w:szCs w:val="18"/>
              </w:rPr>
            </w:pPr>
            <w:r w:rsidRPr="004B208C">
              <w:rPr>
                <w:rFonts w:cs="Tahoma"/>
                <w:color w:val="000000"/>
                <w:szCs w:val="18"/>
              </w:rPr>
              <w:t>Enterprise</w:t>
            </w:r>
            <w:r w:rsidR="00172F11">
              <w:rPr>
                <w:rFonts w:cs="Tahoma"/>
                <w:color w:val="000000"/>
                <w:szCs w:val="18"/>
              </w:rPr>
              <w:t xml:space="preserve"> </w:t>
            </w:r>
            <w:r w:rsidRPr="004B208C">
              <w:rPr>
                <w:rFonts w:cs="Tahoma"/>
                <w:color w:val="000000"/>
                <w:szCs w:val="18"/>
              </w:rPr>
              <w:t xml:space="preserve">Strategy </w:t>
            </w:r>
            <w:r w:rsidRPr="004B208C">
              <w:rPr>
                <w:rFonts w:cs="Tahoma"/>
                <w:color w:val="000000"/>
                <w:szCs w:val="18"/>
              </w:rPr>
              <w:br/>
              <w:t>Capacity Complementar</w:t>
            </w:r>
          </w:p>
        </w:tc>
        <w:tc>
          <w:tcPr>
            <w:tcW w:w="2268" w:type="dxa"/>
            <w:vAlign w:val="center"/>
          </w:tcPr>
          <w:p w:rsidR="00BA5266" w:rsidRPr="004B208C" w:rsidRDefault="00BA5266" w:rsidP="00D629A3">
            <w:pPr>
              <w:jc w:val="center"/>
              <w:rPr>
                <w:rFonts w:eastAsia="MS UI Gothic" w:cs="Tahoma"/>
                <w:color w:val="000000"/>
                <w:szCs w:val="18"/>
              </w:rPr>
            </w:pPr>
            <w:r w:rsidRPr="004B208C">
              <w:rPr>
                <w:rFonts w:cs="Tahoma"/>
                <w:color w:val="000000"/>
                <w:szCs w:val="18"/>
              </w:rPr>
              <w:t>200 horas</w:t>
            </w:r>
          </w:p>
        </w:tc>
        <w:tc>
          <w:tcPr>
            <w:tcW w:w="2268" w:type="dxa"/>
            <w:vAlign w:val="center"/>
          </w:tcPr>
          <w:p w:rsidR="00BA5266" w:rsidRPr="004B208C" w:rsidRDefault="00BA5266" w:rsidP="00D629A3">
            <w:pPr>
              <w:jc w:val="center"/>
              <w:rPr>
                <w:rFonts w:eastAsia="MS UI Gothic" w:cs="Tahoma"/>
                <w:color w:val="000000"/>
                <w:szCs w:val="18"/>
              </w:rPr>
            </w:pPr>
            <w:r w:rsidRPr="004B208C">
              <w:rPr>
                <w:rFonts w:cs="Tahoma"/>
                <w:color w:val="000000"/>
                <w:szCs w:val="18"/>
              </w:rPr>
              <w:t>200 horas</w:t>
            </w:r>
          </w:p>
        </w:tc>
        <w:tc>
          <w:tcPr>
            <w:tcW w:w="2269" w:type="dxa"/>
            <w:vAlign w:val="center"/>
          </w:tcPr>
          <w:p w:rsidR="00BA5266" w:rsidRPr="004B208C" w:rsidRDefault="00BA5266" w:rsidP="00D629A3">
            <w:pPr>
              <w:jc w:val="center"/>
              <w:rPr>
                <w:rFonts w:eastAsia="MS UI Gothic" w:cs="Tahoma"/>
                <w:szCs w:val="18"/>
              </w:rPr>
            </w:pPr>
            <w:r w:rsidRPr="004B208C">
              <w:rPr>
                <w:rFonts w:cs="Tahoma"/>
                <w:color w:val="000000"/>
                <w:szCs w:val="18"/>
              </w:rPr>
              <w:t>200 horas</w:t>
            </w:r>
          </w:p>
        </w:tc>
      </w:tr>
    </w:tbl>
    <w:p w:rsidR="00BA5266" w:rsidRPr="000C5087" w:rsidRDefault="00BA5266" w:rsidP="00BA5266">
      <w:pPr>
        <w:rPr>
          <w:rFonts w:eastAsia="Times New Roman" w:cs="Tahoma"/>
          <w:i/>
          <w:sz w:val="16"/>
          <w:szCs w:val="20"/>
        </w:rPr>
      </w:pPr>
    </w:p>
    <w:p w:rsidR="00BA5266" w:rsidRPr="000C5087" w:rsidRDefault="00BA5266" w:rsidP="00BA5266">
      <w:pPr>
        <w:rPr>
          <w:rFonts w:eastAsia="Times New Roman" w:cs="Tahoma"/>
          <w:i/>
          <w:sz w:val="16"/>
          <w:szCs w:val="20"/>
        </w:rPr>
      </w:pPr>
    </w:p>
    <w:p w:rsidR="00BA5266" w:rsidRPr="004B208C" w:rsidRDefault="00BA5266" w:rsidP="00BA5266">
      <w:pPr>
        <w:spacing w:after="60"/>
        <w:rPr>
          <w:rFonts w:cs="Tahoma"/>
        </w:rPr>
      </w:pPr>
      <w:r w:rsidRPr="004B208C">
        <w:rPr>
          <w:rFonts w:cs="Tahoma"/>
          <w:b/>
        </w:rPr>
        <w:t xml:space="preserve">O Arquiteto Enterprise: </w:t>
      </w:r>
    </w:p>
    <w:p w:rsidR="00BA5266" w:rsidRPr="004B208C" w:rsidRDefault="00BA5266" w:rsidP="00A1385C">
      <w:pPr>
        <w:numPr>
          <w:ilvl w:val="0"/>
          <w:numId w:val="73"/>
        </w:numPr>
        <w:spacing w:after="60"/>
        <w:ind w:left="630"/>
        <w:contextualSpacing/>
        <w:rPr>
          <w:rFonts w:cs="Tahoma"/>
        </w:rPr>
      </w:pPr>
      <w:r w:rsidRPr="004B208C">
        <w:rPr>
          <w:rFonts w:eastAsia="Times New Roman" w:cs="Tahoma"/>
          <w:szCs w:val="20"/>
        </w:rPr>
        <w:t xml:space="preserve">Trabalhará juntamente com o Cliente para criar </w:t>
      </w:r>
      <w:r w:rsidRPr="004B208C">
        <w:rPr>
          <w:rFonts w:cs="Tahoma"/>
        </w:rPr>
        <w:t>e fornecer um Plano de Prestação de Serviços a ser seguido pelo Cliente que define etapas e metas e estabelece processos, dados e regras para monitorar o progresso com relação ao plano;</w:t>
      </w:r>
    </w:p>
    <w:p w:rsidR="00BA5266" w:rsidRPr="004B208C" w:rsidRDefault="00BA5266" w:rsidP="00A1385C">
      <w:pPr>
        <w:numPr>
          <w:ilvl w:val="0"/>
          <w:numId w:val="73"/>
        </w:numPr>
        <w:spacing w:after="60"/>
        <w:ind w:left="630"/>
        <w:contextualSpacing/>
        <w:rPr>
          <w:rFonts w:cs="Tahoma"/>
        </w:rPr>
      </w:pPr>
      <w:r w:rsidRPr="004B208C">
        <w:rPr>
          <w:rFonts w:cs="Tahoma"/>
        </w:rPr>
        <w:t>Apresentará atualizações mensais de status do progresso com relação ao plano;</w:t>
      </w:r>
    </w:p>
    <w:p w:rsidR="00BA5266" w:rsidRPr="004B208C" w:rsidRDefault="00BA5266" w:rsidP="00A1385C">
      <w:pPr>
        <w:numPr>
          <w:ilvl w:val="0"/>
          <w:numId w:val="73"/>
        </w:numPr>
        <w:spacing w:after="60"/>
        <w:ind w:left="630"/>
        <w:contextualSpacing/>
        <w:rPr>
          <w:rFonts w:cs="Tahoma"/>
        </w:rPr>
      </w:pPr>
      <w:r w:rsidRPr="004B208C">
        <w:rPr>
          <w:rFonts w:cs="Tahoma"/>
        </w:rPr>
        <w:t>Gerenciará os recursos da Microsoft (Enterprise Strategy Network e Equipe de Prestação de Serviços Corporativos) complementando a prestação.</w:t>
      </w:r>
    </w:p>
    <w:p w:rsidR="00BA5266" w:rsidRPr="004B208C" w:rsidRDefault="00BA5266" w:rsidP="00BA5266">
      <w:pPr>
        <w:spacing w:after="60"/>
        <w:rPr>
          <w:rFonts w:cs="Tahoma"/>
        </w:rPr>
      </w:pPr>
    </w:p>
    <w:p w:rsidR="00BA5266" w:rsidRPr="004B208C" w:rsidRDefault="00BA5266" w:rsidP="00BA5266">
      <w:pPr>
        <w:rPr>
          <w:rFonts w:cs="Tahoma"/>
        </w:rPr>
      </w:pPr>
      <w:r w:rsidRPr="004B208C">
        <w:rPr>
          <w:rFonts w:cs="Tahoma"/>
          <w:b/>
          <w:szCs w:val="18"/>
        </w:rPr>
        <w:t>A Equipe de Prestação de Serviços Corporativos:</w:t>
      </w:r>
      <w:r w:rsidRPr="004B208C">
        <w:rPr>
          <w:rFonts w:cs="Tahoma"/>
          <w:szCs w:val="18"/>
        </w:rPr>
        <w:t xml:space="preserve"> </w:t>
      </w:r>
    </w:p>
    <w:p w:rsidR="00BA5266" w:rsidRPr="004B208C" w:rsidRDefault="00BA5266" w:rsidP="00A1385C">
      <w:pPr>
        <w:numPr>
          <w:ilvl w:val="0"/>
          <w:numId w:val="73"/>
        </w:numPr>
        <w:spacing w:after="60"/>
        <w:ind w:left="630"/>
        <w:contextualSpacing/>
        <w:rPr>
          <w:rFonts w:cs="Tahoma"/>
        </w:rPr>
      </w:pPr>
      <w:r w:rsidRPr="004B208C">
        <w:rPr>
          <w:rFonts w:eastAsia="Times New Roman" w:cs="Tahoma"/>
          <w:szCs w:val="20"/>
        </w:rPr>
        <w:t xml:space="preserve">Inclui recursos dos Serviços da Microsoft </w:t>
      </w:r>
      <w:r w:rsidRPr="004B208C">
        <w:rPr>
          <w:rFonts w:cs="Tahoma"/>
        </w:rPr>
        <w:t>e Centros de Excelência em Serviços (CoEs)</w:t>
      </w:r>
      <w:r w:rsidRPr="004B208C">
        <w:rPr>
          <w:rFonts w:eastAsia="Times New Roman" w:cs="Tahoma"/>
          <w:szCs w:val="20"/>
        </w:rPr>
        <w:t>;</w:t>
      </w:r>
    </w:p>
    <w:p w:rsidR="00BA5266" w:rsidRPr="004B208C" w:rsidRDefault="00BA5266" w:rsidP="00A1385C">
      <w:pPr>
        <w:numPr>
          <w:ilvl w:val="0"/>
          <w:numId w:val="73"/>
        </w:numPr>
        <w:spacing w:after="60"/>
        <w:ind w:left="630"/>
        <w:contextualSpacing/>
        <w:rPr>
          <w:rFonts w:cs="Tahoma"/>
        </w:rPr>
      </w:pPr>
      <w:r w:rsidRPr="004B208C">
        <w:rPr>
          <w:rFonts w:eastAsia="Times New Roman" w:cs="Tahoma"/>
          <w:szCs w:val="20"/>
        </w:rPr>
        <w:t>Compatível com os Arquitetos Enterprise com experiência no assunto;</w:t>
      </w:r>
    </w:p>
    <w:p w:rsidR="00BA5266" w:rsidRPr="004B208C" w:rsidRDefault="00BA5266" w:rsidP="00A1385C">
      <w:pPr>
        <w:numPr>
          <w:ilvl w:val="0"/>
          <w:numId w:val="73"/>
        </w:numPr>
        <w:spacing w:after="60"/>
        <w:ind w:left="630"/>
        <w:contextualSpacing/>
        <w:rPr>
          <w:rFonts w:cs="Tahoma"/>
        </w:rPr>
      </w:pPr>
      <w:r w:rsidRPr="004B208C">
        <w:rPr>
          <w:rFonts w:eastAsia="Times New Roman" w:cs="Tahoma"/>
          <w:szCs w:val="20"/>
        </w:rPr>
        <w:t>Fornece ao Cliente consultoria de práticas recomendadas, orientações específicas em arquiteturas de</w:t>
      </w:r>
      <w:r w:rsidR="000C5087">
        <w:rPr>
          <w:rFonts w:eastAsia="Times New Roman" w:cs="Tahoma"/>
          <w:szCs w:val="20"/>
        </w:rPr>
        <w:t> </w:t>
      </w:r>
      <w:r w:rsidRPr="004B208C">
        <w:rPr>
          <w:rFonts w:eastAsia="Times New Roman" w:cs="Tahoma"/>
          <w:szCs w:val="20"/>
        </w:rPr>
        <w:t>referência e tecnologias da Microsoft.</w:t>
      </w:r>
      <w:r w:rsidRPr="004B208C">
        <w:rPr>
          <w:rFonts w:cs="Tahoma"/>
        </w:rPr>
        <w:t xml:space="preserve"> </w:t>
      </w:r>
    </w:p>
    <w:p w:rsidR="00BA5266" w:rsidRPr="004B208C" w:rsidRDefault="00BA5266" w:rsidP="00BA5266">
      <w:pPr>
        <w:spacing w:after="60"/>
        <w:ind w:left="630"/>
        <w:contextualSpacing/>
        <w:rPr>
          <w:rFonts w:cs="Tahoma"/>
        </w:rPr>
      </w:pPr>
    </w:p>
    <w:p w:rsidR="00BA5266" w:rsidRPr="004B208C" w:rsidRDefault="00BA5266" w:rsidP="00BA5266">
      <w:pPr>
        <w:rPr>
          <w:rFonts w:cs="Tahoma"/>
        </w:rPr>
      </w:pPr>
      <w:r w:rsidRPr="004B208C">
        <w:rPr>
          <w:rFonts w:cs="Tahoma"/>
          <w:b/>
          <w:bCs/>
          <w:color w:val="000000"/>
          <w:szCs w:val="18"/>
        </w:rPr>
        <w:t xml:space="preserve">Plano de Prestação de Serviços (SDP): </w:t>
      </w:r>
      <w:r w:rsidRPr="004B208C">
        <w:rPr>
          <w:rFonts w:cs="Tahoma"/>
          <w:bCs/>
          <w:color w:val="000000"/>
          <w:szCs w:val="18"/>
        </w:rPr>
        <w:t>Um documento de planejamento atualizado com frequência escrito pelo Arquiteto Enterprise em consultoria com o Patrocinador Executivo do Cliente (ou seu delegado), que é destinado a</w:t>
      </w:r>
      <w:r w:rsidR="00840261">
        <w:rPr>
          <w:rFonts w:cs="Tahoma"/>
          <w:bCs/>
          <w:color w:val="000000"/>
          <w:szCs w:val="18"/>
        </w:rPr>
        <w:t> </w:t>
      </w:r>
      <w:r w:rsidRPr="004B208C">
        <w:rPr>
          <w:rFonts w:cs="Tahoma"/>
          <w:bCs/>
          <w:color w:val="000000"/>
          <w:szCs w:val="18"/>
        </w:rPr>
        <w:t>servir como uma explicação geral do processo de prestação de Serviços, incluindo detalhes sobre o escopo da iniciativa, cronograma de fornecimento esperado, requisitos de recursos, funções e responsabilidades e o processo de gerenciamento de implementação.</w:t>
      </w:r>
      <w:r w:rsidR="00172F11">
        <w:rPr>
          <w:rFonts w:cs="Tahoma"/>
          <w:bCs/>
          <w:color w:val="000000"/>
          <w:szCs w:val="18"/>
        </w:rPr>
        <w:t xml:space="preserve"> </w:t>
      </w:r>
      <w:r w:rsidRPr="004B208C">
        <w:rPr>
          <w:rFonts w:cs="Tahoma"/>
          <w:bCs/>
          <w:color w:val="000000"/>
          <w:szCs w:val="18"/>
        </w:rPr>
        <w:br/>
      </w:r>
      <w:r w:rsidRPr="004B208C">
        <w:rPr>
          <w:rFonts w:cs="Tahoma"/>
          <w:bCs/>
          <w:color w:val="000000"/>
          <w:szCs w:val="18"/>
        </w:rPr>
        <w:br/>
        <w:t>As recomendações principais do compromisso da Enterprise Strategy que exigirão trabalho posterior do Arquiteto Enterprise ou de outros recursos par atingir os resultados desejados também serão incluídos no SDP.</w:t>
      </w:r>
      <w:r w:rsidR="00172F11">
        <w:rPr>
          <w:rFonts w:cs="Tahoma"/>
          <w:bCs/>
          <w:color w:val="000000"/>
          <w:szCs w:val="18"/>
        </w:rPr>
        <w:t xml:space="preserve"> </w:t>
      </w:r>
      <w:r w:rsidRPr="004B208C">
        <w:rPr>
          <w:rFonts w:cs="Tahoma"/>
          <w:bCs/>
          <w:color w:val="000000"/>
          <w:szCs w:val="18"/>
        </w:rPr>
        <w:t>Quaisquer cronogramas, datas e programações de fornecimento no SDP são estimativas somente e poderão variar com base no</w:t>
      </w:r>
      <w:r w:rsidR="00840261">
        <w:rPr>
          <w:rFonts w:cs="Tahoma"/>
          <w:bCs/>
          <w:color w:val="000000"/>
          <w:szCs w:val="18"/>
        </w:rPr>
        <w:t> </w:t>
      </w:r>
      <w:r w:rsidRPr="004B208C">
        <w:rPr>
          <w:rFonts w:cs="Tahoma"/>
          <w:bCs/>
          <w:color w:val="000000"/>
          <w:szCs w:val="18"/>
        </w:rPr>
        <w:t>compromisso.</w:t>
      </w:r>
    </w:p>
    <w:p w:rsidR="00BA5266" w:rsidRPr="009539FE" w:rsidRDefault="00BA5266" w:rsidP="00BA5266">
      <w:pPr>
        <w:rPr>
          <w:rFonts w:eastAsia="Arial" w:cs="Tahoma"/>
          <w:b/>
          <w:sz w:val="22"/>
          <w:szCs w:val="18"/>
          <w:lang w:eastAsia="ja-JP"/>
        </w:rPr>
      </w:pPr>
    </w:p>
    <w:p w:rsidR="00BA5266" w:rsidRPr="004B208C" w:rsidRDefault="00BA5266" w:rsidP="00BA5266">
      <w:pPr>
        <w:rPr>
          <w:rFonts w:cs="Tahoma"/>
        </w:rPr>
      </w:pPr>
      <w:r w:rsidRPr="004B208C">
        <w:rPr>
          <w:rFonts w:eastAsia="Arial" w:cs="Tahoma"/>
          <w:b/>
          <w:sz w:val="22"/>
          <w:szCs w:val="18"/>
        </w:rPr>
        <w:t>Benefícios do Programa</w:t>
      </w:r>
    </w:p>
    <w:p w:rsidR="00BA5266" w:rsidRPr="004B208C" w:rsidRDefault="00BA5266" w:rsidP="00BA5266">
      <w:pPr>
        <w:rPr>
          <w:rFonts w:cs="Tahoma"/>
        </w:rPr>
      </w:pPr>
    </w:p>
    <w:p w:rsidR="00BA5266" w:rsidRPr="004B208C" w:rsidRDefault="00BA5266" w:rsidP="00BA5266">
      <w:pPr>
        <w:spacing w:after="120"/>
        <w:rPr>
          <w:rFonts w:cs="Tahoma"/>
        </w:rPr>
      </w:pPr>
      <w:r w:rsidRPr="004B208C">
        <w:rPr>
          <w:rFonts w:eastAsia="Arial" w:cs="Tahoma"/>
          <w:szCs w:val="19"/>
        </w:rPr>
        <w:t xml:space="preserve">Em todo o compromisso, estão disponíveis os seguintes benefícios do programa: </w:t>
      </w:r>
    </w:p>
    <w:p w:rsidR="00BA5266" w:rsidRPr="00840261" w:rsidRDefault="00BA5266" w:rsidP="00A1385C">
      <w:pPr>
        <w:pStyle w:val="ListParagraph"/>
        <w:numPr>
          <w:ilvl w:val="0"/>
          <w:numId w:val="130"/>
        </w:numPr>
        <w:spacing w:after="240"/>
        <w:rPr>
          <w:rFonts w:ascii="Tahoma" w:hAnsi="Tahoma" w:cs="Tahoma"/>
          <w:sz w:val="18"/>
          <w:szCs w:val="18"/>
        </w:rPr>
      </w:pPr>
      <w:bookmarkStart w:id="909" w:name="EnterpriseStrategyLibrary"/>
      <w:r w:rsidRPr="00840261">
        <w:rPr>
          <w:rFonts w:ascii="Tahoma" w:hAnsi="Tahoma" w:cs="Tahoma"/>
          <w:b/>
          <w:bCs/>
          <w:color w:val="000000"/>
          <w:sz w:val="18"/>
          <w:szCs w:val="18"/>
        </w:rPr>
        <w:t xml:space="preserve">Enterprise Strategy Network: </w:t>
      </w:r>
      <w:r w:rsidRPr="00840261">
        <w:rPr>
          <w:rFonts w:ascii="Tahoma" w:hAnsi="Tahoma" w:cs="Tahoma"/>
          <w:bCs/>
          <w:color w:val="000000"/>
          <w:sz w:val="18"/>
          <w:szCs w:val="18"/>
        </w:rPr>
        <w:t>uma conexão integral com as equipes de desenvolvimento e pesquisa da</w:t>
      </w:r>
      <w:r w:rsidR="00F3685F">
        <w:rPr>
          <w:rFonts w:ascii="Tahoma" w:hAnsi="Tahoma" w:cs="Tahoma"/>
          <w:bCs/>
          <w:color w:val="000000"/>
          <w:sz w:val="18"/>
          <w:szCs w:val="18"/>
        </w:rPr>
        <w:t> </w:t>
      </w:r>
      <w:r w:rsidRPr="00840261">
        <w:rPr>
          <w:rFonts w:ascii="Tahoma" w:hAnsi="Tahoma" w:cs="Tahoma"/>
          <w:bCs/>
          <w:color w:val="000000"/>
          <w:sz w:val="18"/>
          <w:szCs w:val="18"/>
        </w:rPr>
        <w:t xml:space="preserve">Microsoft e com os especialistas no assunto da Microsoft </w:t>
      </w:r>
    </w:p>
    <w:p w:rsidR="00BA5266" w:rsidRPr="00840261" w:rsidRDefault="00BA5266" w:rsidP="00A1385C">
      <w:pPr>
        <w:pStyle w:val="ListParagraph"/>
        <w:numPr>
          <w:ilvl w:val="0"/>
          <w:numId w:val="130"/>
        </w:numPr>
        <w:rPr>
          <w:rFonts w:ascii="Tahoma" w:hAnsi="Tahoma" w:cs="Tahoma"/>
          <w:sz w:val="18"/>
          <w:szCs w:val="18"/>
        </w:rPr>
      </w:pPr>
      <w:r w:rsidRPr="00840261">
        <w:rPr>
          <w:rFonts w:ascii="Tahoma" w:hAnsi="Tahoma" w:cs="Tahoma"/>
          <w:b/>
          <w:bCs/>
          <w:color w:val="000000"/>
          <w:sz w:val="18"/>
          <w:szCs w:val="18"/>
        </w:rPr>
        <w:t>Enterprise Strategy Library</w:t>
      </w:r>
      <w:bookmarkEnd w:id="909"/>
      <w:r w:rsidRPr="00840261">
        <w:rPr>
          <w:rFonts w:ascii="Tahoma" w:hAnsi="Tahoma" w:cs="Tahoma"/>
          <w:b/>
          <w:bCs/>
          <w:color w:val="000000"/>
          <w:sz w:val="18"/>
          <w:szCs w:val="18"/>
        </w:rPr>
        <w:t xml:space="preserve">: </w:t>
      </w:r>
      <w:r w:rsidRPr="00840261">
        <w:rPr>
          <w:rFonts w:ascii="Tahoma" w:hAnsi="Tahoma" w:cs="Tahoma"/>
          <w:bCs/>
          <w:color w:val="000000"/>
          <w:sz w:val="18"/>
          <w:szCs w:val="18"/>
        </w:rPr>
        <w:t>Uma ampla coleção de materiais incluindo insights do setor e ferramentas de benchmark, arquitetura corporativa e de tecnologia e modelos e métodos de referência</w:t>
      </w:r>
      <w:r w:rsidRPr="00840261">
        <w:rPr>
          <w:rFonts w:ascii="Tahoma" w:hAnsi="Tahoma" w:cs="Tahoma"/>
          <w:sz w:val="18"/>
          <w:szCs w:val="18"/>
        </w:rPr>
        <w:t>.</w:t>
      </w:r>
    </w:p>
    <w:p w:rsidR="00BA5266" w:rsidRDefault="00BA5266" w:rsidP="00BA5266">
      <w:pPr>
        <w:spacing w:after="120"/>
        <w:rPr>
          <w:rFonts w:cs="Tahoma"/>
        </w:rPr>
      </w:pPr>
    </w:p>
    <w:p w:rsidR="009539FE" w:rsidRDefault="009539FE" w:rsidP="00BA5266">
      <w:pPr>
        <w:spacing w:after="120"/>
        <w:rPr>
          <w:rFonts w:cs="Tahoma"/>
        </w:rPr>
      </w:pPr>
    </w:p>
    <w:p w:rsidR="009539FE" w:rsidRDefault="009539FE" w:rsidP="00BA5266">
      <w:pPr>
        <w:spacing w:after="120"/>
        <w:rPr>
          <w:rFonts w:cs="Tahoma"/>
        </w:rPr>
      </w:pPr>
    </w:p>
    <w:p w:rsidR="009539FE" w:rsidRPr="004B208C" w:rsidRDefault="009539FE" w:rsidP="00BA5266">
      <w:pPr>
        <w:spacing w:after="120"/>
        <w:rPr>
          <w:rFonts w:cs="Tahoma"/>
        </w:rPr>
      </w:pPr>
    </w:p>
    <w:p w:rsidR="00BA5266" w:rsidRPr="004B208C" w:rsidRDefault="00BA5266" w:rsidP="00BA5266">
      <w:pPr>
        <w:spacing w:after="120"/>
        <w:rPr>
          <w:rFonts w:cs="Tahoma"/>
        </w:rPr>
      </w:pPr>
      <w:r w:rsidRPr="004B208C">
        <w:rPr>
          <w:rFonts w:cs="Tahoma"/>
          <w:b/>
          <w:color w:val="000000"/>
          <w:sz w:val="22"/>
          <w:szCs w:val="18"/>
        </w:rPr>
        <w:lastRenderedPageBreak/>
        <w:t>Módulos de Serviço do Enterprise Strategy</w:t>
      </w:r>
    </w:p>
    <w:p w:rsidR="00BA5266" w:rsidRPr="004B208C" w:rsidRDefault="00BA5266" w:rsidP="00BA5266">
      <w:pPr>
        <w:spacing w:before="240" w:after="240" w:line="240" w:lineRule="atLeast"/>
        <w:rPr>
          <w:rFonts w:cs="Tahoma"/>
        </w:rPr>
      </w:pPr>
      <w:r w:rsidRPr="004B208C">
        <w:rPr>
          <w:rFonts w:cs="Tahoma"/>
          <w:szCs w:val="18"/>
        </w:rPr>
        <w:t>O compromisso Enterprise Strategy</w:t>
      </w:r>
      <w:r w:rsidRPr="004B208C">
        <w:rPr>
          <w:rFonts w:cs="Tahoma"/>
          <w:b/>
          <w:szCs w:val="18"/>
        </w:rPr>
        <w:t xml:space="preserve"> </w:t>
      </w:r>
      <w:r w:rsidRPr="004B208C">
        <w:rPr>
          <w:rFonts w:cs="Tahoma"/>
          <w:szCs w:val="18"/>
        </w:rPr>
        <w:t>inclui um ou mais dos seguintes módulos do serviço Enterprise Strategy, conforme documentado no Plano de Prestação de Serviços:</w:t>
      </w:r>
    </w:p>
    <w:p w:rsidR="00BA5266" w:rsidRPr="00840261" w:rsidRDefault="00BA5266" w:rsidP="00A1385C">
      <w:pPr>
        <w:numPr>
          <w:ilvl w:val="0"/>
          <w:numId w:val="129"/>
        </w:numPr>
        <w:rPr>
          <w:rFonts w:cs="Tahoma"/>
          <w:szCs w:val="18"/>
        </w:rPr>
      </w:pPr>
      <w:r w:rsidRPr="00840261">
        <w:rPr>
          <w:rFonts w:cs="Tahoma"/>
          <w:b/>
          <w:szCs w:val="18"/>
        </w:rPr>
        <w:t xml:space="preserve">Value Discovery Workshop: </w:t>
      </w:r>
      <w:r w:rsidRPr="00840261">
        <w:rPr>
          <w:rFonts w:cs="Tahoma"/>
          <w:szCs w:val="18"/>
        </w:rPr>
        <w:t>um workshop projetado para ajudar as empresas e partes interessadas de TI desenvolveram e produziram um relatório de contexto do cliente e um resumo de oportunidades.</w:t>
      </w:r>
    </w:p>
    <w:p w:rsidR="00BA5266" w:rsidRPr="00840261" w:rsidRDefault="00BA5266" w:rsidP="00A1385C">
      <w:pPr>
        <w:numPr>
          <w:ilvl w:val="0"/>
          <w:numId w:val="129"/>
        </w:numPr>
        <w:rPr>
          <w:rFonts w:cs="Tahoma"/>
          <w:szCs w:val="18"/>
        </w:rPr>
      </w:pPr>
      <w:r w:rsidRPr="00840261">
        <w:rPr>
          <w:rFonts w:cs="Tahoma"/>
          <w:b/>
          <w:szCs w:val="18"/>
        </w:rPr>
        <w:t>Roteiro de Valor do Contrato Enterprise:</w:t>
      </w:r>
      <w:r w:rsidRPr="00840261">
        <w:rPr>
          <w:rFonts w:cs="Tahoma"/>
          <w:szCs w:val="18"/>
        </w:rPr>
        <w:t xml:space="preserve"> Um roteiro e Indicadores Chave de Desempenho (KPIs) para iniciativas relacionadas quantificadas ao valor de negócios do seu investimento no software e nos serviços da Microsoft, incluindo uma série de recomendações para acelerar o tempo de implantação e a adoção dos seus investimentos.</w:t>
      </w:r>
    </w:p>
    <w:p w:rsidR="00BA5266" w:rsidRPr="00840261" w:rsidRDefault="00BA5266" w:rsidP="00A1385C">
      <w:pPr>
        <w:numPr>
          <w:ilvl w:val="0"/>
          <w:numId w:val="129"/>
        </w:numPr>
        <w:rPr>
          <w:rFonts w:cs="Tahoma"/>
          <w:szCs w:val="18"/>
        </w:rPr>
      </w:pPr>
      <w:r w:rsidRPr="00840261">
        <w:rPr>
          <w:rFonts w:cs="Tahoma"/>
          <w:b/>
          <w:szCs w:val="18"/>
        </w:rPr>
        <w:t>Otimização de Portfólio</w:t>
      </w:r>
      <w:r w:rsidRPr="00840261">
        <w:rPr>
          <w:rFonts w:cs="Tahoma"/>
          <w:szCs w:val="18"/>
        </w:rPr>
        <w:t>: um relatório que fornece uma avaliação dos seus portfólios de Negócios e TI</w:t>
      </w:r>
      <w:r w:rsidR="00F3685F">
        <w:rPr>
          <w:rFonts w:cs="Tahoma"/>
          <w:szCs w:val="18"/>
        </w:rPr>
        <w:t> </w:t>
      </w:r>
      <w:r w:rsidRPr="00840261">
        <w:rPr>
          <w:rFonts w:cs="Tahoma"/>
          <w:szCs w:val="18"/>
        </w:rPr>
        <w:t>(incluindo recursos comerciais, serviços de TI, aplicativos, tecnologias e portfólio de programa/projeto existente) e identifica oportunidades para serviços e dispositivos da Microsoft para racionalizar portfólios específicos no contexto da sua estratégia comercial atual.</w:t>
      </w:r>
    </w:p>
    <w:p w:rsidR="00BA5266" w:rsidRPr="00840261" w:rsidRDefault="00BA5266" w:rsidP="00A1385C">
      <w:pPr>
        <w:numPr>
          <w:ilvl w:val="0"/>
          <w:numId w:val="129"/>
        </w:numPr>
        <w:rPr>
          <w:rFonts w:cs="Tahoma"/>
          <w:szCs w:val="18"/>
        </w:rPr>
      </w:pPr>
      <w:r w:rsidRPr="00840261">
        <w:rPr>
          <w:rFonts w:cs="Tahoma"/>
          <w:b/>
          <w:szCs w:val="18"/>
        </w:rPr>
        <w:t>Recomendações e Opções de Arquitetura</w:t>
      </w:r>
      <w:r w:rsidRPr="00840261">
        <w:rPr>
          <w:rFonts w:cs="Tahoma"/>
          <w:szCs w:val="18"/>
        </w:rPr>
        <w:t>: um documento de recomendação e definição de arquitetura abordando opções de arquitetura viável, avaliadas em relação ao estatuto do programa e seus princípios de</w:t>
      </w:r>
      <w:r w:rsidR="00F3685F">
        <w:rPr>
          <w:rFonts w:cs="Tahoma"/>
          <w:szCs w:val="18"/>
        </w:rPr>
        <w:t> </w:t>
      </w:r>
      <w:r w:rsidRPr="00840261">
        <w:rPr>
          <w:rFonts w:cs="Tahoma"/>
          <w:szCs w:val="18"/>
        </w:rPr>
        <w:t xml:space="preserve">arquitetura, padrões de TI e negócios e restrições. </w:t>
      </w:r>
    </w:p>
    <w:p w:rsidR="00BA5266" w:rsidRPr="00840261" w:rsidRDefault="00BA5266" w:rsidP="00A1385C">
      <w:pPr>
        <w:numPr>
          <w:ilvl w:val="0"/>
          <w:numId w:val="129"/>
        </w:numPr>
        <w:rPr>
          <w:rFonts w:cs="Tahoma"/>
          <w:szCs w:val="18"/>
        </w:rPr>
      </w:pPr>
      <w:r w:rsidRPr="00840261">
        <w:rPr>
          <w:rFonts w:cs="Tahoma"/>
          <w:b/>
          <w:szCs w:val="18"/>
        </w:rPr>
        <w:t>Planejamento de Valor</w:t>
      </w:r>
      <w:r w:rsidRPr="00840261">
        <w:rPr>
          <w:rFonts w:cs="Tahoma"/>
          <w:szCs w:val="18"/>
        </w:rPr>
        <w:t>: um plano de programa detalhado, adoção e plano de alteração, scorecard de valor e plano de controle no suporte da recomendação e do roteiro descrito acima (Opções de Arquitetura e Recomendações).</w:t>
      </w:r>
    </w:p>
    <w:p w:rsidR="00BA5266" w:rsidRPr="00840261" w:rsidRDefault="00BA5266" w:rsidP="00A1385C">
      <w:pPr>
        <w:numPr>
          <w:ilvl w:val="0"/>
          <w:numId w:val="129"/>
        </w:numPr>
        <w:rPr>
          <w:rFonts w:cs="Tahoma"/>
          <w:szCs w:val="18"/>
        </w:rPr>
      </w:pPr>
      <w:r w:rsidRPr="00840261">
        <w:rPr>
          <w:rFonts w:cs="Tahoma"/>
          <w:b/>
          <w:szCs w:val="18"/>
        </w:rPr>
        <w:t>Desenvolvimento do Caso de Negócios</w:t>
      </w:r>
      <w:r w:rsidRPr="00840261">
        <w:rPr>
          <w:rFonts w:cs="Tahoma"/>
          <w:szCs w:val="18"/>
        </w:rPr>
        <w:t>: um modelo de valor comercial baseado na análise financeira dos custos projetados e benefícios quantificados para o plano de iniciativa proposto.</w:t>
      </w:r>
    </w:p>
    <w:p w:rsidR="00BA5266" w:rsidRPr="00840261" w:rsidRDefault="00BA5266" w:rsidP="00A1385C">
      <w:pPr>
        <w:numPr>
          <w:ilvl w:val="0"/>
          <w:numId w:val="129"/>
        </w:numPr>
        <w:rPr>
          <w:rFonts w:cs="Tahoma"/>
          <w:szCs w:val="18"/>
        </w:rPr>
      </w:pPr>
      <w:r w:rsidRPr="00840261">
        <w:rPr>
          <w:rFonts w:cs="Tahoma"/>
          <w:b/>
          <w:szCs w:val="18"/>
        </w:rPr>
        <w:t>Gerenciamento de Alterações e Adoção</w:t>
      </w:r>
      <w:r w:rsidRPr="00840261">
        <w:rPr>
          <w:rFonts w:cs="Tahoma"/>
          <w:szCs w:val="18"/>
        </w:rPr>
        <w:t>: Execute o plano de alterações e adoção (incluindo o plano de</w:t>
      </w:r>
      <w:r w:rsidR="00F3685F">
        <w:rPr>
          <w:rFonts w:cs="Tahoma"/>
          <w:szCs w:val="18"/>
        </w:rPr>
        <w:t> </w:t>
      </w:r>
      <w:r w:rsidRPr="00840261">
        <w:rPr>
          <w:rFonts w:cs="Tahoma"/>
          <w:szCs w:val="18"/>
        </w:rPr>
        <w:t>comunicação, planos de preparação/treinamento e planos de suporte) e forneça supervisão de adoção, relatório e mitigação de riscos.</w:t>
      </w:r>
    </w:p>
    <w:p w:rsidR="00BA5266" w:rsidRPr="00840261" w:rsidRDefault="00BA5266" w:rsidP="00A1385C">
      <w:pPr>
        <w:numPr>
          <w:ilvl w:val="0"/>
          <w:numId w:val="129"/>
        </w:numPr>
        <w:rPr>
          <w:rFonts w:cs="Tahoma"/>
          <w:szCs w:val="18"/>
        </w:rPr>
      </w:pPr>
      <w:r w:rsidRPr="00840261">
        <w:rPr>
          <w:rFonts w:cs="Tahoma"/>
          <w:b/>
          <w:szCs w:val="18"/>
        </w:rPr>
        <w:t>Gerenciamento de Valor::</w:t>
      </w:r>
      <w:r w:rsidRPr="00840261">
        <w:rPr>
          <w:rFonts w:cs="Tahoma"/>
          <w:szCs w:val="18"/>
        </w:rPr>
        <w:t xml:space="preserve"> medindo e controlando o progresso da iniciativa em comparação aos KPIs estabelecidos e seus sistemas de medição interna da empresa (ou seja, compromissos, scorecards e revisões de negócios).</w:t>
      </w:r>
    </w:p>
    <w:p w:rsidR="00BA5266" w:rsidRPr="00840261" w:rsidRDefault="00BA5266" w:rsidP="00A1385C">
      <w:pPr>
        <w:pStyle w:val="ListParagraph"/>
        <w:numPr>
          <w:ilvl w:val="0"/>
          <w:numId w:val="129"/>
        </w:numPr>
        <w:spacing w:after="60"/>
        <w:rPr>
          <w:rFonts w:ascii="Tahoma" w:hAnsi="Tahoma" w:cs="Tahoma"/>
          <w:sz w:val="18"/>
          <w:szCs w:val="18"/>
        </w:rPr>
      </w:pPr>
      <w:r w:rsidRPr="00840261">
        <w:rPr>
          <w:rFonts w:ascii="Tahoma" w:hAnsi="Tahoma" w:cs="Tahoma"/>
          <w:b/>
          <w:sz w:val="18"/>
          <w:szCs w:val="18"/>
        </w:rPr>
        <w:t>Gerenciamento de Conformidade, Risco e Controle do Programa</w:t>
      </w:r>
      <w:r w:rsidRPr="00840261">
        <w:rPr>
          <w:rFonts w:ascii="Tahoma" w:hAnsi="Tahoma" w:cs="Tahoma"/>
          <w:sz w:val="18"/>
          <w:szCs w:val="18"/>
        </w:rPr>
        <w:t>: supervisiona o status do programa e fornece relatórios para estruturas definidas do governo (por exemplo, comitês de organização, comitês de revisão) para facilitar a tomada de decisão eficiente durante todo o ciclo de vida do programa</w:t>
      </w:r>
    </w:p>
    <w:p w:rsidR="00BA5266" w:rsidRPr="004B208C" w:rsidRDefault="00BA5266" w:rsidP="00BA5266">
      <w:pPr>
        <w:rPr>
          <w:rFonts w:cs="Tahoma"/>
        </w:rPr>
      </w:pPr>
    </w:p>
    <w:p w:rsidR="00BA5266" w:rsidRPr="004B208C" w:rsidRDefault="00BA5266" w:rsidP="00BA5266">
      <w:pPr>
        <w:spacing w:after="240"/>
        <w:rPr>
          <w:rFonts w:cs="Tahoma"/>
        </w:rPr>
      </w:pPr>
      <w:r w:rsidRPr="004B208C">
        <w:rPr>
          <w:rFonts w:eastAsia="Arial" w:cs="Tahoma"/>
          <w:b/>
          <w:sz w:val="22"/>
          <w:szCs w:val="18"/>
        </w:rPr>
        <w:t>Enterprise Strategy Capacity Complementar</w:t>
      </w:r>
    </w:p>
    <w:p w:rsidR="00BA5266" w:rsidRPr="004B208C" w:rsidRDefault="00BA5266" w:rsidP="00BA5266">
      <w:pPr>
        <w:ind w:left="360"/>
        <w:rPr>
          <w:rFonts w:cs="Tahoma"/>
        </w:rPr>
      </w:pPr>
      <w:r w:rsidRPr="004B208C">
        <w:rPr>
          <w:rFonts w:cs="Tahoma"/>
          <w:color w:val="000000"/>
          <w:szCs w:val="18"/>
        </w:rPr>
        <w:t>O Cliente pode comprar blocos de 200 horas de recursos da Equipe de Prestação de Serviços Corporativos da</w:t>
      </w:r>
      <w:r w:rsidR="00F3685F">
        <w:rPr>
          <w:rFonts w:cs="Tahoma"/>
          <w:color w:val="000000"/>
          <w:szCs w:val="18"/>
        </w:rPr>
        <w:t> </w:t>
      </w:r>
      <w:r w:rsidRPr="004B208C">
        <w:rPr>
          <w:rFonts w:cs="Tahoma"/>
          <w:color w:val="000000"/>
          <w:szCs w:val="18"/>
        </w:rPr>
        <w:t xml:space="preserve">Microsoft para aprimorar o fornecimento de capacidade para compromissos da Enterprise Strategy. </w:t>
      </w:r>
      <w:r w:rsidRPr="004B208C">
        <w:rPr>
          <w:rFonts w:cs="Tahoma"/>
          <w:color w:val="000000"/>
          <w:szCs w:val="18"/>
        </w:rPr>
        <w:br/>
        <w:t>O Enterprise Strategy Capacity Complementar está disponível para Clientes que compraram a oferta Enterprise Strategy Connect, Enterprise Strategy Foundation ou Enterprise Strategy Portfolio por meio dos contratos de</w:t>
      </w:r>
      <w:r w:rsidR="00F3685F">
        <w:rPr>
          <w:rFonts w:cs="Tahoma"/>
          <w:color w:val="000000"/>
          <w:szCs w:val="18"/>
        </w:rPr>
        <w:t> </w:t>
      </w:r>
      <w:r w:rsidRPr="004B208C">
        <w:rPr>
          <w:rFonts w:cs="Tahoma"/>
          <w:color w:val="000000"/>
          <w:szCs w:val="18"/>
        </w:rPr>
        <w:t>licenciamento por volume da Microsoft ou de Serviços padrão da Microsoft.</w:t>
      </w:r>
    </w:p>
    <w:p w:rsidR="00BA5266" w:rsidRDefault="00BA5266" w:rsidP="00BA5266">
      <w:pPr>
        <w:spacing w:after="60"/>
        <w:rPr>
          <w:rFonts w:cs="Tahoma"/>
        </w:rPr>
      </w:pPr>
    </w:p>
    <w:p w:rsidR="00BA5266" w:rsidRPr="001032A9" w:rsidRDefault="00BA5266" w:rsidP="00C23C79">
      <w:pPr>
        <w:spacing w:after="240"/>
        <w:rPr>
          <w:rFonts w:cs="Tahoma"/>
          <w:sz w:val="22"/>
        </w:rPr>
      </w:pPr>
      <w:r w:rsidRPr="001032A9">
        <w:rPr>
          <w:rFonts w:cs="Tahoma"/>
          <w:b/>
          <w:sz w:val="22"/>
        </w:rPr>
        <w:t>Serviços Fora do Escopo</w:t>
      </w:r>
      <w:r w:rsidR="00172F11" w:rsidRPr="001032A9">
        <w:rPr>
          <w:rFonts w:cs="Tahoma"/>
          <w:b/>
          <w:sz w:val="22"/>
        </w:rPr>
        <w:t xml:space="preserve"> </w:t>
      </w:r>
    </w:p>
    <w:p w:rsidR="00BA5266" w:rsidRPr="004B208C" w:rsidRDefault="00BA5266" w:rsidP="00BA5266">
      <w:pPr>
        <w:rPr>
          <w:rFonts w:cs="Tahoma"/>
        </w:rPr>
      </w:pPr>
      <w:r w:rsidRPr="004B208C">
        <w:rPr>
          <w:rFonts w:cs="Tahoma"/>
          <w:szCs w:val="18"/>
        </w:rPr>
        <w:t>O Programa Enterprise Strategy engloba exclusivamente consultoria e orientação a respeito da adoção das tecnologias da Microsoft por parte do Cliente.</w:t>
      </w:r>
      <w:r w:rsidR="00172F11">
        <w:rPr>
          <w:rFonts w:cs="Tahoma"/>
          <w:szCs w:val="18"/>
        </w:rPr>
        <w:t xml:space="preserve"> </w:t>
      </w:r>
      <w:r w:rsidRPr="004B208C">
        <w:rPr>
          <w:rFonts w:eastAsia="Arial" w:cs="Tahoma"/>
          <w:bCs/>
          <w:szCs w:val="18"/>
        </w:rPr>
        <w:t>Fica a critério exclusivo do Cliente escolher seguir ou desconsiderar a consultoria, a orientação e as recomendações da Microsoft.</w:t>
      </w:r>
      <w:r w:rsidR="00172F11">
        <w:rPr>
          <w:rFonts w:eastAsia="Arial" w:cs="Tahoma"/>
          <w:bCs/>
          <w:szCs w:val="18"/>
        </w:rPr>
        <w:t xml:space="preserve"> </w:t>
      </w:r>
      <w:r w:rsidRPr="004B208C">
        <w:rPr>
          <w:rFonts w:eastAsia="Arial" w:cs="Tahoma"/>
          <w:bCs/>
          <w:szCs w:val="18"/>
        </w:rPr>
        <w:t>A Microsoft não faz promessas nem oferece garantias de nenhuma forma com relação aos resultados que possam ser alcançados pelo Cliente como resultado do seguimento da consultoria, das orientações ou das recomendações da Microsoft.</w:t>
      </w:r>
      <w:r w:rsidR="00172F11">
        <w:rPr>
          <w:rFonts w:eastAsia="Arial" w:cs="Tahoma"/>
          <w:bCs/>
          <w:szCs w:val="18"/>
        </w:rPr>
        <w:t xml:space="preserve"> </w:t>
      </w:r>
      <w:r w:rsidRPr="004B208C">
        <w:rPr>
          <w:rFonts w:cs="Tahoma"/>
          <w:szCs w:val="18"/>
        </w:rPr>
        <w:t>As licenças de produto não estão incluídas.</w:t>
      </w:r>
      <w:r w:rsidR="00172F11">
        <w:rPr>
          <w:rFonts w:cs="Tahoma"/>
          <w:szCs w:val="18"/>
        </w:rPr>
        <w:t xml:space="preserve"> </w:t>
      </w:r>
      <w:r w:rsidRPr="004B208C">
        <w:rPr>
          <w:rFonts w:cs="Tahoma"/>
          <w:szCs w:val="18"/>
        </w:rPr>
        <w:t>Os Serviços do Arquiteto Enterprise também não incluem implantação do produto, resolução de problemas ou suporte de reparo assistido, revisão do código-fonte de produtos que não sejam da Microsoft nem consultas técnicas ou arquiteturais que esteja além dos resultados finais descritos acima. Quando se tratar de qualquer código-fonte que</w:t>
      </w:r>
      <w:r w:rsidR="00F3685F">
        <w:rPr>
          <w:rFonts w:cs="Tahoma"/>
          <w:szCs w:val="18"/>
        </w:rPr>
        <w:t> </w:t>
      </w:r>
      <w:r w:rsidRPr="004B208C">
        <w:rPr>
          <w:rFonts w:cs="Tahoma"/>
          <w:szCs w:val="18"/>
        </w:rPr>
        <w:t>não seja da Microsoft, nossos Serviços serão limitados à análise de dados binários, tais como dump de processamento ou rastreamento de monitores de rede.</w:t>
      </w:r>
    </w:p>
    <w:p w:rsidR="00BA5266" w:rsidRDefault="00BA5266" w:rsidP="00BA5266">
      <w:pPr>
        <w:rPr>
          <w:rFonts w:cs="Tahoma"/>
        </w:rPr>
      </w:pPr>
    </w:p>
    <w:p w:rsidR="009539FE" w:rsidRDefault="009539FE" w:rsidP="00BA5266">
      <w:pPr>
        <w:rPr>
          <w:rFonts w:cs="Tahoma"/>
        </w:rPr>
      </w:pPr>
    </w:p>
    <w:p w:rsidR="009539FE" w:rsidRDefault="009539FE" w:rsidP="00BA5266">
      <w:pPr>
        <w:rPr>
          <w:rFonts w:cs="Tahoma"/>
        </w:rPr>
      </w:pPr>
    </w:p>
    <w:p w:rsidR="009539FE" w:rsidRDefault="009539FE" w:rsidP="00BA5266">
      <w:pPr>
        <w:rPr>
          <w:rFonts w:cs="Tahoma"/>
        </w:rPr>
      </w:pPr>
    </w:p>
    <w:p w:rsidR="00BA5266" w:rsidRPr="001032A9" w:rsidRDefault="00C23C79" w:rsidP="00BA5266">
      <w:pPr>
        <w:spacing w:after="240"/>
        <w:rPr>
          <w:rFonts w:cs="Tahoma"/>
          <w:b/>
          <w:sz w:val="22"/>
        </w:rPr>
      </w:pPr>
      <w:r>
        <w:rPr>
          <w:rFonts w:cs="Tahoma"/>
          <w:b/>
          <w:sz w:val="22"/>
        </w:rPr>
        <w:lastRenderedPageBreak/>
        <w:t>Responsabilidades do Cliente</w:t>
      </w:r>
    </w:p>
    <w:p w:rsidR="00BA5266" w:rsidRPr="004B208C" w:rsidRDefault="00BA5266" w:rsidP="00BA5266">
      <w:pPr>
        <w:spacing w:after="240"/>
        <w:rPr>
          <w:rFonts w:cs="Tahoma"/>
        </w:rPr>
      </w:pPr>
      <w:r w:rsidRPr="004B208C">
        <w:rPr>
          <w:rFonts w:cs="Tahoma"/>
          <w:szCs w:val="18"/>
        </w:rPr>
        <w:t>O sucesso do Programa Enterprise Strategy, bem como o desempenho de nossas obrigações, dependem do</w:t>
      </w:r>
      <w:r w:rsidR="00F3685F">
        <w:rPr>
          <w:rFonts w:cs="Tahoma"/>
          <w:szCs w:val="18"/>
        </w:rPr>
        <w:t> </w:t>
      </w:r>
      <w:r w:rsidRPr="004B208C">
        <w:rPr>
          <w:rFonts w:cs="Tahoma"/>
          <w:szCs w:val="18"/>
        </w:rPr>
        <w:t>envolvimento do Cliente ao longo do programa, incluindo, sem limitação:</w:t>
      </w:r>
    </w:p>
    <w:p w:rsidR="00BA5266" w:rsidRPr="004B208C" w:rsidRDefault="00BA5266" w:rsidP="00A1385C">
      <w:pPr>
        <w:numPr>
          <w:ilvl w:val="0"/>
          <w:numId w:val="74"/>
        </w:numPr>
        <w:ind w:left="630"/>
        <w:contextualSpacing/>
        <w:rPr>
          <w:rFonts w:cs="Tahoma"/>
        </w:rPr>
      </w:pPr>
      <w:r w:rsidRPr="004B208C">
        <w:rPr>
          <w:rFonts w:cs="Tahoma"/>
          <w:color w:val="000000"/>
          <w:szCs w:val="18"/>
        </w:rPr>
        <w:t xml:space="preserve">A disponibilidade de representantes, equipe de TI e recursos do Cliente, incluindo, sem limitação, hardware, software, conectividade de Internet e espaço no escritório; </w:t>
      </w:r>
    </w:p>
    <w:p w:rsidR="00BA5266" w:rsidRPr="004B208C" w:rsidRDefault="00BA5266" w:rsidP="00A1385C">
      <w:pPr>
        <w:numPr>
          <w:ilvl w:val="0"/>
          <w:numId w:val="74"/>
        </w:numPr>
        <w:ind w:left="630"/>
        <w:contextualSpacing/>
        <w:rPr>
          <w:rFonts w:cs="Tahoma"/>
        </w:rPr>
      </w:pPr>
      <w:r w:rsidRPr="004B208C">
        <w:rPr>
          <w:rFonts w:cs="Tahoma"/>
          <w:color w:val="000000"/>
          <w:szCs w:val="18"/>
        </w:rPr>
        <w:t xml:space="preserve">Fornecimento de informações precisas e completas em tempo hábil por parte do Cliente; </w:t>
      </w:r>
    </w:p>
    <w:p w:rsidR="00BA5266" w:rsidRPr="004B208C" w:rsidRDefault="00BA5266" w:rsidP="00A1385C">
      <w:pPr>
        <w:numPr>
          <w:ilvl w:val="0"/>
          <w:numId w:val="74"/>
        </w:numPr>
        <w:ind w:left="630"/>
        <w:contextualSpacing/>
        <w:rPr>
          <w:rFonts w:cs="Tahoma"/>
        </w:rPr>
      </w:pPr>
      <w:r w:rsidRPr="004B208C">
        <w:rPr>
          <w:rFonts w:cs="Tahoma"/>
          <w:color w:val="000000"/>
          <w:szCs w:val="18"/>
        </w:rPr>
        <w:t>Acesso a informações sobre a organização do Cliente;</w:t>
      </w:r>
    </w:p>
    <w:p w:rsidR="00BA5266" w:rsidRPr="004B208C" w:rsidRDefault="00BA5266" w:rsidP="00A1385C">
      <w:pPr>
        <w:numPr>
          <w:ilvl w:val="0"/>
          <w:numId w:val="74"/>
        </w:numPr>
        <w:ind w:left="630"/>
        <w:contextualSpacing/>
        <w:rPr>
          <w:rFonts w:cs="Tahoma"/>
        </w:rPr>
      </w:pPr>
      <w:r w:rsidRPr="004B208C">
        <w:rPr>
          <w:rFonts w:cs="Tahoma"/>
          <w:color w:val="000000"/>
          <w:szCs w:val="18"/>
        </w:rPr>
        <w:t>Cumprimento tempestivo e eficaz das responsabilidades atribuídas ao Cliente; e</w:t>
      </w:r>
    </w:p>
    <w:p w:rsidR="00BA5266" w:rsidRPr="004B208C" w:rsidRDefault="00BA5266" w:rsidP="00A1385C">
      <w:pPr>
        <w:numPr>
          <w:ilvl w:val="0"/>
          <w:numId w:val="74"/>
        </w:numPr>
        <w:ind w:left="630"/>
        <w:contextualSpacing/>
        <w:rPr>
          <w:rFonts w:cs="Tahoma"/>
        </w:rPr>
      </w:pPr>
      <w:r w:rsidRPr="004B208C">
        <w:rPr>
          <w:rFonts w:cs="Tahoma"/>
          <w:color w:val="000000"/>
          <w:szCs w:val="18"/>
        </w:rPr>
        <w:t>Decisões e aprovações tempestivas da administração do Cliente.</w:t>
      </w:r>
      <w:r w:rsidR="00172F11">
        <w:rPr>
          <w:rFonts w:cs="Tahoma"/>
          <w:color w:val="000000"/>
          <w:szCs w:val="18"/>
        </w:rPr>
        <w:t xml:space="preserve"> </w:t>
      </w:r>
    </w:p>
    <w:p w:rsidR="00BA5266" w:rsidRPr="004B208C" w:rsidRDefault="00BA5266" w:rsidP="006D6BED">
      <w:pPr>
        <w:rPr>
          <w:rFonts w:cs="Tahoma"/>
        </w:rPr>
      </w:pPr>
    </w:p>
    <w:p w:rsidR="0064651F" w:rsidRPr="004B208C" w:rsidRDefault="0064651F" w:rsidP="00CA52FE">
      <w:pPr>
        <w:rPr>
          <w:rFonts w:cs="Tahoma"/>
        </w:rPr>
      </w:pPr>
      <w:bookmarkStart w:id="910" w:name="_Toc288760404"/>
    </w:p>
    <w:p w:rsidR="00DD7F8E" w:rsidRPr="004B208C" w:rsidRDefault="00DD7F8E" w:rsidP="00CA52FE">
      <w:pPr>
        <w:rPr>
          <w:rFonts w:cs="Tahoma"/>
        </w:rPr>
      </w:pPr>
      <w:r w:rsidRPr="004B208C">
        <w:rPr>
          <w:rFonts w:cs="Tahoma"/>
          <w:b/>
          <w:sz w:val="24"/>
          <w:szCs w:val="18"/>
        </w:rPr>
        <w:t>Termos e Condições Adicionais dos Serviços</w:t>
      </w:r>
    </w:p>
    <w:p w:rsidR="00DD7F8E" w:rsidRPr="004B208C" w:rsidRDefault="00DD7F8E" w:rsidP="00CA52FE">
      <w:pPr>
        <w:rPr>
          <w:rFonts w:cs="Tahoma"/>
        </w:rPr>
      </w:pPr>
    </w:p>
    <w:p w:rsidR="00DD7F8E" w:rsidRPr="004B208C" w:rsidRDefault="00DB2D1E" w:rsidP="00E77F1E">
      <w:pPr>
        <w:spacing w:after="60"/>
        <w:rPr>
          <w:rFonts w:cs="Tahoma"/>
        </w:rPr>
      </w:pPr>
      <w:bookmarkStart w:id="911" w:name="_Toc317591257"/>
      <w:bookmarkStart w:id="912" w:name="_Toc336338248"/>
      <w:bookmarkStart w:id="913" w:name="_Toc370981363"/>
      <w:r w:rsidRPr="004B208C">
        <w:rPr>
          <w:rStyle w:val="Heading2Char"/>
          <w:rFonts w:ascii="Tahoma" w:hAnsi="Tahoma" w:cs="Tahoma"/>
          <w:sz w:val="20"/>
          <w:szCs w:val="20"/>
        </w:rPr>
        <w:t>Direitos de uso, propriedade e licença</w:t>
      </w:r>
      <w:bookmarkEnd w:id="910"/>
      <w:bookmarkEnd w:id="911"/>
      <w:bookmarkEnd w:id="912"/>
      <w:bookmarkEnd w:id="913"/>
    </w:p>
    <w:p w:rsidR="00DB2D1E" w:rsidRPr="00F3685F" w:rsidRDefault="00DB2D1E" w:rsidP="00CA52FE">
      <w:pPr>
        <w:pStyle w:val="normal1"/>
        <w:rPr>
          <w:rFonts w:ascii="Tahoma" w:hAnsi="Tahoma" w:cs="Tahoma"/>
          <w:sz w:val="18"/>
          <w:szCs w:val="18"/>
        </w:rPr>
      </w:pPr>
      <w:r w:rsidRPr="00F3685F">
        <w:rPr>
          <w:rFonts w:ascii="Tahoma" w:hAnsi="Tahoma" w:cs="Tahoma"/>
          <w:b/>
          <w:bCs/>
          <w:color w:val="000000"/>
          <w:sz w:val="18"/>
          <w:szCs w:val="18"/>
        </w:rPr>
        <w:t>Consertos.</w:t>
      </w:r>
      <w:r w:rsidR="00172F11" w:rsidRPr="00F3685F">
        <w:rPr>
          <w:rFonts w:ascii="Tahoma" w:hAnsi="Tahoma" w:cs="Tahoma"/>
          <w:b/>
          <w:bCs/>
          <w:color w:val="000000"/>
          <w:sz w:val="18"/>
          <w:szCs w:val="18"/>
        </w:rPr>
        <w:t xml:space="preserve"> </w:t>
      </w:r>
      <w:r w:rsidRPr="00F3685F">
        <w:rPr>
          <w:rFonts w:ascii="Tahoma" w:hAnsi="Tahoma" w:cs="Tahoma"/>
          <w:bCs/>
          <w:color w:val="000000"/>
          <w:sz w:val="18"/>
          <w:szCs w:val="18"/>
        </w:rPr>
        <w:t>Se a Microsoft fornecer Consertos ao Cliente no decorrer da execução dos Serviços, tais</w:t>
      </w:r>
      <w:r w:rsidRPr="00F3685F">
        <w:rPr>
          <w:rFonts w:ascii="Tahoma" w:hAnsi="Tahoma" w:cs="Tahoma"/>
          <w:b/>
          <w:bCs/>
          <w:color w:val="000000"/>
          <w:sz w:val="18"/>
          <w:szCs w:val="18"/>
        </w:rPr>
        <w:t xml:space="preserve"> </w:t>
      </w:r>
      <w:r w:rsidRPr="00F3685F">
        <w:rPr>
          <w:rFonts w:ascii="Tahoma" w:hAnsi="Tahoma" w:cs="Tahoma"/>
          <w:color w:val="000000"/>
          <w:sz w:val="18"/>
          <w:szCs w:val="18"/>
        </w:rPr>
        <w:t>Consertos serão licenciados de acordo com os termos da licença aplicáveis ao Produto ao qual os Consertos estão relacionados.</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Se</w:t>
      </w:r>
      <w:r w:rsidR="00F3685F" w:rsidRPr="00F3685F">
        <w:rPr>
          <w:rFonts w:ascii="Tahoma" w:hAnsi="Tahoma" w:cs="Tahoma"/>
          <w:color w:val="000000"/>
          <w:sz w:val="18"/>
          <w:szCs w:val="18"/>
        </w:rPr>
        <w:t> </w:t>
      </w:r>
      <w:r w:rsidRPr="00F3685F">
        <w:rPr>
          <w:rFonts w:ascii="Tahoma" w:hAnsi="Tahoma" w:cs="Tahoma"/>
          <w:color w:val="000000"/>
          <w:sz w:val="18"/>
          <w:szCs w:val="18"/>
        </w:rPr>
        <w:t>os</w:t>
      </w:r>
      <w:r w:rsidR="00F3685F" w:rsidRPr="00F3685F">
        <w:rPr>
          <w:rFonts w:ascii="Tahoma" w:hAnsi="Tahoma" w:cs="Tahoma"/>
          <w:color w:val="000000"/>
          <w:sz w:val="18"/>
          <w:szCs w:val="18"/>
        </w:rPr>
        <w:t> </w:t>
      </w:r>
      <w:r w:rsidRPr="00F3685F">
        <w:rPr>
          <w:rFonts w:ascii="Tahoma" w:hAnsi="Tahoma" w:cs="Tahoma"/>
          <w:color w:val="000000"/>
          <w:sz w:val="18"/>
          <w:szCs w:val="18"/>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 uso interno.</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O Cliente não pode modificar, alterar o nome do arquivo dos Consertos ou combinar quaisquer Consertos com nenhum código de computador que não seja da Microsoft.</w:t>
      </w:r>
    </w:p>
    <w:p w:rsidR="003F47CB" w:rsidRPr="00F3685F" w:rsidRDefault="003F47CB" w:rsidP="00CA52FE">
      <w:pPr>
        <w:pStyle w:val="normal1"/>
        <w:rPr>
          <w:rFonts w:ascii="Tahoma" w:hAnsi="Tahoma" w:cs="Tahoma"/>
          <w:sz w:val="18"/>
          <w:szCs w:val="18"/>
        </w:rPr>
      </w:pPr>
    </w:p>
    <w:p w:rsidR="00DB2D1E" w:rsidRPr="00F3685F" w:rsidRDefault="00DB2D1E" w:rsidP="00CA52FE">
      <w:pPr>
        <w:pStyle w:val="normal1"/>
        <w:rPr>
          <w:rFonts w:ascii="Tahoma" w:hAnsi="Tahoma" w:cs="Tahoma"/>
          <w:sz w:val="18"/>
          <w:szCs w:val="18"/>
        </w:rPr>
      </w:pPr>
      <w:r w:rsidRPr="00F3685F">
        <w:rPr>
          <w:rFonts w:ascii="Tahoma" w:hAnsi="Tahoma" w:cs="Tahoma"/>
          <w:b/>
          <w:bCs/>
          <w:color w:val="000000"/>
          <w:sz w:val="18"/>
          <w:szCs w:val="18"/>
        </w:rPr>
        <w:t>Trabalho Preexistente.</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Todos os direitos em qualquer código de computador ou materiais escritos não baseados em código desenvolvidos ou de outra forma obtidos pelas ou para as partes ou suas Afiliadas, independentemente do</w:t>
      </w:r>
      <w:r w:rsidR="001032A9">
        <w:rPr>
          <w:rFonts w:ascii="Tahoma" w:hAnsi="Tahoma" w:cs="Tahoma"/>
          <w:color w:val="000000"/>
          <w:sz w:val="18"/>
          <w:szCs w:val="18"/>
        </w:rPr>
        <w:t> </w:t>
      </w:r>
      <w:r w:rsidRPr="00F3685F">
        <w:rPr>
          <w:rFonts w:ascii="Tahoma" w:hAnsi="Tahoma" w:cs="Tahoma"/>
          <w:color w:val="000000"/>
          <w:sz w:val="18"/>
          <w:szCs w:val="18"/>
        </w:rPr>
        <w:t>presente contrato (“Trabalho Preexistente”), devem permanecer como propriedade exclusiva da parte que fornece o</w:t>
      </w:r>
      <w:r w:rsidR="001032A9">
        <w:rPr>
          <w:rFonts w:ascii="Tahoma" w:hAnsi="Tahoma" w:cs="Tahoma"/>
          <w:color w:val="000000"/>
          <w:sz w:val="18"/>
          <w:szCs w:val="18"/>
        </w:rPr>
        <w:t> </w:t>
      </w:r>
      <w:r w:rsidRPr="00F3685F">
        <w:rPr>
          <w:rFonts w:ascii="Tahoma" w:hAnsi="Tahoma" w:cs="Tahoma"/>
          <w:color w:val="000000"/>
          <w:sz w:val="18"/>
          <w:szCs w:val="18"/>
        </w:rPr>
        <w:t>Trabalho Preexistente.</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Durante a realização dos Serviços, cada uma das partes concede à outra (bem como aos subcontratados da Microsoft, conforme necessário) uma licença temporária e não exclusiva para usar, reproduzir e</w:t>
      </w:r>
      <w:r w:rsidR="001032A9">
        <w:rPr>
          <w:rFonts w:ascii="Tahoma" w:hAnsi="Tahoma" w:cs="Tahoma"/>
          <w:color w:val="000000"/>
          <w:sz w:val="18"/>
          <w:szCs w:val="18"/>
        </w:rPr>
        <w:t> </w:t>
      </w:r>
      <w:r w:rsidRPr="00F3685F">
        <w:rPr>
          <w:rFonts w:ascii="Tahoma" w:hAnsi="Tahoma" w:cs="Tahoma"/>
          <w:color w:val="000000"/>
          <w:sz w:val="18"/>
          <w:szCs w:val="18"/>
        </w:rPr>
        <w:t>modificar seu Trabalho pré-existente fornecido à outra parte, unicamente conforme a necessidade para cumprir suas obrigações relacionadas aos Serviços.</w:t>
      </w:r>
    </w:p>
    <w:p w:rsidR="00DB2D1E" w:rsidRPr="00F3685F" w:rsidRDefault="00DB2D1E" w:rsidP="00CA52FE">
      <w:pPr>
        <w:pStyle w:val="normal1"/>
        <w:rPr>
          <w:rFonts w:ascii="Tahoma" w:hAnsi="Tahoma" w:cs="Tahoma"/>
          <w:sz w:val="18"/>
          <w:szCs w:val="18"/>
        </w:rPr>
      </w:pPr>
      <w:r w:rsidRPr="00F3685F">
        <w:rPr>
          <w:rFonts w:ascii="Tahoma" w:hAnsi="Tahoma" w:cs="Tahoma"/>
          <w:color w:val="000000"/>
          <w:sz w:val="18"/>
          <w:szCs w:val="18"/>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w:t>
      </w:r>
      <w:r w:rsidR="00F3685F">
        <w:rPr>
          <w:rFonts w:ascii="Tahoma" w:hAnsi="Tahoma" w:cs="Tahoma"/>
          <w:color w:val="000000"/>
          <w:sz w:val="18"/>
          <w:szCs w:val="18"/>
        </w:rPr>
        <w:t> </w:t>
      </w:r>
      <w:r w:rsidRPr="00F3685F">
        <w:rPr>
          <w:rFonts w:ascii="Tahoma" w:hAnsi="Tahoma" w:cs="Tahoma"/>
          <w:color w:val="000000"/>
          <w:sz w:val="18"/>
          <w:szCs w:val="18"/>
        </w:rPr>
        <w:t>Trabalho Preexistente da Microsoft está sujeita ao cumprimento dos termos do presente contrato por parte do Cliente.</w:t>
      </w:r>
    </w:p>
    <w:p w:rsidR="003F47CB" w:rsidRDefault="003F47CB" w:rsidP="00CA52FE">
      <w:pPr>
        <w:pStyle w:val="normal1"/>
        <w:rPr>
          <w:rFonts w:ascii="Tahoma" w:hAnsi="Tahoma" w:cs="Tahoma"/>
          <w:sz w:val="18"/>
          <w:szCs w:val="18"/>
        </w:rPr>
      </w:pPr>
    </w:p>
    <w:p w:rsidR="00DB2D1E" w:rsidRPr="00F3685F" w:rsidRDefault="00DB2D1E" w:rsidP="00CA52FE">
      <w:pPr>
        <w:pStyle w:val="normal1"/>
        <w:rPr>
          <w:rFonts w:ascii="Tahoma" w:hAnsi="Tahoma" w:cs="Tahoma"/>
          <w:sz w:val="18"/>
          <w:szCs w:val="18"/>
        </w:rPr>
      </w:pPr>
      <w:r w:rsidRPr="00F3685F">
        <w:rPr>
          <w:rFonts w:ascii="Tahoma" w:hAnsi="Tahoma" w:cs="Tahoma"/>
          <w:b/>
          <w:bCs/>
          <w:color w:val="000000"/>
          <w:sz w:val="18"/>
          <w:szCs w:val="18"/>
        </w:rPr>
        <w:t>Desenvolvimentos</w:t>
      </w:r>
      <w:r w:rsidRPr="00F3685F">
        <w:rPr>
          <w:rFonts w:ascii="Tahoma" w:hAnsi="Tahoma" w:cs="Tahoma"/>
          <w:color w:val="000000"/>
          <w:sz w:val="18"/>
          <w:szCs w:val="18"/>
        </w:rPr>
        <w:t>.</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w:t>
      </w:r>
      <w:r w:rsidR="00F3685F">
        <w:rPr>
          <w:rFonts w:ascii="Tahoma" w:hAnsi="Tahoma" w:cs="Tahoma"/>
          <w:color w:val="000000"/>
          <w:sz w:val="18"/>
          <w:szCs w:val="18"/>
        </w:rPr>
        <w:t> </w:t>
      </w:r>
      <w:r w:rsidRPr="00F3685F">
        <w:rPr>
          <w:rFonts w:ascii="Tahoma" w:hAnsi="Tahoma" w:cs="Tahoma"/>
          <w:color w:val="000000"/>
          <w:sz w:val="18"/>
          <w:szCs w:val="18"/>
        </w:rPr>
        <w:t>conclusão de uma contratação de Serviços (“Desenvolvimentos”).</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Cada uma das partes deverá ser a única proprietária de quaisquer modificações feitas a partir dos Desenvolvimentos.</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O Cliente concorda em exercer seus direitos sobre quaisquer Desenvolvimentos unicamente para as operações comerciais internas do Cliente, e não para revender ou distribuir quaisquer Desenvolvimentos a terceiros.</w:t>
      </w:r>
    </w:p>
    <w:p w:rsidR="003F47CB" w:rsidRPr="004B208C" w:rsidRDefault="003F47CB" w:rsidP="00CA52FE">
      <w:pPr>
        <w:pStyle w:val="normal1"/>
        <w:rPr>
          <w:rFonts w:ascii="Tahoma" w:hAnsi="Tahoma" w:cs="Tahoma"/>
        </w:rPr>
      </w:pPr>
    </w:p>
    <w:p w:rsidR="00222641" w:rsidRPr="004B208C" w:rsidRDefault="00222641" w:rsidP="00CA52FE">
      <w:pPr>
        <w:rPr>
          <w:rFonts w:cs="Tahoma"/>
        </w:rPr>
      </w:pPr>
      <w:r w:rsidRPr="004B208C">
        <w:rPr>
          <w:rFonts w:eastAsia="Calibri" w:cs="Tahoma"/>
          <w:b/>
          <w:bCs/>
          <w:color w:val="000000"/>
          <w:szCs w:val="18"/>
        </w:rPr>
        <w:t>Materiais.</w:t>
      </w:r>
      <w:r w:rsidR="00172F11">
        <w:rPr>
          <w:rFonts w:eastAsia="Calibri" w:cs="Tahoma"/>
          <w:b/>
          <w:bCs/>
          <w:color w:val="000000"/>
          <w:szCs w:val="18"/>
        </w:rPr>
        <w:t xml:space="preserve"> </w:t>
      </w:r>
      <w:r w:rsidRPr="004B208C">
        <w:rPr>
          <w:rFonts w:eastAsia="Calibri" w:cs="Tahoma"/>
          <w:bCs/>
          <w:color w:val="000000"/>
          <w:szCs w:val="18"/>
        </w:rPr>
        <w:t>Todos os direitos sobre os materiais desenvolvidos por Nós (que não sejam código de software) e fornecidos ao cliente junto com o Suporte Profissional e Suporte para Windows Azure (</w:t>
      </w:r>
      <w:r w:rsidR="00172F11">
        <w:rPr>
          <w:rFonts w:eastAsia="Calibri" w:cs="Tahoma"/>
          <w:bCs/>
          <w:color w:val="000000"/>
          <w:szCs w:val="18"/>
        </w:rPr>
        <w:t>“</w:t>
      </w:r>
      <w:r w:rsidRPr="004B208C">
        <w:rPr>
          <w:rFonts w:eastAsia="Calibri" w:cs="Tahoma"/>
          <w:bCs/>
          <w:color w:val="000000"/>
          <w:szCs w:val="18"/>
        </w:rPr>
        <w:t>Materiais</w:t>
      </w:r>
      <w:r w:rsidR="00172F11">
        <w:rPr>
          <w:rFonts w:eastAsia="Calibri" w:cs="Tahoma"/>
          <w:bCs/>
          <w:color w:val="000000"/>
          <w:szCs w:val="18"/>
        </w:rPr>
        <w:t>”</w:t>
      </w:r>
      <w:r w:rsidRPr="004B208C">
        <w:rPr>
          <w:rFonts w:eastAsia="Calibri" w:cs="Tahoma"/>
          <w:bCs/>
          <w:color w:val="000000"/>
          <w:szCs w:val="18"/>
        </w:rPr>
        <w:t>) são de Nossa propriedade, exceto na medida em que esses Materiais fizerem parte do Trabalho Pré-existente do cliente.</w:t>
      </w:r>
      <w:r w:rsidR="00172F11">
        <w:rPr>
          <w:rFonts w:eastAsia="Calibri" w:cs="Tahoma"/>
          <w:bCs/>
          <w:color w:val="000000"/>
          <w:szCs w:val="18"/>
        </w:rPr>
        <w:t xml:space="preserve"> </w:t>
      </w:r>
      <w:r w:rsidRPr="004B208C">
        <w:rPr>
          <w:rFonts w:eastAsia="Calibri" w:cs="Tahoma"/>
          <w:bCs/>
          <w:color w:val="000000"/>
          <w:szCs w:val="18"/>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172F11">
        <w:rPr>
          <w:rFonts w:eastAsia="Calibri" w:cs="Tahoma"/>
          <w:bCs/>
          <w:color w:val="000000"/>
          <w:szCs w:val="18"/>
        </w:rPr>
        <w:t xml:space="preserve"> </w:t>
      </w:r>
      <w:r w:rsidRPr="004B208C">
        <w:rPr>
          <w:rFonts w:eastAsia="Calibri" w:cs="Tahoma"/>
          <w:bCs/>
          <w:color w:val="000000"/>
          <w:szCs w:val="18"/>
        </w:rPr>
        <w:t>Os clientes poderão sublicenciar os direitos outorgados neste documento para suas Afiliadas.</w:t>
      </w:r>
      <w:r w:rsidR="00172F11">
        <w:rPr>
          <w:rFonts w:eastAsia="Calibri" w:cs="Tahoma"/>
          <w:bCs/>
          <w:color w:val="000000"/>
          <w:szCs w:val="18"/>
        </w:rPr>
        <w:t xml:space="preserve"> </w:t>
      </w:r>
      <w:r w:rsidRPr="004B208C">
        <w:rPr>
          <w:rFonts w:eastAsia="Calibri" w:cs="Tahoma"/>
          <w:bCs/>
          <w:color w:val="000000"/>
          <w:szCs w:val="18"/>
        </w:rPr>
        <w:t>Todos os direitos não outorgados expressamente estão reservados.</w:t>
      </w:r>
    </w:p>
    <w:p w:rsidR="003F47CB" w:rsidRPr="004B208C" w:rsidRDefault="003F47CB" w:rsidP="00CA52FE">
      <w:pPr>
        <w:rPr>
          <w:rFonts w:cs="Tahoma"/>
        </w:rPr>
      </w:pPr>
    </w:p>
    <w:p w:rsidR="00B53C3C" w:rsidRPr="004B208C" w:rsidRDefault="00B53C3C" w:rsidP="00CA52FE">
      <w:pPr>
        <w:rPr>
          <w:rFonts w:cs="Tahoma"/>
        </w:rPr>
      </w:pPr>
      <w:r w:rsidRPr="004B208C">
        <w:rPr>
          <w:rFonts w:eastAsia="Calibri" w:cs="Tahoma"/>
          <w:b/>
          <w:bCs/>
          <w:color w:val="000000"/>
          <w:szCs w:val="18"/>
        </w:rPr>
        <w:t>Código de Amostra.</w:t>
      </w:r>
      <w:r w:rsidR="00172F11">
        <w:rPr>
          <w:rFonts w:eastAsia="Calibri" w:cs="Tahoma"/>
          <w:b/>
          <w:bCs/>
          <w:color w:val="000000"/>
          <w:szCs w:val="18"/>
        </w:rPr>
        <w:t xml:space="preserve"> </w:t>
      </w:r>
      <w:r w:rsidRPr="004B208C">
        <w:rPr>
          <w:rFonts w:eastAsia="Calibri" w:cs="Tahoma"/>
          <w:bCs/>
          <w:color w:val="000000"/>
          <w:szCs w:val="18"/>
        </w:rPr>
        <w:t>A Microsoft concede aos clientes o direito não exclusivo, perpétuo e livre de royalties para usar e modificar códigos de software fornecidos para fins de esclarecimento (</w:t>
      </w:r>
      <w:r w:rsidR="00172F11">
        <w:rPr>
          <w:rFonts w:eastAsia="Calibri" w:cs="Tahoma"/>
          <w:bCs/>
          <w:color w:val="000000"/>
          <w:szCs w:val="18"/>
        </w:rPr>
        <w:t>“</w:t>
      </w:r>
      <w:r w:rsidRPr="004B208C">
        <w:rPr>
          <w:rFonts w:eastAsia="Calibri" w:cs="Tahoma"/>
          <w:bCs/>
          <w:color w:val="000000"/>
          <w:szCs w:val="18"/>
        </w:rPr>
        <w:t>Código de Amostra</w:t>
      </w:r>
      <w:r w:rsidR="00172F11">
        <w:rPr>
          <w:rFonts w:eastAsia="Calibri" w:cs="Tahoma"/>
          <w:bCs/>
          <w:color w:val="000000"/>
          <w:szCs w:val="18"/>
        </w:rPr>
        <w:t>”</w:t>
      </w:r>
      <w:r w:rsidRPr="004B208C">
        <w:rPr>
          <w:rFonts w:eastAsia="Calibri" w:cs="Tahoma"/>
          <w:bCs/>
          <w:color w:val="000000"/>
          <w:szCs w:val="18"/>
        </w:rPr>
        <w:t>) e reproduzir e</w:t>
      </w:r>
      <w:r w:rsidR="00F3685F">
        <w:rPr>
          <w:rFonts w:eastAsia="Calibri" w:cs="Tahoma"/>
          <w:bCs/>
          <w:color w:val="000000"/>
          <w:szCs w:val="18"/>
        </w:rPr>
        <w:t> </w:t>
      </w:r>
      <w:r w:rsidRPr="004B208C">
        <w:rPr>
          <w:rFonts w:eastAsia="Calibri" w:cs="Tahoma"/>
          <w:bCs/>
          <w:color w:val="000000"/>
          <w:szCs w:val="18"/>
        </w:rPr>
        <w:t>distribuir o formato do código-objeto do Código de Amostra desde que os clientes concordem em: (i) não usar o</w:t>
      </w:r>
      <w:r w:rsidR="00F3685F">
        <w:rPr>
          <w:rFonts w:eastAsia="Calibri" w:cs="Tahoma"/>
          <w:bCs/>
          <w:color w:val="000000"/>
          <w:szCs w:val="18"/>
        </w:rPr>
        <w:t> </w:t>
      </w:r>
      <w:r w:rsidRPr="004B208C">
        <w:rPr>
          <w:rFonts w:eastAsia="Calibri" w:cs="Tahoma"/>
          <w:bCs/>
          <w:color w:val="000000"/>
          <w:szCs w:val="18"/>
        </w:rPr>
        <w:t xml:space="preserve">nome, logotipo ou marcas da Microsoft para comercializar o software em que o Código de Amostra estiver </w:t>
      </w:r>
      <w:r w:rsidRPr="004B208C">
        <w:rPr>
          <w:rFonts w:eastAsia="Calibri" w:cs="Tahoma"/>
          <w:bCs/>
          <w:color w:val="000000"/>
          <w:szCs w:val="18"/>
        </w:rPr>
        <w:lastRenderedPageBreak/>
        <w:t>incorporado; (ii) incluir uma notificação de direitos autorais válida no software em que o Código de Amostra estiver</w:t>
      </w:r>
      <w:r w:rsidR="00F3685F">
        <w:rPr>
          <w:rFonts w:eastAsia="Calibri" w:cs="Tahoma"/>
          <w:bCs/>
          <w:color w:val="000000"/>
          <w:szCs w:val="18"/>
        </w:rPr>
        <w:t> </w:t>
      </w:r>
      <w:r w:rsidRPr="004B208C">
        <w:rPr>
          <w:rFonts w:eastAsia="Calibri" w:cs="Tahoma"/>
          <w:bCs/>
          <w:color w:val="000000"/>
          <w:szCs w:val="18"/>
        </w:rPr>
        <w:t>incorporado e (iii) indenizar, isentar de responsabilidade e defender a Microsoft e Seus fornecedores de requerimentos judiciais ou extrajudiciais ou ações judiciais, incluindo honorários advocatícios, decorrentes de uso ou</w:t>
      </w:r>
      <w:r w:rsidR="00F3685F">
        <w:rPr>
          <w:rFonts w:eastAsia="Calibri" w:cs="Tahoma"/>
          <w:bCs/>
          <w:color w:val="000000"/>
          <w:szCs w:val="18"/>
        </w:rPr>
        <w:t> </w:t>
      </w:r>
      <w:r w:rsidRPr="004B208C">
        <w:rPr>
          <w:rFonts w:eastAsia="Calibri" w:cs="Tahoma"/>
          <w:bCs/>
          <w:color w:val="000000"/>
          <w:szCs w:val="18"/>
        </w:rPr>
        <w:t xml:space="preserve">distribuição do Código de Amostra. </w:t>
      </w:r>
    </w:p>
    <w:p w:rsidR="003F47CB" w:rsidRPr="004B208C" w:rsidRDefault="003F47CB" w:rsidP="00CA52FE">
      <w:pPr>
        <w:rPr>
          <w:rFonts w:cs="Tahoma"/>
        </w:rPr>
      </w:pPr>
    </w:p>
    <w:p w:rsidR="00DB2D1E" w:rsidRPr="00F3685F" w:rsidRDefault="00DB2D1E" w:rsidP="00CA52FE">
      <w:pPr>
        <w:pStyle w:val="normal1"/>
        <w:rPr>
          <w:rFonts w:ascii="Tahoma" w:hAnsi="Tahoma" w:cs="Tahoma"/>
          <w:sz w:val="18"/>
          <w:szCs w:val="18"/>
        </w:rPr>
      </w:pPr>
      <w:r w:rsidRPr="00F3685F">
        <w:rPr>
          <w:rFonts w:ascii="Tahoma" w:hAnsi="Tahoma" w:cs="Tahoma"/>
          <w:b/>
          <w:bCs/>
          <w:color w:val="000000"/>
          <w:sz w:val="18"/>
          <w:szCs w:val="18"/>
        </w:rPr>
        <w:t>Restrições de licença de software livre</w:t>
      </w:r>
      <w:r w:rsidRPr="00F3685F">
        <w:rPr>
          <w:rFonts w:ascii="Tahoma" w:hAnsi="Tahoma" w:cs="Tahoma"/>
          <w:color w:val="000000"/>
          <w:sz w:val="18"/>
          <w:szCs w:val="18"/>
        </w:rPr>
        <w:t>.</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Como alguns termos de licença de terceiros exigem que os códigos do computador sejam, em geral, (i) divulgados a terceiros em forma de código-fonte; (ii) licenciados a terceiros com a</w:t>
      </w:r>
      <w:r w:rsidR="001032A9">
        <w:rPr>
          <w:rFonts w:ascii="Tahoma" w:hAnsi="Tahoma" w:cs="Tahoma"/>
          <w:color w:val="000000"/>
          <w:sz w:val="18"/>
          <w:szCs w:val="18"/>
        </w:rPr>
        <w:t> </w:t>
      </w:r>
      <w:r w:rsidRPr="00F3685F">
        <w:rPr>
          <w:rFonts w:ascii="Tahoma" w:hAnsi="Tahoma" w:cs="Tahoma"/>
          <w:color w:val="000000"/>
          <w:sz w:val="18"/>
          <w:szCs w:val="18"/>
        </w:rPr>
        <w:t>finalidade de fazer trabalhos derivados; ou (iii) redistribuíveis a terceiros sem nenhum custo (em conjunto, “Termos de Licença de Software Livre”), os direitos de licença que cada parte concedeu a qualquer código de computador (ou 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Além disso, cada uma das partes garante que não fornecerá ou entregará à outra parte nenhum código de computador que seja regido pelos Termos de Licença de Software Livre.</w:t>
      </w:r>
    </w:p>
    <w:p w:rsidR="003F47CB" w:rsidRPr="00F3685F" w:rsidRDefault="003F47CB" w:rsidP="00CA52FE">
      <w:pPr>
        <w:pStyle w:val="normal1"/>
        <w:rPr>
          <w:rFonts w:ascii="Tahoma" w:hAnsi="Tahoma" w:cs="Tahoma"/>
          <w:sz w:val="18"/>
          <w:szCs w:val="18"/>
        </w:rPr>
      </w:pPr>
    </w:p>
    <w:p w:rsidR="00DB2D1E" w:rsidRPr="00F3685F" w:rsidRDefault="00DB2D1E" w:rsidP="00CA52FE">
      <w:pPr>
        <w:pStyle w:val="normal1"/>
        <w:rPr>
          <w:rFonts w:ascii="Tahoma" w:hAnsi="Tahoma" w:cs="Tahoma"/>
          <w:sz w:val="18"/>
          <w:szCs w:val="18"/>
        </w:rPr>
      </w:pPr>
      <w:r w:rsidRPr="00F3685F">
        <w:rPr>
          <w:rFonts w:ascii="Tahoma" w:hAnsi="Tahoma" w:cs="Tahoma"/>
          <w:b/>
          <w:bCs/>
          <w:color w:val="000000"/>
          <w:sz w:val="18"/>
          <w:szCs w:val="18"/>
        </w:rPr>
        <w:t>Direitos das Afiliadas.</w:t>
      </w:r>
      <w:r w:rsidR="00172F11" w:rsidRPr="00F3685F">
        <w:rPr>
          <w:rFonts w:ascii="Tahoma" w:hAnsi="Tahoma" w:cs="Tahoma"/>
          <w:color w:val="000000"/>
          <w:sz w:val="18"/>
          <w:szCs w:val="18"/>
        </w:rPr>
        <w:t xml:space="preserve"> </w:t>
      </w:r>
      <w:r w:rsidRPr="00F3685F">
        <w:rPr>
          <w:rFonts w:ascii="Tahoma" w:hAnsi="Tahoma" w:cs="Tahoma"/>
          <w:color w:val="000000"/>
          <w:sz w:val="18"/>
          <w:szCs w:val="18"/>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1C1727" w:rsidRPr="00F3685F" w:rsidRDefault="001C1727">
      <w:pPr>
        <w:rPr>
          <w:rFonts w:cs="Tahoma"/>
          <w:szCs w:val="18"/>
        </w:rPr>
      </w:pPr>
    </w:p>
    <w:p w:rsidR="00DB2D1E" w:rsidRPr="00F3685F" w:rsidRDefault="00DB2D1E" w:rsidP="00CA52FE">
      <w:pPr>
        <w:rPr>
          <w:rFonts w:cs="Tahoma"/>
          <w:szCs w:val="18"/>
        </w:rPr>
      </w:pPr>
      <w:r w:rsidRPr="00F3685F">
        <w:rPr>
          <w:rFonts w:cs="Tahoma"/>
          <w:b/>
          <w:bCs/>
          <w:color w:val="000000"/>
          <w:szCs w:val="18"/>
        </w:rPr>
        <w:t>Reserva de direitos.</w:t>
      </w:r>
      <w:r w:rsidR="00172F11" w:rsidRPr="00F3685F">
        <w:rPr>
          <w:rFonts w:cs="Tahoma"/>
          <w:color w:val="000000"/>
          <w:szCs w:val="18"/>
        </w:rPr>
        <w:t xml:space="preserve"> </w:t>
      </w:r>
      <w:r w:rsidRPr="00F3685F">
        <w:rPr>
          <w:rFonts w:cs="Tahoma"/>
          <w:color w:val="000000"/>
          <w:szCs w:val="18"/>
        </w:rPr>
        <w:t>Qualquer direito não concedido expressamente permanece reservado.</w:t>
      </w:r>
    </w:p>
    <w:p w:rsidR="00DB2D1E" w:rsidRPr="004B208C" w:rsidRDefault="00DB2D1E" w:rsidP="00CA52FE">
      <w:pPr>
        <w:rPr>
          <w:rFonts w:cs="Tahoma"/>
        </w:rPr>
      </w:pPr>
    </w:p>
    <w:p w:rsidR="00DD7F8E" w:rsidRPr="004B208C" w:rsidRDefault="00DD7F8E" w:rsidP="00E77F1E">
      <w:pPr>
        <w:spacing w:after="60"/>
        <w:rPr>
          <w:rFonts w:cs="Tahoma"/>
        </w:rPr>
      </w:pPr>
      <w:r w:rsidRPr="004B208C">
        <w:rPr>
          <w:rFonts w:cs="Tahoma"/>
          <w:b/>
          <w:szCs w:val="18"/>
        </w:rPr>
        <w:t>Garantias, Isenções e Limitações de Responsabilidade</w:t>
      </w:r>
    </w:p>
    <w:p w:rsidR="00DD7F8E" w:rsidRPr="004B208C" w:rsidRDefault="00DD7F8E" w:rsidP="00CA52FE">
      <w:pPr>
        <w:ind w:left="360"/>
        <w:rPr>
          <w:rFonts w:cs="Tahoma"/>
        </w:rPr>
      </w:pPr>
      <w:r w:rsidRPr="004B208C">
        <w:rPr>
          <w:rFonts w:cs="Tahoma"/>
          <w:b/>
          <w:color w:val="000000"/>
          <w:szCs w:val="18"/>
        </w:rPr>
        <w:t>Garantia dos Serviços</w:t>
      </w:r>
      <w:r w:rsidRPr="004B208C">
        <w:rPr>
          <w:rFonts w:cs="Tahoma"/>
          <w:color w:val="000000"/>
          <w:szCs w:val="18"/>
        </w:rPr>
        <w:t>.</w:t>
      </w:r>
      <w:r w:rsidR="00172F11">
        <w:rPr>
          <w:rFonts w:cs="Tahoma"/>
          <w:color w:val="000000"/>
          <w:szCs w:val="18"/>
        </w:rPr>
        <w:t xml:space="preserve"> </w:t>
      </w:r>
      <w:r w:rsidRPr="004B208C">
        <w:rPr>
          <w:rFonts w:cs="Tahoma"/>
          <w:color w:val="000000"/>
          <w:szCs w:val="18"/>
        </w:rPr>
        <w:t>A Microsoft garante que todos os Serviços serão realizados com cuidado e qualificação profissionais.</w:t>
      </w:r>
    </w:p>
    <w:p w:rsidR="00DD7F8E" w:rsidRPr="004B208C" w:rsidRDefault="00DD7F8E" w:rsidP="00CA52FE">
      <w:pPr>
        <w:ind w:left="360"/>
        <w:rPr>
          <w:rFonts w:cs="Tahoma"/>
        </w:rPr>
      </w:pPr>
    </w:p>
    <w:p w:rsidR="00DD7F8E" w:rsidRPr="004B208C" w:rsidRDefault="00DD7F8E" w:rsidP="00CA52FE">
      <w:pPr>
        <w:ind w:left="360"/>
        <w:rPr>
          <w:rFonts w:cs="Tahoma"/>
        </w:rPr>
      </w:pPr>
      <w:r w:rsidRPr="004B208C">
        <w:rPr>
          <w:rFonts w:cs="Tahoma"/>
          <w:b/>
          <w:szCs w:val="18"/>
        </w:rPr>
        <w:t>AUSÊNCIA DE OUTRAS GARANTIAS</w:t>
      </w:r>
      <w:r w:rsidRPr="004B208C">
        <w:rPr>
          <w:rFonts w:cs="Tahoma"/>
          <w:b/>
          <w:i/>
          <w:szCs w:val="18"/>
        </w:rPr>
        <w:t>.</w:t>
      </w:r>
      <w:r w:rsidR="00172F11">
        <w:rPr>
          <w:rFonts w:cs="Tahoma"/>
          <w:szCs w:val="18"/>
        </w:rPr>
        <w:t xml:space="preserve"> </w:t>
      </w:r>
      <w:r w:rsidRPr="004B208C">
        <w:rPr>
          <w:rFonts w:cs="Tahoma"/>
          <w:szCs w:val="18"/>
        </w:rPr>
        <w:t>NO LIMITE PERMITIDO PELA LEI APLICÁVEL, A MICROSOFT EXCLUI E</w:t>
      </w:r>
      <w:r w:rsidR="00F3685F">
        <w:rPr>
          <w:rFonts w:cs="Tahoma"/>
          <w:szCs w:val="18"/>
        </w:rPr>
        <w:t> </w:t>
      </w:r>
      <w:r w:rsidRPr="004B208C">
        <w:rPr>
          <w:rFonts w:cs="Tahoma"/>
          <w:szCs w:val="18"/>
        </w:rPr>
        <w:t>ISENTA-SE DE TODAS AS DECLARAÇÕES, GARANTIAS E CONDIÇÕES, EXPRESSAS, IMPLÍCITAS OU CONTIDAS EM LEI, QUE NÃO SEJAM AQUELAS IDENTIFICADAS DE MANEIRA EXPRESSA NESTE CONTRATO.</w:t>
      </w:r>
      <w:r w:rsidR="00172F11">
        <w:rPr>
          <w:rFonts w:cs="Tahoma"/>
          <w:szCs w:val="18"/>
        </w:rPr>
        <w:t xml:space="preserve"> </w:t>
      </w:r>
      <w:r w:rsidRPr="004B208C">
        <w:rPr>
          <w:rFonts w:cs="Tahoma"/>
          <w:szCs w:val="18"/>
        </w:rPr>
        <w:t>A ISENÇÃO DE</w:t>
      </w:r>
      <w:r w:rsidR="00F3685F">
        <w:rPr>
          <w:rFonts w:cs="Tahoma"/>
          <w:szCs w:val="18"/>
        </w:rPr>
        <w:t> </w:t>
      </w:r>
      <w:r w:rsidRPr="004B208C">
        <w:rPr>
          <w:rFonts w:cs="Tahoma"/>
          <w:szCs w:val="18"/>
        </w:rPr>
        <w:t>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172F11">
        <w:rPr>
          <w:rFonts w:cs="Tahoma"/>
          <w:szCs w:val="18"/>
        </w:rPr>
        <w:t xml:space="preserve"> </w:t>
      </w:r>
    </w:p>
    <w:p w:rsidR="00DD7F8E" w:rsidRPr="004B208C" w:rsidRDefault="00DD7F8E" w:rsidP="00CA52FE">
      <w:pPr>
        <w:ind w:left="360"/>
        <w:rPr>
          <w:rFonts w:cs="Tahoma"/>
        </w:rPr>
      </w:pPr>
    </w:p>
    <w:p w:rsidR="00DD7F8E" w:rsidRPr="004B208C" w:rsidRDefault="00DD7F8E" w:rsidP="00CA52FE">
      <w:pPr>
        <w:ind w:left="360"/>
        <w:rPr>
          <w:rFonts w:cs="Tahoma"/>
        </w:rPr>
      </w:pPr>
      <w:r w:rsidRPr="004B208C">
        <w:rPr>
          <w:rFonts w:cs="Tahoma"/>
          <w:b/>
          <w:szCs w:val="18"/>
        </w:rPr>
        <w:t>Limitação de Responsabilidade</w:t>
      </w:r>
      <w:r w:rsidRPr="004B208C">
        <w:rPr>
          <w:rFonts w:cs="Tahoma"/>
          <w:szCs w:val="18"/>
        </w:rPr>
        <w:t>.</w:t>
      </w:r>
      <w:r w:rsidR="00172F11">
        <w:rPr>
          <w:rFonts w:cs="Tahoma"/>
          <w:szCs w:val="18"/>
        </w:rPr>
        <w:t xml:space="preserve"> </w:t>
      </w:r>
      <w:r w:rsidRPr="004B208C">
        <w:rPr>
          <w:rFonts w:cs="Tahoma"/>
          <w:szCs w:val="18"/>
        </w:rPr>
        <w:t>A responsabilidade da Microsoft por danos diretos será limitada até a</w:t>
      </w:r>
      <w:r w:rsidR="001032A9">
        <w:rPr>
          <w:rFonts w:cs="Tahoma"/>
          <w:szCs w:val="18"/>
        </w:rPr>
        <w:t> </w:t>
      </w:r>
      <w:r w:rsidRPr="004B208C">
        <w:rPr>
          <w:rFonts w:cs="Tahoma"/>
          <w:szCs w:val="18"/>
        </w:rPr>
        <w:t>máxima extensão permitida pela lei aplicável aos valores pagos pelo Cliente pelos Serviços que originaram o</w:t>
      </w:r>
      <w:r w:rsidR="001032A9">
        <w:rPr>
          <w:rFonts w:cs="Tahoma"/>
          <w:szCs w:val="18"/>
        </w:rPr>
        <w:t> </w:t>
      </w:r>
      <w:r w:rsidRPr="004B208C">
        <w:rPr>
          <w:rFonts w:cs="Tahoma"/>
          <w:szCs w:val="18"/>
        </w:rPr>
        <w:t>requerimento judicial ou extrajudicial de violação nos 12 meses que precedem o referido requerimento.</w:t>
      </w:r>
      <w:r w:rsidR="00172F11">
        <w:rPr>
          <w:rFonts w:cs="Tahoma"/>
          <w:szCs w:val="18"/>
        </w:rPr>
        <w:t xml:space="preserve"> </w:t>
      </w:r>
    </w:p>
    <w:p w:rsidR="00DD7F8E" w:rsidRPr="004B208C" w:rsidRDefault="00DD7F8E" w:rsidP="00CA52FE">
      <w:pPr>
        <w:ind w:left="360"/>
        <w:rPr>
          <w:rFonts w:cs="Tahoma"/>
        </w:rPr>
      </w:pPr>
    </w:p>
    <w:p w:rsidR="00DD7F8E" w:rsidRPr="004B208C" w:rsidRDefault="00DD7F8E" w:rsidP="00CA52FE">
      <w:pPr>
        <w:ind w:left="360"/>
        <w:rPr>
          <w:rFonts w:cs="Tahoma"/>
        </w:rPr>
      </w:pPr>
      <w:r w:rsidRPr="004B208C">
        <w:rPr>
          <w:rFonts w:cs="Tahoma"/>
          <w:b/>
          <w:szCs w:val="18"/>
        </w:rPr>
        <w:t>NENHUMA RESPONSABILIDADE POR DANOS DETERMINADOS</w:t>
      </w:r>
      <w:r w:rsidRPr="004B208C">
        <w:rPr>
          <w:rFonts w:cs="Tahoma"/>
          <w:szCs w:val="18"/>
        </w:rPr>
        <w:t>.</w:t>
      </w:r>
      <w:r w:rsidR="00172F11">
        <w:rPr>
          <w:rFonts w:cs="Tahoma"/>
          <w:szCs w:val="18"/>
        </w:rPr>
        <w:t xml:space="preserve"> </w:t>
      </w:r>
      <w:r w:rsidRPr="004B208C">
        <w:rPr>
          <w:rFonts w:cs="Tahoma"/>
          <w:szCs w:val="18"/>
        </w:rPr>
        <w:t>NA EXTENSÃO MÁXIMA PERMITIDA PELA</w:t>
      </w:r>
      <w:r w:rsidR="00F3685F">
        <w:rPr>
          <w:rFonts w:cs="Tahoma"/>
          <w:szCs w:val="18"/>
        </w:rPr>
        <w:t> </w:t>
      </w:r>
      <w:r w:rsidRPr="004B208C">
        <w:rPr>
          <w:rFonts w:cs="Tahoma"/>
          <w:szCs w:val="18"/>
        </w:rPr>
        <w:t>LEI APLICÁVEL, NENHUMA DAS PARTES, SUAS AFILIADAS, FORNECEDORAS OU CONTRATANTES RESPONDERÃO POR DANOS INDIRETOS (INCLUINDO, SEM LIMITAÇÃO, DANOS CONSEQUENCIAIS, ESPECIAIS OU INCIDENTAIS, DANOS POR PERDA DE LUCRO OU RECEITA, INTERRUPÇÃO DOS NEGÓCIOS OU PERDA DE</w:t>
      </w:r>
      <w:r w:rsidR="004A5268">
        <w:rPr>
          <w:rFonts w:cs="Tahoma"/>
          <w:szCs w:val="18"/>
        </w:rPr>
        <w:t> </w:t>
      </w:r>
      <w:r w:rsidRPr="004B208C">
        <w:rPr>
          <w:rFonts w:cs="Tahoma"/>
          <w:szCs w:val="18"/>
        </w:rPr>
        <w:t>INFORMAÇÕES DO NEGÓCIO), QUE VENHAM A SURGIR EM DECORRÊNCIA DESTE CONTRATO, AINDA QUE AVISADAS DA POSSIBILIDADE DE OCORRÊNCIA DOS REFERIDOS DANOS OU DE QUE ESSA POSSIBILIDADE POSSA SER RAZOAVELMENTE PREVISTA.</w:t>
      </w:r>
      <w:r w:rsidR="00172F11">
        <w:rPr>
          <w:rFonts w:cs="Tahoma"/>
          <w:szCs w:val="18"/>
        </w:rPr>
        <w:t xml:space="preserve"> </w:t>
      </w:r>
      <w:r w:rsidRPr="004B208C">
        <w:rPr>
          <w:rFonts w:cs="Tahoma"/>
          <w:szCs w:val="18"/>
        </w:rPr>
        <w:t>ESSA EXCLUSÃO DE RESPONSABILIDADE NÃO SE APLICA À RESPONSABILIDADE DE QUAISQUER DAS PARTES EM RELAÇÃO À OUTRA PELA VIOLAÇÃO DE SUA OBRIGAÇÃO DE CONFIDENCIALIDADE OU PELA VIOLAÇÃO DE DIREITOS DE PROPRIEDADE INTELECTUAL DA OUTRA PARTE.</w:t>
      </w:r>
    </w:p>
    <w:p w:rsidR="00DD7F8E" w:rsidRPr="004B208C" w:rsidRDefault="00DD7F8E" w:rsidP="00CA52FE">
      <w:pPr>
        <w:ind w:left="360" w:hanging="360"/>
        <w:jc w:val="both"/>
        <w:rPr>
          <w:rFonts w:cs="Tahoma"/>
        </w:rPr>
      </w:pPr>
    </w:p>
    <w:p w:rsidR="00DD7F8E" w:rsidRPr="004B208C" w:rsidRDefault="00DD7F8E" w:rsidP="00CA52FE">
      <w:pPr>
        <w:ind w:left="360"/>
        <w:rPr>
          <w:rFonts w:cs="Tahoma"/>
        </w:rPr>
      </w:pPr>
      <w:r w:rsidRPr="004B208C">
        <w:rPr>
          <w:rFonts w:cs="Tahoma"/>
          <w:b/>
          <w:szCs w:val="18"/>
        </w:rPr>
        <w:t>Aplicação</w:t>
      </w:r>
      <w:r w:rsidRPr="004B208C">
        <w:rPr>
          <w:rFonts w:cs="Tahoma"/>
          <w:szCs w:val="18"/>
        </w:rPr>
        <w:t>.</w:t>
      </w:r>
      <w:r w:rsidR="00172F11">
        <w:rPr>
          <w:rFonts w:cs="Tahoma"/>
          <w:szCs w:val="18"/>
        </w:rPr>
        <w:t xml:space="preserve"> </w:t>
      </w:r>
      <w:r w:rsidRPr="004B208C">
        <w:rPr>
          <w:rFonts w:cs="Tahoma"/>
          <w:szCs w:val="18"/>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023FE7" w:rsidRPr="004B208C" w:rsidRDefault="00023FE7">
      <w:pPr>
        <w:tabs>
          <w:tab w:val="left" w:pos="2936"/>
        </w:tabs>
        <w:rPr>
          <w:rFonts w:cs="Tahoma"/>
        </w:rPr>
      </w:pPr>
    </w:p>
    <w:p w:rsidR="000F4095" w:rsidRPr="004B208C" w:rsidRDefault="000F4095" w:rsidP="000F4095">
      <w:pPr>
        <w:rPr>
          <w:rFonts w:cs="Tahoma"/>
        </w:rPr>
      </w:pPr>
      <w:r w:rsidRPr="004B208C">
        <w:rPr>
          <w:rFonts w:cs="Tahoma"/>
          <w:b/>
          <w:sz w:val="24"/>
          <w:szCs w:val="24"/>
        </w:rPr>
        <w:t>Ofertas de Suporte do Microsoft Dynamics CRM Online</w:t>
      </w:r>
    </w:p>
    <w:p w:rsidR="000F4095" w:rsidRPr="004B208C" w:rsidRDefault="000F4095" w:rsidP="000F4095">
      <w:pPr>
        <w:rPr>
          <w:rFonts w:cs="Tahoma"/>
        </w:rPr>
      </w:pPr>
    </w:p>
    <w:p w:rsidR="000F4095" w:rsidRPr="004B208C" w:rsidRDefault="000F4095" w:rsidP="000F4095">
      <w:pPr>
        <w:jc w:val="both"/>
        <w:rPr>
          <w:rFonts w:cs="Tahoma"/>
        </w:rPr>
      </w:pPr>
      <w:r w:rsidRPr="004B208C">
        <w:rPr>
          <w:rFonts w:cs="Tahoma"/>
          <w:color w:val="000000"/>
          <w:szCs w:val="18"/>
        </w:rPr>
        <w:t xml:space="preserve">A menos que seja especificado de outra forma abaixo, os Serviços de suporte do Microsoft Dynamics CRM Online estão disponíveis para o Microsoft Dynamics CRM Online. </w:t>
      </w:r>
    </w:p>
    <w:p w:rsidR="000F4095" w:rsidRPr="004B208C" w:rsidRDefault="000F4095" w:rsidP="000F4095">
      <w:pPr>
        <w:tabs>
          <w:tab w:val="left" w:pos="360"/>
        </w:tabs>
        <w:jc w:val="both"/>
        <w:rPr>
          <w:rFonts w:cs="Tahoma"/>
        </w:rPr>
      </w:pPr>
      <w:r w:rsidRPr="004B208C">
        <w:rPr>
          <w:rFonts w:cs="Tahoma"/>
          <w:szCs w:val="18"/>
        </w:rPr>
        <w:lastRenderedPageBreak/>
        <w:t xml:space="preserve">Os Serviços serão fornecidos pela equipe de Suporte do Microsoft </w:t>
      </w:r>
      <w:r w:rsidRPr="004B208C">
        <w:rPr>
          <w:rFonts w:cs="Tahoma"/>
          <w:color w:val="000000"/>
          <w:szCs w:val="18"/>
        </w:rPr>
        <w:t>Dynamics CRM Online</w:t>
      </w:r>
      <w:r w:rsidRPr="004B208C">
        <w:rPr>
          <w:rFonts w:cs="Tahoma"/>
          <w:szCs w:val="18"/>
        </w:rPr>
        <w:t xml:space="preserve">, que é composta pelos especialistas do Microsoft </w:t>
      </w:r>
      <w:r w:rsidRPr="004B208C">
        <w:rPr>
          <w:rFonts w:cs="Tahoma"/>
          <w:color w:val="000000"/>
          <w:szCs w:val="18"/>
        </w:rPr>
        <w:t>Dynamics CRM Online</w:t>
      </w:r>
      <w:r w:rsidRPr="004B208C">
        <w:rPr>
          <w:rFonts w:cs="Tahoma"/>
          <w:szCs w:val="18"/>
        </w:rPr>
        <w:t xml:space="preserve"> que responderão às solicitações de suporte de um cliente</w:t>
      </w:r>
      <w:r w:rsidRPr="004B208C">
        <w:rPr>
          <w:rFonts w:cs="Tahoma"/>
          <w:snapToGrid w:val="0"/>
          <w:szCs w:val="18"/>
        </w:rPr>
        <w:t xml:space="preserve">. </w:t>
      </w:r>
    </w:p>
    <w:p w:rsidR="000F4095" w:rsidRPr="004B208C" w:rsidRDefault="000F4095" w:rsidP="000F4095">
      <w:pPr>
        <w:tabs>
          <w:tab w:val="left" w:pos="360"/>
        </w:tabs>
        <w:jc w:val="both"/>
        <w:rPr>
          <w:rFonts w:cs="Tahoma"/>
        </w:rPr>
      </w:pPr>
    </w:p>
    <w:p w:rsidR="000F4095" w:rsidRPr="004B208C" w:rsidRDefault="000F4095" w:rsidP="000F4095">
      <w:pPr>
        <w:tabs>
          <w:tab w:val="left" w:pos="360"/>
        </w:tabs>
        <w:jc w:val="both"/>
        <w:rPr>
          <w:rFonts w:cs="Tahoma"/>
        </w:rPr>
      </w:pPr>
      <w:r w:rsidRPr="004B208C">
        <w:rPr>
          <w:rFonts w:cs="Tahoma"/>
          <w:szCs w:val="18"/>
        </w:rPr>
        <w:t>“Incidente” significa uma solicitação de suporte referente à falha ou interrupção e conserto (fix) assistida para um</w:t>
      </w:r>
      <w:r w:rsidR="00F3685F">
        <w:rPr>
          <w:rFonts w:cs="Tahoma"/>
          <w:szCs w:val="18"/>
        </w:rPr>
        <w:t> </w:t>
      </w:r>
      <w:r w:rsidRPr="004B208C">
        <w:rPr>
          <w:rFonts w:cs="Tahoma"/>
          <w:szCs w:val="18"/>
        </w:rPr>
        <w:t>Problema Único de Suporte.</w:t>
      </w:r>
      <w:r w:rsidR="00172F11">
        <w:rPr>
          <w:rFonts w:cs="Tahoma"/>
          <w:szCs w:val="18"/>
        </w:rPr>
        <w:t xml:space="preserve"> </w:t>
      </w:r>
      <w:r w:rsidRPr="004B208C">
        <w:rPr>
          <w:rFonts w:cs="Tahoma"/>
          <w:szCs w:val="18"/>
        </w:rPr>
        <w:t>“Problema Único de Suporte” significa um problema que não pode ser subdividido em problemas subordinados.</w:t>
      </w:r>
      <w:r w:rsidR="00172F11">
        <w:rPr>
          <w:rFonts w:cs="Tahoma"/>
          <w:szCs w:val="18"/>
        </w:rPr>
        <w:t xml:space="preserve"> </w:t>
      </w:r>
      <w:r w:rsidRPr="004B208C">
        <w:rPr>
          <w:rFonts w:cs="Tahoma"/>
          <w:szCs w:val="18"/>
        </w:rPr>
        <w:t>Se o problema consistir em problemas subordinados, cada um será considerado um</w:t>
      </w:r>
      <w:r w:rsidR="00F3685F">
        <w:rPr>
          <w:rFonts w:cs="Tahoma"/>
          <w:szCs w:val="18"/>
        </w:rPr>
        <w:t> </w:t>
      </w:r>
      <w:r w:rsidRPr="004B208C">
        <w:rPr>
          <w:rFonts w:cs="Tahoma"/>
          <w:szCs w:val="18"/>
        </w:rPr>
        <w:t>Incidente separado.</w:t>
      </w:r>
      <w:r w:rsidR="00172F11">
        <w:rPr>
          <w:rFonts w:cs="Tahoma"/>
          <w:szCs w:val="18"/>
        </w:rPr>
        <w:t xml:space="preserve"> </w:t>
      </w:r>
      <w:r w:rsidRPr="004B208C">
        <w:rPr>
          <w:rFonts w:cs="Tahoma"/>
          <w:szCs w:val="18"/>
        </w:rPr>
        <w:t>Incidentes incluem o valor comercialmente razoável dos serviços necessários para solucionar o</w:t>
      </w:r>
      <w:r w:rsidR="00F3685F">
        <w:rPr>
          <w:rFonts w:cs="Tahoma"/>
          <w:szCs w:val="18"/>
        </w:rPr>
        <w:t> </w:t>
      </w:r>
      <w:r w:rsidRPr="004B208C">
        <w:rPr>
          <w:rFonts w:cs="Tahoma"/>
          <w:szCs w:val="18"/>
        </w:rPr>
        <w:t>problema e auxiliar a resolver o problema de suporte.</w:t>
      </w:r>
      <w:r w:rsidR="00172F11">
        <w:rPr>
          <w:rFonts w:cs="Tahoma"/>
          <w:szCs w:val="18"/>
        </w:rPr>
        <w:t xml:space="preserve"> </w:t>
      </w:r>
      <w:r w:rsidRPr="004B208C">
        <w:rPr>
          <w:rFonts w:cs="Tahoma"/>
          <w:szCs w:val="18"/>
        </w:rPr>
        <w:t xml:space="preserve">Incidentes podem ser enviados por meio do site de suporte online assistido em </w:t>
      </w:r>
      <w:r w:rsidR="00F3685F" w:rsidRPr="003D33A1">
        <w:t>https://portal.microsoftonline.com/</w:t>
      </w:r>
      <w:r w:rsidRPr="004B208C">
        <w:rPr>
          <w:rFonts w:cs="Tahoma"/>
          <w:szCs w:val="18"/>
        </w:rPr>
        <w:t xml:space="preserve"> </w:t>
      </w:r>
    </w:p>
    <w:p w:rsidR="000F4095" w:rsidRPr="004B208C" w:rsidRDefault="000F4095" w:rsidP="000F4095">
      <w:pPr>
        <w:tabs>
          <w:tab w:val="left" w:pos="360"/>
        </w:tabs>
        <w:jc w:val="both"/>
        <w:rPr>
          <w:rFonts w:cs="Tahoma"/>
        </w:rPr>
      </w:pPr>
    </w:p>
    <w:p w:rsidR="000F4095" w:rsidRPr="004B208C" w:rsidRDefault="000F4095" w:rsidP="000F4095">
      <w:pPr>
        <w:tabs>
          <w:tab w:val="left" w:pos="360"/>
        </w:tabs>
        <w:jc w:val="both"/>
        <w:rPr>
          <w:rFonts w:cs="Tahoma"/>
        </w:rPr>
      </w:pPr>
      <w:r w:rsidRPr="004B208C">
        <w:rPr>
          <w:rFonts w:cs="Tahoma"/>
          <w:szCs w:val="18"/>
        </w:rPr>
        <w:t xml:space="preserve">Os Serviços serão fornecidos em inglês, salvo acordo contrário entre o cliente e a Microsoft por escrito. Serviços adicionais, inclusive serviços de suporte técnico, podem estar disponíveis para o Microsoft </w:t>
      </w:r>
      <w:r w:rsidRPr="004B208C">
        <w:rPr>
          <w:rFonts w:cs="Tahoma"/>
          <w:color w:val="000000"/>
          <w:szCs w:val="18"/>
        </w:rPr>
        <w:t>Dynamics CRM ONline</w:t>
      </w:r>
      <w:r w:rsidRPr="004B208C">
        <w:rPr>
          <w:rFonts w:cs="Tahoma"/>
          <w:szCs w:val="18"/>
        </w:rPr>
        <w:t xml:space="preserve"> mediante um contrato separado firmado entre as partes.</w:t>
      </w:r>
      <w:r w:rsidR="00172F11">
        <w:rPr>
          <w:rFonts w:cs="Tahoma"/>
          <w:szCs w:val="18"/>
        </w:rPr>
        <w:t xml:space="preserve"> </w:t>
      </w:r>
      <w:r w:rsidRPr="004B208C">
        <w:rPr>
          <w:rFonts w:cs="Tahoma"/>
          <w:szCs w:val="18"/>
        </w:rPr>
        <w:t>Esses serviços adicionais serão regidos pelos termos do</w:t>
      </w:r>
      <w:r w:rsidR="00F3685F">
        <w:rPr>
          <w:rFonts w:cs="Tahoma"/>
          <w:szCs w:val="18"/>
        </w:rPr>
        <w:t> </w:t>
      </w:r>
      <w:r w:rsidRPr="004B208C">
        <w:rPr>
          <w:rFonts w:cs="Tahoma"/>
          <w:szCs w:val="18"/>
        </w:rPr>
        <w:t>contrato separado.</w:t>
      </w:r>
    </w:p>
    <w:p w:rsidR="000F4095" w:rsidRPr="004B208C" w:rsidRDefault="000F4095" w:rsidP="000F4095">
      <w:pPr>
        <w:jc w:val="both"/>
        <w:rPr>
          <w:rFonts w:cs="Tahoma"/>
        </w:rPr>
      </w:pPr>
    </w:p>
    <w:p w:rsidR="000F4095" w:rsidRPr="004B208C" w:rsidRDefault="000F4095" w:rsidP="000F4095">
      <w:pPr>
        <w:widowControl w:val="0"/>
        <w:tabs>
          <w:tab w:val="left" w:pos="720"/>
          <w:tab w:val="left" w:pos="1170"/>
        </w:tabs>
        <w:rPr>
          <w:rFonts w:cs="Tahoma"/>
        </w:rPr>
      </w:pPr>
      <w:r w:rsidRPr="004B208C">
        <w:rPr>
          <w:rFonts w:cs="Tahoma"/>
          <w:b/>
          <w:bCs/>
          <w:sz w:val="24"/>
          <w:szCs w:val="18"/>
        </w:rPr>
        <w:t>Suporte Direto Profissional ao Microsoft Dynamics CRM Online</w:t>
      </w:r>
    </w:p>
    <w:p w:rsidR="000F4095" w:rsidRPr="004B208C" w:rsidRDefault="000F4095" w:rsidP="000F4095">
      <w:pPr>
        <w:tabs>
          <w:tab w:val="left" w:pos="360"/>
        </w:tabs>
        <w:jc w:val="both"/>
        <w:rPr>
          <w:rFonts w:cs="Tahoma"/>
        </w:rPr>
      </w:pPr>
    </w:p>
    <w:p w:rsidR="000F4095" w:rsidRPr="004B208C" w:rsidRDefault="000F4095" w:rsidP="00E76AEF">
      <w:pPr>
        <w:tabs>
          <w:tab w:val="left" w:pos="360"/>
        </w:tabs>
        <w:rPr>
          <w:rFonts w:cs="Tahoma"/>
        </w:rPr>
      </w:pPr>
      <w:r w:rsidRPr="004B208C">
        <w:rPr>
          <w:rFonts w:cs="Tahoma"/>
          <w:i/>
          <w:color w:val="000000"/>
          <w:szCs w:val="18"/>
        </w:rPr>
        <w:t>Disponibilidade de mercado limitada</w:t>
      </w:r>
      <w:r w:rsidRPr="004B208C">
        <w:rPr>
          <w:rFonts w:cs="Tahoma"/>
          <w:color w:val="000000"/>
          <w:szCs w:val="18"/>
        </w:rPr>
        <w:t xml:space="preserve"> - O Suporte Direto Profissional para serviços do Microsoft Dynamics CRM Online realçados a seguir são fornecidos apenas em inglês em um número limitado de países </w:t>
      </w:r>
      <w:r w:rsidR="00F3685F" w:rsidRPr="003D33A1">
        <w:rPr>
          <w:rFonts w:cs="Arial"/>
          <w:color w:val="000000"/>
          <w:szCs w:val="18"/>
        </w:rPr>
        <w:t>http://www.microsoft.com/dynamics/customer/en-us/service-plans.aspx</w:t>
      </w:r>
      <w:r w:rsidRPr="004B208C">
        <w:rPr>
          <w:rFonts w:cs="Tahoma"/>
          <w:szCs w:val="18"/>
        </w:rPr>
        <w:t>.</w:t>
      </w:r>
    </w:p>
    <w:p w:rsidR="000F4095" w:rsidRPr="004B208C" w:rsidRDefault="000F4095" w:rsidP="000F4095">
      <w:pPr>
        <w:tabs>
          <w:tab w:val="left" w:pos="360"/>
        </w:tabs>
        <w:jc w:val="both"/>
        <w:rPr>
          <w:rFonts w:cs="Tahoma"/>
        </w:rPr>
      </w:pPr>
    </w:p>
    <w:p w:rsidR="000F4095" w:rsidRPr="004B208C" w:rsidRDefault="000F4095" w:rsidP="000F4095">
      <w:pPr>
        <w:tabs>
          <w:tab w:val="left" w:pos="360"/>
        </w:tabs>
        <w:jc w:val="both"/>
        <w:rPr>
          <w:rFonts w:cs="Tahoma"/>
        </w:rPr>
      </w:pPr>
      <w:r w:rsidRPr="004B208C">
        <w:rPr>
          <w:rFonts w:cs="Tahoma"/>
          <w:color w:val="000000"/>
          <w:szCs w:val="18"/>
        </w:rPr>
        <w:t>Os clientes são responsáveis pela definição do nível inicial de gravidade usando o processo de envio pela Web em alinhamento com o guia de gravidade fornecido a seguir. A Microsoft pode reduzir o nível de gravidade, inclusive quando o cliente não fornece os recursos ou as respostas adequadas para darmos continuidade aos esforços de resolução do problema.</w:t>
      </w:r>
      <w:r w:rsidR="00172F11">
        <w:rPr>
          <w:rFonts w:cs="Tahoma"/>
          <w:color w:val="000000"/>
          <w:szCs w:val="18"/>
        </w:rPr>
        <w:t xml:space="preserve"> </w:t>
      </w:r>
      <w:r w:rsidRPr="004B208C">
        <w:rPr>
          <w:rFonts w:cs="Tahoma"/>
          <w:color w:val="000000"/>
          <w:szCs w:val="18"/>
        </w:rPr>
        <w:t>A gravidade do incidente determinará os níveis de resposta na Microsoft, e o tempo estimado de resposta é definido na tabela a seguir.</w:t>
      </w:r>
      <w:r w:rsidR="00172F11">
        <w:rPr>
          <w:rFonts w:cs="Tahoma"/>
          <w:color w:val="000000"/>
          <w:szCs w:val="18"/>
        </w:rPr>
        <w:t xml:space="preserve"> </w:t>
      </w:r>
      <w:r w:rsidRPr="004B208C">
        <w:rPr>
          <w:rFonts w:cs="Tahoma"/>
          <w:color w:val="000000"/>
          <w:szCs w:val="18"/>
        </w:rPr>
        <w:t>A capacidade de a Microsoft prestar os serviços ao cliente depende da inteira e pontual cooperação desta, bem como da precisão e da integridade das informações fornecidas ao cliente.</w:t>
      </w:r>
    </w:p>
    <w:p w:rsidR="000F4095" w:rsidRPr="003D7C23" w:rsidRDefault="000F4095" w:rsidP="000F4095">
      <w:pPr>
        <w:tabs>
          <w:tab w:val="left" w:pos="360"/>
        </w:tabs>
        <w:jc w:val="both"/>
        <w:rPr>
          <w:rFonts w:cs="Tahoma"/>
          <w:szCs w:val="18"/>
        </w:rPr>
      </w:pPr>
    </w:p>
    <w:p w:rsidR="000F4095" w:rsidRDefault="000F4095" w:rsidP="000F4095">
      <w:pPr>
        <w:rPr>
          <w:rFonts w:cs="Tahoma"/>
          <w:szCs w:val="18"/>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983"/>
        <w:gridCol w:w="2896"/>
        <w:gridCol w:w="3314"/>
      </w:tblGrid>
      <w:tr w:rsidR="000F4095" w:rsidRPr="004B208C" w:rsidTr="003D7C23">
        <w:trPr>
          <w:tblHeader/>
        </w:trPr>
        <w:tc>
          <w:tcPr>
            <w:tcW w:w="1347" w:type="dxa"/>
            <w:shd w:val="clear" w:color="auto" w:fill="FABF8F"/>
          </w:tcPr>
          <w:p w:rsidR="000F4095" w:rsidRPr="004B208C" w:rsidRDefault="000F4095" w:rsidP="00343766">
            <w:pPr>
              <w:jc w:val="center"/>
              <w:rPr>
                <w:rFonts w:cs="Tahoma"/>
                <w:b/>
                <w:bCs/>
                <w:color w:val="000000"/>
                <w:sz w:val="20"/>
                <w:szCs w:val="18"/>
              </w:rPr>
            </w:pPr>
            <w:r w:rsidRPr="004B208C">
              <w:rPr>
                <w:rFonts w:cs="Tahoma"/>
                <w:b/>
                <w:bCs/>
                <w:color w:val="000000"/>
                <w:sz w:val="20"/>
                <w:szCs w:val="18"/>
              </w:rPr>
              <w:t>Severidade</w:t>
            </w:r>
          </w:p>
        </w:tc>
        <w:tc>
          <w:tcPr>
            <w:tcW w:w="1983" w:type="dxa"/>
            <w:shd w:val="clear" w:color="auto" w:fill="FABF8F"/>
          </w:tcPr>
          <w:p w:rsidR="000F4095" w:rsidRPr="004B208C" w:rsidRDefault="000F4095" w:rsidP="00343766">
            <w:pPr>
              <w:jc w:val="center"/>
              <w:rPr>
                <w:rFonts w:cs="Tahoma"/>
                <w:b/>
                <w:bCs/>
                <w:color w:val="000000"/>
                <w:sz w:val="20"/>
                <w:szCs w:val="18"/>
              </w:rPr>
            </w:pPr>
            <w:r w:rsidRPr="004B208C">
              <w:rPr>
                <w:rFonts w:cs="Tahoma"/>
                <w:b/>
                <w:bCs/>
                <w:color w:val="000000"/>
                <w:sz w:val="20"/>
                <w:szCs w:val="18"/>
              </w:rPr>
              <w:t>Contato</w:t>
            </w:r>
          </w:p>
        </w:tc>
        <w:tc>
          <w:tcPr>
            <w:tcW w:w="2896" w:type="dxa"/>
            <w:shd w:val="clear" w:color="auto" w:fill="FABF8F"/>
          </w:tcPr>
          <w:p w:rsidR="000F4095" w:rsidRPr="004B208C" w:rsidRDefault="000F4095" w:rsidP="00343766">
            <w:pPr>
              <w:jc w:val="center"/>
              <w:rPr>
                <w:rFonts w:cs="Tahoma"/>
                <w:b/>
                <w:bCs/>
                <w:color w:val="000000"/>
                <w:sz w:val="20"/>
                <w:szCs w:val="18"/>
              </w:rPr>
            </w:pPr>
            <w:r w:rsidRPr="004B208C">
              <w:rPr>
                <w:rFonts w:cs="Tahoma"/>
                <w:b/>
                <w:bCs/>
                <w:color w:val="000000"/>
                <w:sz w:val="20"/>
                <w:szCs w:val="18"/>
              </w:rPr>
              <w:t>Situação do Cliente</w:t>
            </w:r>
          </w:p>
        </w:tc>
        <w:tc>
          <w:tcPr>
            <w:tcW w:w="3314" w:type="dxa"/>
            <w:shd w:val="clear" w:color="auto" w:fill="FABF8F"/>
          </w:tcPr>
          <w:p w:rsidR="000F4095" w:rsidRPr="004B208C" w:rsidRDefault="000F4095" w:rsidP="00343766">
            <w:pPr>
              <w:jc w:val="center"/>
              <w:rPr>
                <w:rFonts w:cs="Tahoma"/>
                <w:b/>
                <w:bCs/>
                <w:color w:val="000000"/>
                <w:sz w:val="20"/>
                <w:szCs w:val="18"/>
              </w:rPr>
            </w:pPr>
            <w:r w:rsidRPr="004B208C">
              <w:rPr>
                <w:rFonts w:cs="Tahoma"/>
                <w:b/>
                <w:bCs/>
                <w:color w:val="000000"/>
                <w:sz w:val="20"/>
                <w:szCs w:val="18"/>
              </w:rPr>
              <w:t>Resposta Esperada da Microsoft</w:t>
            </w:r>
          </w:p>
        </w:tc>
      </w:tr>
      <w:tr w:rsidR="000F4095" w:rsidRPr="004B208C" w:rsidTr="003D7C23">
        <w:tc>
          <w:tcPr>
            <w:tcW w:w="1347" w:type="dxa"/>
          </w:tcPr>
          <w:p w:rsidR="000F4095" w:rsidRPr="004B208C" w:rsidRDefault="000F4095" w:rsidP="00343766">
            <w:pPr>
              <w:spacing w:after="60" w:line="240" w:lineRule="atLeast"/>
              <w:jc w:val="center"/>
              <w:rPr>
                <w:rFonts w:cs="Tahoma"/>
                <w:szCs w:val="18"/>
              </w:rPr>
            </w:pPr>
            <w:r w:rsidRPr="004B208C">
              <w:rPr>
                <w:rFonts w:cs="Tahoma"/>
                <w:szCs w:val="18"/>
              </w:rPr>
              <w:t>A</w:t>
            </w:r>
          </w:p>
        </w:tc>
        <w:tc>
          <w:tcPr>
            <w:tcW w:w="1983" w:type="dxa"/>
          </w:tcPr>
          <w:p w:rsidR="000F4095" w:rsidRPr="004B208C" w:rsidRDefault="000F4095" w:rsidP="00343766">
            <w:pPr>
              <w:spacing w:after="60" w:line="240" w:lineRule="atLeast"/>
              <w:jc w:val="center"/>
              <w:rPr>
                <w:rFonts w:cs="Tahoma"/>
                <w:szCs w:val="18"/>
              </w:rPr>
            </w:pPr>
            <w:r w:rsidRPr="004B208C">
              <w:rPr>
                <w:rFonts w:cs="Tahoma"/>
                <w:szCs w:val="18"/>
              </w:rPr>
              <w:t>Solicitação pela Web</w:t>
            </w:r>
          </w:p>
        </w:tc>
        <w:tc>
          <w:tcPr>
            <w:tcW w:w="2896" w:type="dxa"/>
          </w:tcPr>
          <w:p w:rsidR="000F4095" w:rsidRPr="003D7C23" w:rsidRDefault="000F4095" w:rsidP="00343766">
            <w:pPr>
              <w:spacing w:after="60" w:line="240" w:lineRule="atLeast"/>
              <w:rPr>
                <w:rFonts w:cs="Tahoma"/>
                <w:szCs w:val="18"/>
              </w:rPr>
            </w:pPr>
            <w:r w:rsidRPr="003D7C23">
              <w:rPr>
                <w:rFonts w:cs="Tahoma"/>
                <w:szCs w:val="18"/>
              </w:rPr>
              <w:t>Impacto crítico nos negócios:</w:t>
            </w:r>
          </w:p>
          <w:p w:rsidR="000F4095" w:rsidRPr="003D7C23" w:rsidRDefault="000F4095" w:rsidP="00343766">
            <w:pPr>
              <w:spacing w:after="60" w:line="240" w:lineRule="atLeast"/>
              <w:rPr>
                <w:rFonts w:cs="Tahoma"/>
                <w:szCs w:val="18"/>
              </w:rPr>
            </w:pPr>
            <w:r w:rsidRPr="003D7C23">
              <w:rPr>
                <w:rFonts w:cs="Tahoma"/>
                <w:szCs w:val="18"/>
              </w:rPr>
              <w:t>Perda ou degradação significativa de serviços (aplicativo inativo)</w:t>
            </w:r>
          </w:p>
          <w:p w:rsidR="000F4095" w:rsidRPr="003D7C23" w:rsidRDefault="000F4095" w:rsidP="00343766">
            <w:pPr>
              <w:spacing w:after="60" w:line="240" w:lineRule="atLeast"/>
              <w:rPr>
                <w:rFonts w:cs="Tahoma"/>
                <w:szCs w:val="18"/>
              </w:rPr>
            </w:pPr>
            <w:r w:rsidRPr="003D7C23">
              <w:rPr>
                <w:rFonts w:cs="Tahoma"/>
                <w:szCs w:val="18"/>
              </w:rPr>
              <w:t>Necessita de atenção em 1 hora</w:t>
            </w:r>
          </w:p>
        </w:tc>
        <w:tc>
          <w:tcPr>
            <w:tcW w:w="3314" w:type="dxa"/>
          </w:tcPr>
          <w:p w:rsidR="000F4095" w:rsidRPr="003D7C23" w:rsidRDefault="000F4095" w:rsidP="00343766">
            <w:pPr>
              <w:spacing w:after="60" w:line="240" w:lineRule="atLeast"/>
              <w:rPr>
                <w:rFonts w:cs="Tahoma"/>
                <w:szCs w:val="18"/>
              </w:rPr>
            </w:pPr>
            <w:r w:rsidRPr="003D7C23">
              <w:rPr>
                <w:rFonts w:cs="Tahoma"/>
                <w:szCs w:val="18"/>
              </w:rPr>
              <w:t>1</w:t>
            </w:r>
            <w:r w:rsidRPr="003D7C23">
              <w:rPr>
                <w:rFonts w:cs="Tahoma"/>
                <w:szCs w:val="18"/>
                <w:vertAlign w:val="superscript"/>
              </w:rPr>
              <w:t>ª</w:t>
            </w:r>
            <w:r w:rsidRPr="003D7C23">
              <w:rPr>
                <w:rFonts w:cs="Tahoma"/>
                <w:szCs w:val="18"/>
              </w:rPr>
              <w:t xml:space="preserve"> resposta em 1 hora ou menos, disponível 24 horas por dia, 7 dias por semana</w:t>
            </w:r>
          </w:p>
          <w:p w:rsidR="000F4095" w:rsidRPr="003D7C23" w:rsidRDefault="000F4095" w:rsidP="00343766">
            <w:pPr>
              <w:spacing w:after="60" w:line="240" w:lineRule="atLeast"/>
              <w:rPr>
                <w:rFonts w:cs="Tahoma"/>
                <w:szCs w:val="18"/>
              </w:rPr>
            </w:pPr>
          </w:p>
        </w:tc>
      </w:tr>
      <w:tr w:rsidR="000F4095" w:rsidRPr="004B208C" w:rsidTr="003D7C23">
        <w:tc>
          <w:tcPr>
            <w:tcW w:w="1347" w:type="dxa"/>
          </w:tcPr>
          <w:p w:rsidR="000F4095" w:rsidRPr="004B208C" w:rsidRDefault="000F4095" w:rsidP="00343766">
            <w:pPr>
              <w:spacing w:after="60" w:line="240" w:lineRule="atLeast"/>
              <w:jc w:val="center"/>
              <w:rPr>
                <w:rFonts w:cs="Tahoma"/>
                <w:szCs w:val="18"/>
              </w:rPr>
            </w:pPr>
            <w:r w:rsidRPr="004B208C">
              <w:rPr>
                <w:rFonts w:cs="Tahoma"/>
                <w:szCs w:val="18"/>
              </w:rPr>
              <w:t>B</w:t>
            </w:r>
          </w:p>
        </w:tc>
        <w:tc>
          <w:tcPr>
            <w:tcW w:w="1983" w:type="dxa"/>
          </w:tcPr>
          <w:p w:rsidR="000F4095" w:rsidRPr="004B208C" w:rsidRDefault="000F4095" w:rsidP="00343766">
            <w:pPr>
              <w:spacing w:after="60" w:line="240" w:lineRule="atLeast"/>
              <w:jc w:val="center"/>
              <w:rPr>
                <w:rFonts w:cs="Tahoma"/>
                <w:szCs w:val="18"/>
              </w:rPr>
            </w:pPr>
            <w:r w:rsidRPr="004B208C">
              <w:rPr>
                <w:rFonts w:cs="Tahoma"/>
                <w:szCs w:val="18"/>
              </w:rPr>
              <w:t>Solicitação pela Web</w:t>
            </w:r>
          </w:p>
        </w:tc>
        <w:tc>
          <w:tcPr>
            <w:tcW w:w="2896" w:type="dxa"/>
          </w:tcPr>
          <w:p w:rsidR="000F4095" w:rsidRPr="003D7C23" w:rsidRDefault="000F4095" w:rsidP="00343766">
            <w:pPr>
              <w:spacing w:after="60" w:line="240" w:lineRule="atLeast"/>
              <w:rPr>
                <w:rFonts w:cs="Tahoma"/>
                <w:szCs w:val="18"/>
              </w:rPr>
            </w:pPr>
            <w:r w:rsidRPr="003D7C23">
              <w:rPr>
                <w:rFonts w:cs="Tahoma"/>
                <w:szCs w:val="18"/>
              </w:rPr>
              <w:t xml:space="preserve">Impacto moderado nos negócios: </w:t>
            </w:r>
          </w:p>
          <w:p w:rsidR="000F4095" w:rsidRPr="003D7C23" w:rsidRDefault="000F4095" w:rsidP="00343766">
            <w:pPr>
              <w:spacing w:line="240" w:lineRule="atLeast"/>
              <w:rPr>
                <w:rFonts w:cs="Tahoma"/>
                <w:szCs w:val="18"/>
              </w:rPr>
            </w:pPr>
            <w:r w:rsidRPr="003D7C23">
              <w:rPr>
                <w:rFonts w:cs="Tahoma"/>
                <w:szCs w:val="18"/>
              </w:rPr>
              <w:t>Perda ou degradação moderada dos serviços, mas o trabalho pode razoavelmente continuar de maneira prejudicada</w:t>
            </w:r>
          </w:p>
          <w:p w:rsidR="000F4095" w:rsidRPr="003D7C23" w:rsidRDefault="000F4095" w:rsidP="00343766">
            <w:pPr>
              <w:spacing w:after="60" w:line="240" w:lineRule="atLeast"/>
              <w:rPr>
                <w:rFonts w:cs="Tahoma"/>
                <w:szCs w:val="18"/>
              </w:rPr>
            </w:pPr>
            <w:r w:rsidRPr="003D7C23">
              <w:rPr>
                <w:rFonts w:cs="Tahoma"/>
                <w:szCs w:val="18"/>
              </w:rPr>
              <w:t>Necessita de atenção em 2 horas</w:t>
            </w:r>
          </w:p>
        </w:tc>
        <w:tc>
          <w:tcPr>
            <w:tcW w:w="3314" w:type="dxa"/>
          </w:tcPr>
          <w:p w:rsidR="000F4095" w:rsidRPr="003D7C23" w:rsidRDefault="000F4095" w:rsidP="00343766">
            <w:pPr>
              <w:spacing w:line="240" w:lineRule="atLeast"/>
              <w:rPr>
                <w:rFonts w:cs="Tahoma"/>
                <w:szCs w:val="18"/>
              </w:rPr>
            </w:pPr>
            <w:r w:rsidRPr="003D7C23">
              <w:rPr>
                <w:rFonts w:cs="Tahoma"/>
                <w:szCs w:val="18"/>
              </w:rPr>
              <w:t>1</w:t>
            </w:r>
            <w:r w:rsidRPr="003D7C23">
              <w:rPr>
                <w:rFonts w:cs="Tahoma"/>
                <w:szCs w:val="18"/>
                <w:vertAlign w:val="superscript"/>
              </w:rPr>
              <w:t>ª</w:t>
            </w:r>
            <w:r w:rsidRPr="003D7C23">
              <w:rPr>
                <w:rFonts w:cs="Tahoma"/>
                <w:szCs w:val="18"/>
              </w:rPr>
              <w:t xml:space="preserve"> resposta em 2 horas ou menos, disponível 24 horas por dia, 7 dias por semana</w:t>
            </w:r>
          </w:p>
          <w:p w:rsidR="000F4095" w:rsidRPr="003D7C23" w:rsidRDefault="000F4095" w:rsidP="00343766">
            <w:pPr>
              <w:spacing w:after="60" w:line="240" w:lineRule="atLeast"/>
              <w:rPr>
                <w:rFonts w:cs="Tahoma"/>
                <w:szCs w:val="18"/>
              </w:rPr>
            </w:pPr>
          </w:p>
        </w:tc>
      </w:tr>
      <w:tr w:rsidR="000F4095" w:rsidRPr="004B208C" w:rsidTr="003D7C23">
        <w:tc>
          <w:tcPr>
            <w:tcW w:w="1347" w:type="dxa"/>
          </w:tcPr>
          <w:p w:rsidR="000F4095" w:rsidRPr="004B208C" w:rsidRDefault="000F4095" w:rsidP="00343766">
            <w:pPr>
              <w:spacing w:after="60" w:line="240" w:lineRule="atLeast"/>
              <w:jc w:val="center"/>
              <w:rPr>
                <w:rFonts w:cs="Tahoma"/>
                <w:szCs w:val="18"/>
              </w:rPr>
            </w:pPr>
            <w:r w:rsidRPr="004B208C">
              <w:rPr>
                <w:rFonts w:cs="Tahoma"/>
                <w:szCs w:val="18"/>
              </w:rPr>
              <w:t>C</w:t>
            </w:r>
          </w:p>
        </w:tc>
        <w:tc>
          <w:tcPr>
            <w:tcW w:w="1983" w:type="dxa"/>
          </w:tcPr>
          <w:p w:rsidR="000F4095" w:rsidRPr="004B208C" w:rsidRDefault="000F4095" w:rsidP="00343766">
            <w:pPr>
              <w:spacing w:after="60" w:line="240" w:lineRule="atLeast"/>
              <w:jc w:val="center"/>
              <w:rPr>
                <w:rFonts w:cs="Tahoma"/>
                <w:szCs w:val="18"/>
              </w:rPr>
            </w:pPr>
            <w:r w:rsidRPr="004B208C">
              <w:rPr>
                <w:rFonts w:cs="Tahoma"/>
                <w:szCs w:val="18"/>
              </w:rPr>
              <w:t>Solicitação pela Web</w:t>
            </w:r>
          </w:p>
        </w:tc>
        <w:tc>
          <w:tcPr>
            <w:tcW w:w="2896" w:type="dxa"/>
          </w:tcPr>
          <w:p w:rsidR="000F4095" w:rsidRPr="003D7C23" w:rsidRDefault="000F4095" w:rsidP="00343766">
            <w:pPr>
              <w:rPr>
                <w:rFonts w:cs="Tahoma"/>
                <w:szCs w:val="18"/>
              </w:rPr>
            </w:pPr>
            <w:r w:rsidRPr="003D7C23">
              <w:rPr>
                <w:rFonts w:cs="Tahoma"/>
                <w:szCs w:val="18"/>
              </w:rPr>
              <w:t>Impacto mínimo nos negócios:</w:t>
            </w:r>
          </w:p>
          <w:p w:rsidR="000F4095" w:rsidRPr="003D7C23" w:rsidRDefault="000F4095" w:rsidP="00343766">
            <w:pPr>
              <w:rPr>
                <w:rFonts w:cs="Tahoma"/>
                <w:szCs w:val="18"/>
              </w:rPr>
            </w:pPr>
            <w:r w:rsidRPr="003D7C23">
              <w:rPr>
                <w:rFonts w:cs="Tahoma"/>
                <w:szCs w:val="18"/>
              </w:rPr>
              <w:t>Funcionamento de forma substancial, com poucos ou nenhum impedimento dos serviços</w:t>
            </w:r>
          </w:p>
          <w:p w:rsidR="000F4095" w:rsidRPr="003D7C23" w:rsidRDefault="000F4095" w:rsidP="00343766">
            <w:pPr>
              <w:spacing w:after="60" w:line="240" w:lineRule="atLeast"/>
              <w:rPr>
                <w:rFonts w:cs="Tahoma"/>
                <w:szCs w:val="18"/>
              </w:rPr>
            </w:pPr>
            <w:r w:rsidRPr="003D7C23">
              <w:rPr>
                <w:rFonts w:cs="Tahoma"/>
                <w:szCs w:val="18"/>
              </w:rPr>
              <w:t>Necessita de atenção em 4 horas</w:t>
            </w:r>
          </w:p>
        </w:tc>
        <w:tc>
          <w:tcPr>
            <w:tcW w:w="3314" w:type="dxa"/>
          </w:tcPr>
          <w:p w:rsidR="000F4095" w:rsidRPr="003D7C23" w:rsidRDefault="000F4095" w:rsidP="00343766">
            <w:pPr>
              <w:rPr>
                <w:rFonts w:cs="Tahoma"/>
                <w:szCs w:val="18"/>
              </w:rPr>
            </w:pPr>
            <w:r w:rsidRPr="003D7C23">
              <w:rPr>
                <w:rFonts w:cs="Tahoma"/>
                <w:szCs w:val="18"/>
              </w:rPr>
              <w:t>1</w:t>
            </w:r>
            <w:r w:rsidRPr="003D7C23">
              <w:rPr>
                <w:rFonts w:cs="Tahoma"/>
                <w:szCs w:val="18"/>
                <w:vertAlign w:val="superscript"/>
              </w:rPr>
              <w:t>ª</w:t>
            </w:r>
            <w:r w:rsidRPr="003D7C23">
              <w:rPr>
                <w:rFonts w:cs="Tahoma"/>
                <w:szCs w:val="18"/>
              </w:rPr>
              <w:t xml:space="preserve"> resposta em 4 horas ou menos</w:t>
            </w:r>
          </w:p>
          <w:p w:rsidR="000F4095" w:rsidRPr="003D7C23" w:rsidRDefault="000F4095" w:rsidP="00343766">
            <w:pPr>
              <w:spacing w:line="240" w:lineRule="atLeast"/>
              <w:rPr>
                <w:rFonts w:cs="Tahoma"/>
                <w:szCs w:val="18"/>
              </w:rPr>
            </w:pPr>
          </w:p>
        </w:tc>
      </w:tr>
    </w:tbl>
    <w:p w:rsidR="000F4095" w:rsidRPr="003D7C23" w:rsidRDefault="000F4095" w:rsidP="000F4095">
      <w:pPr>
        <w:rPr>
          <w:rFonts w:cs="Tahoma"/>
          <w:szCs w:val="18"/>
        </w:rPr>
      </w:pPr>
    </w:p>
    <w:p w:rsidR="000F4095" w:rsidRDefault="000F4095" w:rsidP="000F4095">
      <w:pPr>
        <w:rPr>
          <w:rFonts w:cs="Tahoma"/>
          <w:szCs w:val="18"/>
        </w:rPr>
      </w:pPr>
    </w:p>
    <w:p w:rsidR="009539FE" w:rsidRDefault="009539FE" w:rsidP="000F4095">
      <w:pPr>
        <w:rPr>
          <w:rFonts w:cs="Tahoma"/>
          <w:szCs w:val="18"/>
        </w:rPr>
      </w:pPr>
    </w:p>
    <w:p w:rsidR="009539FE" w:rsidRDefault="009539FE" w:rsidP="000F4095">
      <w:pPr>
        <w:rPr>
          <w:rFonts w:cs="Tahoma"/>
          <w:szCs w:val="18"/>
        </w:rPr>
      </w:pPr>
    </w:p>
    <w:p w:rsidR="009539FE" w:rsidRDefault="009539FE" w:rsidP="000F4095">
      <w:pPr>
        <w:rPr>
          <w:rFonts w:cs="Tahoma"/>
          <w:szCs w:val="18"/>
        </w:rPr>
      </w:pPr>
    </w:p>
    <w:p w:rsidR="009539FE" w:rsidRDefault="009539FE" w:rsidP="000F4095">
      <w:pPr>
        <w:rPr>
          <w:rFonts w:cs="Tahoma"/>
          <w:szCs w:val="18"/>
        </w:rPr>
      </w:pPr>
    </w:p>
    <w:p w:rsidR="009539FE" w:rsidRDefault="009539FE" w:rsidP="000F4095">
      <w:pPr>
        <w:rPr>
          <w:rFonts w:cs="Tahoma"/>
          <w:szCs w:val="18"/>
        </w:rPr>
      </w:pPr>
    </w:p>
    <w:p w:rsidR="009539FE" w:rsidRPr="003D7C23" w:rsidRDefault="009539FE" w:rsidP="000F4095">
      <w:pPr>
        <w:rPr>
          <w:rFonts w:cs="Tahoma"/>
          <w:szCs w:val="18"/>
        </w:rPr>
      </w:pPr>
    </w:p>
    <w:p w:rsidR="000F4095" w:rsidRPr="004B208C" w:rsidRDefault="000F4095" w:rsidP="000F4095">
      <w:pPr>
        <w:rPr>
          <w:rFonts w:cs="Tahoma"/>
        </w:rPr>
      </w:pPr>
      <w:r w:rsidRPr="004B208C">
        <w:rPr>
          <w:rFonts w:cs="Tahoma"/>
          <w:b/>
          <w:szCs w:val="24"/>
        </w:rPr>
        <w:lastRenderedPageBreak/>
        <w:t>Os serviços são apenas para incidentes de suporte técnico.</w:t>
      </w:r>
    </w:p>
    <w:p w:rsidR="000F4095" w:rsidRPr="003D7C23" w:rsidRDefault="000F4095">
      <w:pPr>
        <w:rPr>
          <w:rFonts w:cs="Tahoma"/>
          <w:szCs w:val="18"/>
        </w:rPr>
      </w:pPr>
    </w:p>
    <w:p w:rsidR="000F4095" w:rsidRPr="003D7C23" w:rsidRDefault="000F4095" w:rsidP="000F4095">
      <w:pPr>
        <w:rPr>
          <w:rFonts w:cs="Tahoma"/>
          <w:sz w:val="24"/>
          <w:szCs w:val="24"/>
        </w:rPr>
      </w:pPr>
      <w:r w:rsidRPr="003D7C23">
        <w:rPr>
          <w:rFonts w:cs="Tahoma"/>
          <w:b/>
          <w:sz w:val="24"/>
          <w:szCs w:val="24"/>
        </w:rPr>
        <w:t>Termos e Condições Adicionais dos Serviços</w:t>
      </w:r>
    </w:p>
    <w:p w:rsidR="000F4095" w:rsidRPr="004B208C" w:rsidRDefault="000F4095" w:rsidP="000F4095">
      <w:pPr>
        <w:rPr>
          <w:rFonts w:cs="Tahoma"/>
        </w:rPr>
      </w:pPr>
    </w:p>
    <w:p w:rsidR="000F4095" w:rsidRPr="004B208C" w:rsidRDefault="000F4095" w:rsidP="000F4095">
      <w:pPr>
        <w:spacing w:after="60"/>
        <w:rPr>
          <w:rFonts w:cs="Tahoma"/>
        </w:rPr>
      </w:pPr>
      <w:bookmarkStart w:id="914" w:name="_Toc357763632"/>
      <w:r w:rsidRPr="004B208C">
        <w:rPr>
          <w:rFonts w:cs="Tahoma"/>
          <w:b/>
          <w:sz w:val="20"/>
          <w:szCs w:val="20"/>
        </w:rPr>
        <w:t>Direitos de uso, propriedade e licença</w:t>
      </w:r>
      <w:bookmarkEnd w:id="914"/>
    </w:p>
    <w:p w:rsidR="000F4095" w:rsidRPr="004B208C" w:rsidRDefault="000F4095" w:rsidP="000F4095">
      <w:pPr>
        <w:rPr>
          <w:rFonts w:cs="Tahoma"/>
        </w:rPr>
      </w:pPr>
      <w:r w:rsidRPr="004B208C">
        <w:rPr>
          <w:rFonts w:eastAsia="Calibri" w:cs="Tahoma"/>
          <w:b/>
          <w:bCs/>
          <w:color w:val="000000"/>
          <w:szCs w:val="18"/>
        </w:rPr>
        <w:t>Consertos.</w:t>
      </w:r>
      <w:r w:rsidR="00172F11">
        <w:rPr>
          <w:rFonts w:eastAsia="Calibri" w:cs="Tahoma"/>
          <w:b/>
          <w:bCs/>
          <w:color w:val="000000"/>
          <w:szCs w:val="18"/>
        </w:rPr>
        <w:t xml:space="preserve"> </w:t>
      </w:r>
      <w:r w:rsidRPr="004B208C">
        <w:rPr>
          <w:rFonts w:eastAsia="Calibri" w:cs="Tahoma"/>
          <w:bCs/>
          <w:color w:val="000000"/>
          <w:szCs w:val="18"/>
        </w:rPr>
        <w:t>Se a Microsoft fornecer Consertos ao Cliente no decorrer da execução dos Serviços, tais</w:t>
      </w:r>
      <w:r w:rsidRPr="004B208C">
        <w:rPr>
          <w:rFonts w:eastAsia="Calibri" w:cs="Tahoma"/>
          <w:b/>
          <w:bCs/>
          <w:color w:val="000000"/>
          <w:szCs w:val="18"/>
        </w:rPr>
        <w:t xml:space="preserve"> </w:t>
      </w:r>
      <w:r w:rsidRPr="004B208C">
        <w:rPr>
          <w:rFonts w:eastAsia="Calibri" w:cs="Tahoma"/>
          <w:color w:val="000000"/>
          <w:szCs w:val="18"/>
        </w:rPr>
        <w:t>Consertos serão licenciados de acordo com os termos da licença aplicáveis ao Produto ao qual os Consertos estão relacionados.</w:t>
      </w:r>
      <w:r w:rsidR="00172F11">
        <w:rPr>
          <w:rFonts w:eastAsia="Calibri" w:cs="Tahoma"/>
          <w:color w:val="000000"/>
          <w:szCs w:val="18"/>
        </w:rPr>
        <w:t xml:space="preserve"> </w:t>
      </w:r>
      <w:r w:rsidRPr="004B208C">
        <w:rPr>
          <w:rFonts w:eastAsia="Calibri" w:cs="Tahoma"/>
          <w:color w:val="000000"/>
          <w:szCs w:val="18"/>
        </w:rPr>
        <w:t>Se os</w:t>
      </w:r>
      <w:r w:rsidR="003D7C23">
        <w:rPr>
          <w:rFonts w:eastAsia="Calibri" w:cs="Tahoma"/>
          <w:color w:val="000000"/>
          <w:szCs w:val="18"/>
        </w:rPr>
        <w:t> </w:t>
      </w:r>
      <w:r w:rsidRPr="004B208C">
        <w:rPr>
          <w:rFonts w:eastAsia="Calibri" w:cs="Tahoma"/>
          <w:color w:val="000000"/>
          <w:szCs w:val="18"/>
        </w:rPr>
        <w:t>Consertos não forem fornecidos para um determinado Produto, qualquer outro termo de uso que a Microsoft fornecer com os Consertos deverá se aplicar, e se nenhum termo de uso for fornecido, o Cliente deverá ter uma licença não exclusiva, perpétua e paga integralmente para usar e reproduzir os Consertos exclusivamente para seu uso interno.</w:t>
      </w:r>
      <w:r w:rsidR="00172F11">
        <w:rPr>
          <w:rFonts w:eastAsia="Calibri" w:cs="Tahoma"/>
          <w:color w:val="000000"/>
          <w:szCs w:val="18"/>
        </w:rPr>
        <w:t xml:space="preserve"> </w:t>
      </w:r>
      <w:r w:rsidRPr="004B208C">
        <w:rPr>
          <w:rFonts w:eastAsia="Calibri" w:cs="Tahoma"/>
          <w:color w:val="000000"/>
          <w:szCs w:val="18"/>
        </w:rPr>
        <w:t>O Cliente não pode modificar, alterar o nome do arquivo dos Consertos ou combinar quaisquer Consertos com nenhum código de computador que não seja da Microsoft.</w:t>
      </w:r>
    </w:p>
    <w:p w:rsidR="000F4095" w:rsidRPr="004B208C" w:rsidRDefault="000F4095" w:rsidP="000F4095">
      <w:pPr>
        <w:rPr>
          <w:rFonts w:cs="Tahoma"/>
        </w:rPr>
      </w:pPr>
    </w:p>
    <w:p w:rsidR="000F4095" w:rsidRPr="004B208C" w:rsidRDefault="000F4095" w:rsidP="000F4095">
      <w:pPr>
        <w:rPr>
          <w:rFonts w:cs="Tahoma"/>
        </w:rPr>
      </w:pPr>
      <w:r w:rsidRPr="004B208C">
        <w:rPr>
          <w:rFonts w:eastAsia="Calibri" w:cs="Tahoma"/>
          <w:b/>
          <w:bCs/>
          <w:color w:val="000000"/>
          <w:szCs w:val="18"/>
        </w:rPr>
        <w:t>Trabalho Preexistente.</w:t>
      </w:r>
      <w:r w:rsidR="00172F11">
        <w:rPr>
          <w:rFonts w:eastAsia="Calibri" w:cs="Tahoma"/>
          <w:color w:val="000000"/>
          <w:szCs w:val="18"/>
        </w:rPr>
        <w:t xml:space="preserve"> </w:t>
      </w:r>
      <w:r w:rsidRPr="004B208C">
        <w:rPr>
          <w:rFonts w:eastAsia="Calibri" w:cs="Tahoma"/>
          <w:color w:val="000000"/>
          <w:szCs w:val="18"/>
        </w:rPr>
        <w:t>Todos os direitos em qualquer código de computador ou materiais escritos não baseados em código desenvolvidos ou de outra forma obtidos pelas ou para as partes ou suas Afiliadas, independentemente do</w:t>
      </w:r>
      <w:r w:rsidR="003D7C23">
        <w:rPr>
          <w:rFonts w:eastAsia="Calibri" w:cs="Tahoma"/>
          <w:color w:val="000000"/>
          <w:szCs w:val="18"/>
        </w:rPr>
        <w:t> </w:t>
      </w:r>
      <w:r w:rsidRPr="004B208C">
        <w:rPr>
          <w:rFonts w:eastAsia="Calibri" w:cs="Tahoma"/>
          <w:color w:val="000000"/>
          <w:szCs w:val="18"/>
        </w:rPr>
        <w:t>presente contrato (“Trabalho Preexistente”), devem permanecer como propriedade exclusiva da parte que fornece o Trabalho Preexistente.</w:t>
      </w:r>
      <w:r w:rsidR="00172F11">
        <w:rPr>
          <w:rFonts w:eastAsia="Calibri" w:cs="Tahoma"/>
          <w:color w:val="000000"/>
          <w:szCs w:val="18"/>
        </w:rPr>
        <w:t xml:space="preserve"> </w:t>
      </w:r>
      <w:r w:rsidRPr="004B208C">
        <w:rPr>
          <w:rFonts w:eastAsia="Calibri" w:cs="Tahoma"/>
          <w:color w:val="000000"/>
          <w:szCs w:val="18"/>
        </w:rPr>
        <w:t>Durante a realização dos Serviços, cada uma das partes concede à outra (bem como aos subcontratados da Microsoft, conforme necessário) uma licença temporária e não exclusiva para usar, reproduzir e</w:t>
      </w:r>
      <w:r w:rsidR="003D7C23">
        <w:rPr>
          <w:rFonts w:eastAsia="Calibri" w:cs="Tahoma"/>
          <w:color w:val="000000"/>
          <w:szCs w:val="18"/>
        </w:rPr>
        <w:t> </w:t>
      </w:r>
      <w:r w:rsidRPr="004B208C">
        <w:rPr>
          <w:rFonts w:eastAsia="Calibri" w:cs="Tahoma"/>
          <w:color w:val="000000"/>
          <w:szCs w:val="18"/>
        </w:rPr>
        <w:t>modificar seu Trabalho pré-existente fornecido à outra parte, unicamente conforme a necessidade para cumprir suas obrigações relacionadas aos Serviços.</w:t>
      </w:r>
    </w:p>
    <w:p w:rsidR="000F4095" w:rsidRPr="004B208C" w:rsidRDefault="000F4095" w:rsidP="000F4095">
      <w:pPr>
        <w:rPr>
          <w:rFonts w:cs="Tahoma"/>
        </w:rPr>
      </w:pPr>
      <w:r w:rsidRPr="004B208C">
        <w:rPr>
          <w:rFonts w:eastAsia="Calibri" w:cs="Tahoma"/>
          <w:color w:val="000000"/>
          <w:szCs w:val="18"/>
        </w:rP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w:t>
      </w:r>
      <w:r w:rsidR="003D7C23">
        <w:rPr>
          <w:rFonts w:eastAsia="Calibri" w:cs="Tahoma"/>
          <w:color w:val="000000"/>
          <w:szCs w:val="18"/>
        </w:rPr>
        <w:t> </w:t>
      </w:r>
      <w:r w:rsidRPr="004B208C">
        <w:rPr>
          <w:rFonts w:eastAsia="Calibri" w:cs="Tahoma"/>
          <w:color w:val="000000"/>
          <w:szCs w:val="18"/>
        </w:rPr>
        <w:t>Trabalho Preexistente da Microsoft está sujeita ao cumprimento dos termos do presente contrato por parte do Cliente.</w:t>
      </w:r>
    </w:p>
    <w:p w:rsidR="000F4095" w:rsidRPr="004B208C" w:rsidRDefault="000F4095" w:rsidP="000F4095">
      <w:pPr>
        <w:rPr>
          <w:rFonts w:cs="Tahoma"/>
        </w:rPr>
      </w:pPr>
    </w:p>
    <w:p w:rsidR="000F4095" w:rsidRPr="004B208C" w:rsidRDefault="000F4095" w:rsidP="000F4095">
      <w:pPr>
        <w:rPr>
          <w:rFonts w:cs="Tahoma"/>
        </w:rPr>
      </w:pPr>
      <w:r w:rsidRPr="004B208C">
        <w:rPr>
          <w:rFonts w:eastAsia="Calibri" w:cs="Tahoma"/>
          <w:b/>
          <w:bCs/>
          <w:color w:val="000000"/>
          <w:szCs w:val="18"/>
        </w:rPr>
        <w:t>Desenvolvimentos</w:t>
      </w:r>
      <w:r w:rsidRPr="004B208C">
        <w:rPr>
          <w:rFonts w:eastAsia="Calibri" w:cs="Tahoma"/>
          <w:color w:val="000000"/>
          <w:szCs w:val="18"/>
        </w:rPr>
        <w:t>.</w:t>
      </w:r>
      <w:r w:rsidR="00172F11">
        <w:rPr>
          <w:rFonts w:eastAsia="Calibri" w:cs="Tahoma"/>
          <w:color w:val="000000"/>
          <w:szCs w:val="18"/>
        </w:rPr>
        <w:t xml:space="preserve"> </w:t>
      </w:r>
      <w:r w:rsidRPr="004B208C">
        <w:rPr>
          <w:rFonts w:eastAsia="Calibri" w:cs="Tahoma"/>
          <w:color w:val="000000"/>
          <w:szCs w:val="18"/>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w:t>
      </w:r>
      <w:r w:rsidR="003D7C23">
        <w:rPr>
          <w:rFonts w:eastAsia="Calibri" w:cs="Tahoma"/>
          <w:color w:val="000000"/>
          <w:szCs w:val="18"/>
        </w:rPr>
        <w:t> </w:t>
      </w:r>
      <w:r w:rsidRPr="004B208C">
        <w:rPr>
          <w:rFonts w:eastAsia="Calibri" w:cs="Tahoma"/>
          <w:color w:val="000000"/>
          <w:szCs w:val="18"/>
        </w:rPr>
        <w:t>conclusão de uma contratação de Serviços (“Desenvolvimentos”).</w:t>
      </w:r>
      <w:r w:rsidR="00172F11">
        <w:rPr>
          <w:rFonts w:eastAsia="Calibri" w:cs="Tahoma"/>
          <w:color w:val="000000"/>
          <w:szCs w:val="18"/>
        </w:rPr>
        <w:t xml:space="preserve"> </w:t>
      </w:r>
      <w:r w:rsidRPr="004B208C">
        <w:rPr>
          <w:rFonts w:eastAsia="Calibri" w:cs="Tahoma"/>
          <w:color w:val="000000"/>
          <w:szCs w:val="18"/>
        </w:rPr>
        <w:t>Cada uma das partes deverá ser a única proprietária de quaisquer modificações feitas a partir dos Desenvolvimentos.</w:t>
      </w:r>
      <w:r w:rsidR="00172F11">
        <w:rPr>
          <w:rFonts w:eastAsia="Calibri" w:cs="Tahoma"/>
          <w:color w:val="000000"/>
          <w:szCs w:val="18"/>
        </w:rPr>
        <w:t xml:space="preserve"> </w:t>
      </w:r>
      <w:r w:rsidRPr="004B208C">
        <w:rPr>
          <w:rFonts w:eastAsia="Calibri" w:cs="Tahoma"/>
          <w:color w:val="000000"/>
          <w:szCs w:val="18"/>
        </w:rPr>
        <w:t>O Cliente concorda em exercer seus direitos sobre quaisquer Desenvolvimentos unicamente para as operações comerciais internas do Cliente, e não para revender ou distribuir quaisquer Desenvolvimentos a terceiros.</w:t>
      </w:r>
    </w:p>
    <w:p w:rsidR="000F4095" w:rsidRPr="004B208C" w:rsidRDefault="000F4095" w:rsidP="000F4095">
      <w:pPr>
        <w:rPr>
          <w:rFonts w:cs="Tahoma"/>
        </w:rPr>
      </w:pPr>
    </w:p>
    <w:p w:rsidR="000F4095" w:rsidRPr="004B208C" w:rsidRDefault="000F4095" w:rsidP="000F4095">
      <w:pPr>
        <w:rPr>
          <w:rFonts w:cs="Tahoma"/>
        </w:rPr>
      </w:pPr>
      <w:r w:rsidRPr="004B208C">
        <w:rPr>
          <w:rFonts w:eastAsia="Calibri" w:cs="Tahoma"/>
          <w:b/>
          <w:bCs/>
          <w:color w:val="000000"/>
          <w:szCs w:val="18"/>
        </w:rPr>
        <w:t>Materiais.</w:t>
      </w:r>
      <w:r w:rsidR="00172F11">
        <w:rPr>
          <w:rFonts w:eastAsia="Calibri" w:cs="Tahoma"/>
          <w:b/>
          <w:bCs/>
          <w:color w:val="000000"/>
          <w:szCs w:val="18"/>
        </w:rPr>
        <w:t xml:space="preserve"> </w:t>
      </w:r>
      <w:r w:rsidRPr="004B208C">
        <w:rPr>
          <w:rFonts w:eastAsia="Calibri" w:cs="Tahoma"/>
          <w:bCs/>
          <w:color w:val="000000"/>
          <w:szCs w:val="18"/>
        </w:rPr>
        <w:t>Todos os direitos sobre os materiais desenvolvidos por Nós (que não sejam código de software) e</w:t>
      </w:r>
      <w:r w:rsidR="003D7C23">
        <w:rPr>
          <w:rFonts w:eastAsia="Calibri" w:cs="Tahoma"/>
          <w:bCs/>
          <w:color w:val="000000"/>
          <w:szCs w:val="18"/>
        </w:rPr>
        <w:t> </w:t>
      </w:r>
      <w:r w:rsidRPr="004B208C">
        <w:rPr>
          <w:rFonts w:eastAsia="Calibri" w:cs="Tahoma"/>
          <w:bCs/>
          <w:color w:val="000000"/>
          <w:szCs w:val="18"/>
        </w:rPr>
        <w:t>fornecidos ao cliente junto com o Suporte Profissional e Suporte para Microsoft Dynamics CRM Online (“Materiais”) são de Nossa propriedade, exceto na medida em que esses Materiais fizerem parte do Trabalho Pré-existente do</w:t>
      </w:r>
      <w:r w:rsidR="003D7C23">
        <w:rPr>
          <w:rFonts w:eastAsia="Calibri" w:cs="Tahoma"/>
          <w:bCs/>
          <w:color w:val="000000"/>
          <w:szCs w:val="18"/>
        </w:rPr>
        <w:t> </w:t>
      </w:r>
      <w:r w:rsidRPr="004B208C">
        <w:rPr>
          <w:rFonts w:eastAsia="Calibri" w:cs="Tahoma"/>
          <w:bCs/>
          <w:color w:val="000000"/>
          <w:szCs w:val="18"/>
        </w:rPr>
        <w:t>cliente.</w:t>
      </w:r>
      <w:r w:rsidR="00172F11">
        <w:rPr>
          <w:rFonts w:eastAsia="Calibri" w:cs="Tahoma"/>
          <w:bCs/>
          <w:color w:val="000000"/>
          <w:szCs w:val="18"/>
        </w:rPr>
        <w:t xml:space="preserve"> </w:t>
      </w:r>
      <w:r w:rsidRPr="004B208C">
        <w:rPr>
          <w:rFonts w:eastAsia="Calibri" w:cs="Tahoma"/>
          <w:bCs/>
          <w:color w:val="000000"/>
          <w:szCs w:val="18"/>
        </w:rPr>
        <w:t>A Microsoft outorgará aos clientes uma licença não exclusiva, perpétua e totalmente quitada para uso, reprodução e modificação dos Materiais somente para uso nas operações empresariais internas dos clientes e sem obrigação de contabilidade ou pagamento de royalties.</w:t>
      </w:r>
      <w:r w:rsidR="00172F11">
        <w:rPr>
          <w:rFonts w:eastAsia="Calibri" w:cs="Tahoma"/>
          <w:bCs/>
          <w:color w:val="000000"/>
          <w:szCs w:val="18"/>
        </w:rPr>
        <w:t xml:space="preserve"> </w:t>
      </w:r>
      <w:r w:rsidRPr="004B208C">
        <w:rPr>
          <w:rFonts w:eastAsia="Calibri" w:cs="Tahoma"/>
          <w:bCs/>
          <w:color w:val="000000"/>
          <w:szCs w:val="18"/>
        </w:rPr>
        <w:t>Os clientes poderão sublicenciar os direitos outorgados neste documento para suas Afiliadas.</w:t>
      </w:r>
      <w:r w:rsidR="00172F11">
        <w:rPr>
          <w:rFonts w:eastAsia="Calibri" w:cs="Tahoma"/>
          <w:bCs/>
          <w:color w:val="000000"/>
          <w:szCs w:val="18"/>
        </w:rPr>
        <w:t xml:space="preserve"> </w:t>
      </w:r>
      <w:r w:rsidRPr="004B208C">
        <w:rPr>
          <w:rFonts w:eastAsia="Calibri" w:cs="Tahoma"/>
          <w:bCs/>
          <w:color w:val="000000"/>
          <w:szCs w:val="18"/>
        </w:rPr>
        <w:t>Todos os direitos não outorgados expressamente estão reservados.</w:t>
      </w:r>
    </w:p>
    <w:p w:rsidR="000F4095" w:rsidRPr="004B208C" w:rsidRDefault="000F4095" w:rsidP="000F4095">
      <w:pPr>
        <w:rPr>
          <w:rFonts w:cs="Tahoma"/>
        </w:rPr>
      </w:pPr>
    </w:p>
    <w:p w:rsidR="000F4095" w:rsidRPr="004B208C" w:rsidRDefault="000F4095" w:rsidP="000F4095">
      <w:pPr>
        <w:rPr>
          <w:rFonts w:cs="Tahoma"/>
        </w:rPr>
      </w:pPr>
      <w:r w:rsidRPr="004B208C">
        <w:rPr>
          <w:rFonts w:eastAsia="Calibri" w:cs="Tahoma"/>
          <w:b/>
          <w:bCs/>
          <w:color w:val="000000"/>
          <w:szCs w:val="18"/>
        </w:rPr>
        <w:t>Código de Amostra.</w:t>
      </w:r>
      <w:r w:rsidR="00172F11">
        <w:rPr>
          <w:rFonts w:eastAsia="Calibri" w:cs="Tahoma"/>
          <w:b/>
          <w:bCs/>
          <w:color w:val="000000"/>
          <w:szCs w:val="18"/>
        </w:rPr>
        <w:t xml:space="preserve"> </w:t>
      </w:r>
      <w:r w:rsidRPr="004B208C">
        <w:rPr>
          <w:rFonts w:eastAsia="Calibri" w:cs="Tahoma"/>
          <w:bCs/>
          <w:color w:val="000000"/>
          <w:szCs w:val="18"/>
        </w:rPr>
        <w:t>A Microsoft concede aos clientes o direito não exclusivo, perpétuo e livre de royalties para usar e modificar códigos de software fornecidos para fins de esclarecimento (</w:t>
      </w:r>
      <w:r w:rsidR="00172F11">
        <w:rPr>
          <w:rFonts w:eastAsia="Calibri" w:cs="Tahoma"/>
          <w:bCs/>
          <w:color w:val="000000"/>
          <w:szCs w:val="18"/>
        </w:rPr>
        <w:t>“</w:t>
      </w:r>
      <w:r w:rsidRPr="004B208C">
        <w:rPr>
          <w:rFonts w:eastAsia="Calibri" w:cs="Tahoma"/>
          <w:bCs/>
          <w:color w:val="000000"/>
          <w:szCs w:val="18"/>
        </w:rPr>
        <w:t>Código de Amostra</w:t>
      </w:r>
      <w:r w:rsidR="00172F11">
        <w:rPr>
          <w:rFonts w:eastAsia="Calibri" w:cs="Tahoma"/>
          <w:bCs/>
          <w:color w:val="000000"/>
          <w:szCs w:val="18"/>
        </w:rPr>
        <w:t>”</w:t>
      </w:r>
      <w:r w:rsidRPr="004B208C">
        <w:rPr>
          <w:rFonts w:eastAsia="Calibri" w:cs="Tahoma"/>
          <w:bCs/>
          <w:color w:val="000000"/>
          <w:szCs w:val="18"/>
        </w:rPr>
        <w:t>) e reproduzir e</w:t>
      </w:r>
      <w:r w:rsidR="003D7C23">
        <w:rPr>
          <w:rFonts w:eastAsia="Calibri" w:cs="Tahoma"/>
          <w:bCs/>
          <w:color w:val="000000"/>
          <w:szCs w:val="18"/>
        </w:rPr>
        <w:t> </w:t>
      </w:r>
      <w:r w:rsidRPr="004B208C">
        <w:rPr>
          <w:rFonts w:eastAsia="Calibri" w:cs="Tahoma"/>
          <w:bCs/>
          <w:color w:val="000000"/>
          <w:szCs w:val="18"/>
        </w:rPr>
        <w:t>distribuir o formato do código-objeto do Código de Amostra desde que os clientes concordem em: (i) não usar o</w:t>
      </w:r>
      <w:r w:rsidR="003D7C23">
        <w:rPr>
          <w:rFonts w:eastAsia="Calibri" w:cs="Tahoma"/>
          <w:bCs/>
          <w:color w:val="000000"/>
          <w:szCs w:val="18"/>
        </w:rPr>
        <w:t> </w:t>
      </w:r>
      <w:r w:rsidRPr="004B208C">
        <w:rPr>
          <w:rFonts w:eastAsia="Calibri" w:cs="Tahoma"/>
          <w:bCs/>
          <w:color w:val="000000"/>
          <w:szCs w:val="18"/>
        </w:rPr>
        <w:t>nome, logotipo ou marcas da Microsoft para comercializar o software em que o Código de Amostra estiver incorporado; (ii) incluir uma notificação de direitos autorais válida no software em que o Código de Amostra estiver</w:t>
      </w:r>
      <w:r w:rsidR="003D7C23">
        <w:rPr>
          <w:rFonts w:eastAsia="Calibri" w:cs="Tahoma"/>
          <w:bCs/>
          <w:color w:val="000000"/>
          <w:szCs w:val="18"/>
        </w:rPr>
        <w:t> </w:t>
      </w:r>
      <w:r w:rsidRPr="004B208C">
        <w:rPr>
          <w:rFonts w:eastAsia="Calibri" w:cs="Tahoma"/>
          <w:bCs/>
          <w:color w:val="000000"/>
          <w:szCs w:val="18"/>
        </w:rPr>
        <w:t>incorporado e (iii) indenizar, isentar de responsabilidade e defender a Microsoft e Seus fornecedores de requerimentos judiciais ou extrajudiciais ou ações judiciais, incluindo honorários advocatícios, decorrentes de uso ou</w:t>
      </w:r>
      <w:r w:rsidR="003D7C23">
        <w:rPr>
          <w:rFonts w:eastAsia="Calibri" w:cs="Tahoma"/>
          <w:bCs/>
          <w:color w:val="000000"/>
          <w:szCs w:val="18"/>
        </w:rPr>
        <w:t> </w:t>
      </w:r>
      <w:r w:rsidRPr="004B208C">
        <w:rPr>
          <w:rFonts w:eastAsia="Calibri" w:cs="Tahoma"/>
          <w:bCs/>
          <w:color w:val="000000"/>
          <w:szCs w:val="18"/>
        </w:rPr>
        <w:t xml:space="preserve">distribuição do Código de Amostra. </w:t>
      </w:r>
    </w:p>
    <w:p w:rsidR="000F4095" w:rsidRPr="004B208C" w:rsidRDefault="000F4095" w:rsidP="000F4095">
      <w:pPr>
        <w:rPr>
          <w:rFonts w:cs="Tahoma"/>
        </w:rPr>
      </w:pPr>
    </w:p>
    <w:p w:rsidR="000F4095" w:rsidRPr="004B208C" w:rsidRDefault="000F4095" w:rsidP="000F4095">
      <w:pPr>
        <w:rPr>
          <w:rFonts w:cs="Tahoma"/>
        </w:rPr>
      </w:pPr>
      <w:r w:rsidRPr="004B208C">
        <w:rPr>
          <w:rFonts w:eastAsia="Calibri" w:cs="Tahoma"/>
          <w:b/>
          <w:bCs/>
          <w:color w:val="000000"/>
          <w:szCs w:val="18"/>
        </w:rPr>
        <w:t>Restrições de licença de software livre</w:t>
      </w:r>
      <w:r w:rsidRPr="004B208C">
        <w:rPr>
          <w:rFonts w:eastAsia="Calibri" w:cs="Tahoma"/>
          <w:color w:val="000000"/>
          <w:szCs w:val="18"/>
        </w:rPr>
        <w:t>.</w:t>
      </w:r>
      <w:r w:rsidR="00172F11">
        <w:rPr>
          <w:rFonts w:eastAsia="Calibri" w:cs="Tahoma"/>
          <w:color w:val="000000"/>
          <w:szCs w:val="18"/>
        </w:rPr>
        <w:t xml:space="preserve"> </w:t>
      </w:r>
      <w:r w:rsidRPr="004B208C">
        <w:rPr>
          <w:rFonts w:eastAsia="Calibri" w:cs="Tahoma"/>
          <w:color w:val="000000"/>
          <w:szCs w:val="18"/>
        </w:rPr>
        <w:t>Como alguns termos de licença de terceiros exigem que os códigos do</w:t>
      </w:r>
      <w:r w:rsidR="003D7C23">
        <w:rPr>
          <w:rFonts w:eastAsia="Calibri" w:cs="Tahoma"/>
          <w:color w:val="000000"/>
          <w:szCs w:val="18"/>
        </w:rPr>
        <w:t> </w:t>
      </w:r>
      <w:r w:rsidRPr="004B208C">
        <w:rPr>
          <w:rFonts w:eastAsia="Calibri" w:cs="Tahoma"/>
          <w:color w:val="000000"/>
          <w:szCs w:val="18"/>
        </w:rPr>
        <w:t>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w:t>
      </w:r>
      <w:r w:rsidR="003D7C23">
        <w:rPr>
          <w:rFonts w:eastAsia="Calibri" w:cs="Tahoma"/>
          <w:color w:val="000000"/>
          <w:szCs w:val="18"/>
        </w:rPr>
        <w:t> </w:t>
      </w:r>
      <w:r w:rsidRPr="004B208C">
        <w:rPr>
          <w:rFonts w:eastAsia="Calibri" w:cs="Tahoma"/>
          <w:color w:val="000000"/>
          <w:szCs w:val="18"/>
        </w:rPr>
        <w:t xml:space="preserve">qualquer propriedade intelectual associada ao mesmo) não incluem nenhuma licença, direito, poder ou autoridade para incorporar, modificar, combinar e/ou distribuir o referido código de computador com qualquer outro </w:t>
      </w:r>
      <w:r w:rsidRPr="004B208C">
        <w:rPr>
          <w:rFonts w:eastAsia="Calibri" w:cs="Tahoma"/>
          <w:color w:val="000000"/>
          <w:szCs w:val="18"/>
        </w:rPr>
        <w:lastRenderedPageBreak/>
        <w:t>código de computador de uma maneira que sujeitaria o código de computador de outrem aos Termos de Licença de Software Livre.</w:t>
      </w:r>
      <w:r w:rsidR="00172F11">
        <w:rPr>
          <w:rFonts w:eastAsia="Calibri" w:cs="Tahoma"/>
          <w:color w:val="000000"/>
          <w:szCs w:val="18"/>
        </w:rPr>
        <w:t xml:space="preserve"> </w:t>
      </w:r>
      <w:r w:rsidRPr="004B208C">
        <w:rPr>
          <w:rFonts w:eastAsia="Calibri" w:cs="Tahoma"/>
          <w:color w:val="000000"/>
          <w:szCs w:val="18"/>
        </w:rPr>
        <w:t>Além disso, cada uma das partes garante que não fornecerá ou entregará à outra parte nenhum código de computador que seja regido pelos Termos de Licença de Software Livre.</w:t>
      </w:r>
    </w:p>
    <w:p w:rsidR="000F4095" w:rsidRPr="004B208C" w:rsidRDefault="000F4095" w:rsidP="000F4095">
      <w:pPr>
        <w:rPr>
          <w:rFonts w:cs="Tahoma"/>
        </w:rPr>
      </w:pPr>
    </w:p>
    <w:p w:rsidR="000F4095" w:rsidRPr="004B208C" w:rsidRDefault="000F4095" w:rsidP="000F4095">
      <w:pPr>
        <w:rPr>
          <w:rFonts w:cs="Tahoma"/>
        </w:rPr>
      </w:pPr>
      <w:r w:rsidRPr="004B208C">
        <w:rPr>
          <w:rFonts w:eastAsia="Calibri" w:cs="Tahoma"/>
          <w:b/>
          <w:bCs/>
          <w:color w:val="000000"/>
          <w:szCs w:val="18"/>
        </w:rPr>
        <w:t>Direitos das Afiliadas.</w:t>
      </w:r>
      <w:r w:rsidR="00172F11">
        <w:rPr>
          <w:rFonts w:eastAsia="Calibri" w:cs="Tahoma"/>
          <w:color w:val="000000"/>
          <w:szCs w:val="18"/>
        </w:rPr>
        <w:t xml:space="preserve"> </w:t>
      </w:r>
      <w:r w:rsidRPr="004B208C">
        <w:rPr>
          <w:rFonts w:eastAsia="Calibri" w:cs="Tahoma"/>
          <w:color w:val="000000"/>
          <w:szCs w:val="18"/>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0F4095" w:rsidRPr="004B208C" w:rsidRDefault="000F4095" w:rsidP="000F4095">
      <w:pPr>
        <w:rPr>
          <w:rFonts w:cs="Tahoma"/>
        </w:rPr>
      </w:pPr>
    </w:p>
    <w:p w:rsidR="000F4095" w:rsidRPr="004B208C" w:rsidRDefault="000F4095" w:rsidP="000F4095">
      <w:pPr>
        <w:rPr>
          <w:rFonts w:cs="Tahoma"/>
        </w:rPr>
      </w:pPr>
      <w:r w:rsidRPr="004B208C">
        <w:rPr>
          <w:rFonts w:cs="Tahoma"/>
          <w:b/>
          <w:bCs/>
          <w:color w:val="000000"/>
          <w:szCs w:val="18"/>
        </w:rPr>
        <w:t>Reserva de direitos.</w:t>
      </w:r>
      <w:r w:rsidR="00172F11">
        <w:rPr>
          <w:rFonts w:cs="Tahoma"/>
          <w:color w:val="000000"/>
          <w:szCs w:val="18"/>
        </w:rPr>
        <w:t xml:space="preserve"> </w:t>
      </w:r>
      <w:r w:rsidRPr="004B208C">
        <w:rPr>
          <w:rFonts w:cs="Tahoma"/>
          <w:color w:val="000000"/>
          <w:szCs w:val="18"/>
        </w:rPr>
        <w:t>Qualquer direito não concedido expressamente permanece reservado.</w:t>
      </w:r>
    </w:p>
    <w:p w:rsidR="000F4095" w:rsidRPr="004B208C" w:rsidRDefault="000F4095" w:rsidP="000F4095">
      <w:pPr>
        <w:rPr>
          <w:rFonts w:cs="Tahoma"/>
        </w:rPr>
      </w:pPr>
    </w:p>
    <w:p w:rsidR="000F4095" w:rsidRPr="004B208C" w:rsidRDefault="000F4095" w:rsidP="000F4095">
      <w:pPr>
        <w:spacing w:after="60"/>
        <w:rPr>
          <w:rFonts w:cs="Tahoma"/>
        </w:rPr>
      </w:pPr>
      <w:r w:rsidRPr="004B208C">
        <w:rPr>
          <w:rFonts w:cs="Tahoma"/>
          <w:b/>
          <w:szCs w:val="18"/>
        </w:rPr>
        <w:t>Garantias, Isenções e Limitações de Responsabilidade</w:t>
      </w:r>
    </w:p>
    <w:p w:rsidR="000F4095" w:rsidRPr="004B208C" w:rsidRDefault="000F4095" w:rsidP="000F4095">
      <w:pPr>
        <w:ind w:left="360"/>
        <w:rPr>
          <w:rFonts w:cs="Tahoma"/>
        </w:rPr>
      </w:pPr>
      <w:r w:rsidRPr="004B208C">
        <w:rPr>
          <w:rFonts w:cs="Tahoma"/>
          <w:b/>
          <w:color w:val="000000"/>
          <w:szCs w:val="18"/>
        </w:rPr>
        <w:t>Garantia dos Serviços</w:t>
      </w:r>
      <w:r w:rsidRPr="004B208C">
        <w:rPr>
          <w:rFonts w:cs="Tahoma"/>
          <w:color w:val="000000"/>
          <w:szCs w:val="18"/>
        </w:rPr>
        <w:t>.</w:t>
      </w:r>
      <w:r w:rsidR="00172F11">
        <w:rPr>
          <w:rFonts w:cs="Tahoma"/>
          <w:color w:val="000000"/>
          <w:szCs w:val="18"/>
        </w:rPr>
        <w:t xml:space="preserve"> </w:t>
      </w:r>
      <w:r w:rsidRPr="004B208C">
        <w:rPr>
          <w:rFonts w:cs="Tahoma"/>
          <w:color w:val="000000"/>
          <w:szCs w:val="18"/>
        </w:rPr>
        <w:t>A Microsoft garante que todos os Serviços serão realizados com cuidado e qualificação profissionais.</w:t>
      </w:r>
    </w:p>
    <w:p w:rsidR="000F4095" w:rsidRPr="004B208C" w:rsidRDefault="000F4095" w:rsidP="000F4095">
      <w:pPr>
        <w:ind w:left="360"/>
        <w:rPr>
          <w:rFonts w:cs="Tahoma"/>
        </w:rPr>
      </w:pPr>
    </w:p>
    <w:p w:rsidR="000F4095" w:rsidRPr="004B208C" w:rsidRDefault="000F4095" w:rsidP="000F4095">
      <w:pPr>
        <w:ind w:left="360"/>
        <w:rPr>
          <w:rFonts w:cs="Tahoma"/>
        </w:rPr>
      </w:pPr>
      <w:r w:rsidRPr="004B208C">
        <w:rPr>
          <w:rFonts w:cs="Tahoma"/>
          <w:b/>
          <w:szCs w:val="18"/>
        </w:rPr>
        <w:t>AUSÊNCIA DE OUTRAS GARANTIAS</w:t>
      </w:r>
      <w:r w:rsidRPr="004B208C">
        <w:rPr>
          <w:rFonts w:cs="Tahoma"/>
          <w:b/>
          <w:i/>
          <w:szCs w:val="18"/>
        </w:rPr>
        <w:t>.</w:t>
      </w:r>
      <w:r w:rsidR="00172F11">
        <w:rPr>
          <w:rFonts w:cs="Tahoma"/>
          <w:szCs w:val="18"/>
        </w:rPr>
        <w:t xml:space="preserve"> </w:t>
      </w:r>
      <w:r w:rsidRPr="004B208C">
        <w:rPr>
          <w:rFonts w:cs="Tahoma"/>
          <w:szCs w:val="18"/>
        </w:rPr>
        <w:t>NO LIMITE PERMITIDO PELA LEI APLICÁVEL, A MICROSOFT EXCLUI E ISENTA-SE DE TODAS AS DECLARAÇÕES, GARANTIAS E CONDIÇÕES, EXPRESSAS, IMPLÍCITAS OU CONTIDAS EM LEI, QUE NÃO SEJAM AQUELAS IDENTIFICADAS DE MANEIRA EXPRESSA NESTE CONTRATO.</w:t>
      </w:r>
      <w:r w:rsidR="00172F11">
        <w:rPr>
          <w:rFonts w:cs="Tahoma"/>
          <w:szCs w:val="18"/>
        </w:rPr>
        <w:t xml:space="preserve"> </w:t>
      </w:r>
      <w:r w:rsidRPr="004B208C">
        <w:rPr>
          <w:rFonts w:cs="Tahoma"/>
          <w:szCs w:val="18"/>
        </w:rPr>
        <w:t>A ISENÇÃO DE</w:t>
      </w:r>
      <w:r w:rsidR="003D7C23">
        <w:rPr>
          <w:rFonts w:cs="Tahoma"/>
          <w:szCs w:val="18"/>
        </w:rPr>
        <w:t> </w:t>
      </w:r>
      <w:r w:rsidRPr="004B208C">
        <w:rPr>
          <w:rFonts w:cs="Tahoma"/>
          <w:szCs w:val="18"/>
        </w:rPr>
        <w:t>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r w:rsidR="00172F11">
        <w:rPr>
          <w:rFonts w:cs="Tahoma"/>
          <w:szCs w:val="18"/>
        </w:rPr>
        <w:t xml:space="preserve"> </w:t>
      </w:r>
    </w:p>
    <w:p w:rsidR="000F4095" w:rsidRPr="004B208C" w:rsidRDefault="000F4095" w:rsidP="000F4095">
      <w:pPr>
        <w:ind w:left="360"/>
        <w:rPr>
          <w:rFonts w:cs="Tahoma"/>
        </w:rPr>
      </w:pPr>
    </w:p>
    <w:p w:rsidR="000F4095" w:rsidRPr="004B208C" w:rsidRDefault="000F4095" w:rsidP="000F4095">
      <w:pPr>
        <w:ind w:left="360"/>
        <w:rPr>
          <w:rFonts w:cs="Tahoma"/>
        </w:rPr>
      </w:pPr>
      <w:r w:rsidRPr="004B208C">
        <w:rPr>
          <w:rFonts w:cs="Tahoma"/>
          <w:b/>
          <w:szCs w:val="18"/>
        </w:rPr>
        <w:t>Limitação de Responsabilidade</w:t>
      </w:r>
      <w:r w:rsidRPr="004B208C">
        <w:rPr>
          <w:rFonts w:cs="Tahoma"/>
          <w:szCs w:val="18"/>
        </w:rPr>
        <w:t>.</w:t>
      </w:r>
      <w:r w:rsidR="00172F11">
        <w:rPr>
          <w:rFonts w:cs="Tahoma"/>
          <w:szCs w:val="18"/>
        </w:rPr>
        <w:t xml:space="preserve"> </w:t>
      </w:r>
      <w:r w:rsidRPr="004B208C">
        <w:rPr>
          <w:rFonts w:cs="Tahoma"/>
          <w:szCs w:val="18"/>
        </w:rPr>
        <w:t>A responsabilidade da Microsoft por danos diretos será limitada até a</w:t>
      </w:r>
      <w:r w:rsidR="003D7C23">
        <w:rPr>
          <w:rFonts w:cs="Tahoma"/>
          <w:szCs w:val="18"/>
        </w:rPr>
        <w:t> </w:t>
      </w:r>
      <w:r w:rsidRPr="004B208C">
        <w:rPr>
          <w:rFonts w:cs="Tahoma"/>
          <w:szCs w:val="18"/>
        </w:rPr>
        <w:t>máxima extensão permitida pela lei aplicável aos valores pagos pelo Cliente pelos Serviços que originaram o</w:t>
      </w:r>
      <w:r w:rsidR="003D7C23">
        <w:rPr>
          <w:rFonts w:cs="Tahoma"/>
          <w:szCs w:val="18"/>
        </w:rPr>
        <w:t> </w:t>
      </w:r>
      <w:r w:rsidRPr="004B208C">
        <w:rPr>
          <w:rFonts w:cs="Tahoma"/>
          <w:szCs w:val="18"/>
        </w:rPr>
        <w:t>requerimento judicial ou extrajudicial de violação nos 12 meses que precedem o referido requerimento.</w:t>
      </w:r>
      <w:r w:rsidR="00172F11">
        <w:rPr>
          <w:rFonts w:cs="Tahoma"/>
          <w:szCs w:val="18"/>
        </w:rPr>
        <w:t xml:space="preserve"> </w:t>
      </w:r>
    </w:p>
    <w:p w:rsidR="000F4095" w:rsidRDefault="000F4095" w:rsidP="000F4095">
      <w:pPr>
        <w:ind w:left="360"/>
        <w:rPr>
          <w:rFonts w:cs="Tahoma"/>
        </w:rPr>
      </w:pPr>
    </w:p>
    <w:p w:rsidR="000F4095" w:rsidRDefault="000F4095" w:rsidP="000F4095">
      <w:pPr>
        <w:ind w:left="360"/>
        <w:rPr>
          <w:rFonts w:cs="Tahoma"/>
          <w:spacing w:val="-2"/>
          <w:szCs w:val="18"/>
        </w:rPr>
      </w:pPr>
      <w:r w:rsidRPr="00A60432">
        <w:rPr>
          <w:rFonts w:cs="Tahoma"/>
          <w:b/>
          <w:spacing w:val="-2"/>
          <w:szCs w:val="18"/>
        </w:rPr>
        <w:t>NENHUMA RESPONSABILIDADE POR DANOS DETERMINADOS</w:t>
      </w:r>
      <w:r w:rsidRPr="00A60432">
        <w:rPr>
          <w:rFonts w:cs="Tahoma"/>
          <w:spacing w:val="-2"/>
          <w:szCs w:val="18"/>
        </w:rPr>
        <w:t>.</w:t>
      </w:r>
      <w:r w:rsidR="00172F11" w:rsidRPr="00A60432">
        <w:rPr>
          <w:rFonts w:cs="Tahoma"/>
          <w:spacing w:val="-2"/>
          <w:szCs w:val="18"/>
        </w:rPr>
        <w:t xml:space="preserve"> </w:t>
      </w:r>
      <w:r w:rsidRPr="00A60432">
        <w:rPr>
          <w:rFonts w:cs="Tahoma"/>
          <w:spacing w:val="-2"/>
          <w:szCs w:val="18"/>
        </w:rPr>
        <w:t>NA EXTENSÃO MÁXIMA PERMITIDA PELA</w:t>
      </w:r>
      <w:r w:rsidR="004A5268" w:rsidRPr="00A60432">
        <w:rPr>
          <w:rFonts w:cs="Tahoma"/>
          <w:spacing w:val="-2"/>
          <w:szCs w:val="18"/>
        </w:rPr>
        <w:t> </w:t>
      </w:r>
      <w:r w:rsidRPr="00A60432">
        <w:rPr>
          <w:rFonts w:cs="Tahoma"/>
          <w:spacing w:val="-2"/>
          <w:szCs w:val="18"/>
        </w:rPr>
        <w:t>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w:t>
      </w:r>
      <w:r w:rsidR="00172F11" w:rsidRPr="00A60432">
        <w:rPr>
          <w:rFonts w:cs="Tahoma"/>
          <w:spacing w:val="-2"/>
          <w:szCs w:val="18"/>
        </w:rPr>
        <w:t xml:space="preserve"> </w:t>
      </w:r>
      <w:r w:rsidRPr="00A60432">
        <w:rPr>
          <w:rFonts w:cs="Tahoma"/>
          <w:spacing w:val="-2"/>
          <w:szCs w:val="18"/>
        </w:rPr>
        <w:t>ESSA EXCLUSÃO DE RESPONSABILIDADE NÃO SE APLICA À RESPONSABILIDADE DE QUAISQUER DAS PARTES EM RELAÇÃO À OUTRA PELA VIOLAÇÃO DE SUA OBRIGAÇÃO DE CONFIDENCIALIDADE OU PELA VIOLAÇÃO DE DIREITOS DE PROPRIEDADE INTELECTUAL DA OUTRA PARTE.</w:t>
      </w:r>
    </w:p>
    <w:p w:rsidR="006747B4" w:rsidRPr="00A60432" w:rsidRDefault="006747B4" w:rsidP="000F4095">
      <w:pPr>
        <w:ind w:left="360"/>
        <w:rPr>
          <w:rFonts w:cs="Tahoma"/>
          <w:spacing w:val="-2"/>
        </w:rPr>
      </w:pPr>
    </w:p>
    <w:p w:rsidR="000F4095" w:rsidRPr="004B208C" w:rsidRDefault="000F4095" w:rsidP="000F4095">
      <w:pPr>
        <w:ind w:left="360"/>
        <w:rPr>
          <w:rFonts w:cs="Tahoma"/>
        </w:rPr>
      </w:pPr>
      <w:r w:rsidRPr="004B208C">
        <w:rPr>
          <w:rFonts w:cs="Tahoma"/>
          <w:b/>
          <w:szCs w:val="18"/>
        </w:rPr>
        <w:t>Aplicação</w:t>
      </w:r>
      <w:r w:rsidRPr="004B208C">
        <w:rPr>
          <w:rFonts w:cs="Tahoma"/>
          <w:szCs w:val="18"/>
        </w:rPr>
        <w:t>.</w:t>
      </w:r>
      <w:r w:rsidR="00172F11">
        <w:rPr>
          <w:rFonts w:cs="Tahoma"/>
          <w:szCs w:val="18"/>
        </w:rPr>
        <w:t xml:space="preserve"> </w:t>
      </w:r>
      <w:r w:rsidRPr="004B208C">
        <w:rPr>
          <w:rFonts w:cs="Tahoma"/>
          <w:szCs w:val="18"/>
        </w:rPr>
        <w:t>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023FE7" w:rsidRPr="004B208C" w:rsidRDefault="00023FE7">
      <w:pPr>
        <w:rPr>
          <w:rFonts w:cs="Tahoma"/>
        </w:rPr>
      </w:pPr>
      <w:r w:rsidRPr="004B208C">
        <w:rPr>
          <w:rFonts w:cs="Tahoma"/>
        </w:rPr>
        <w:br w:type="page"/>
      </w:r>
    </w:p>
    <w:p w:rsidR="008A1637" w:rsidRPr="004B208C" w:rsidRDefault="008A1637" w:rsidP="003D7C23">
      <w:pPr>
        <w:pStyle w:val="Heading1"/>
        <w:spacing w:before="0"/>
        <w:rPr>
          <w:rFonts w:cs="Tahoma"/>
        </w:rPr>
      </w:pPr>
      <w:bookmarkStart w:id="915" w:name="_Toc336338249"/>
      <w:bookmarkStart w:id="916" w:name="_Toc370981364"/>
      <w:r w:rsidRPr="004B208C">
        <w:rPr>
          <w:rFonts w:cs="Tahoma"/>
        </w:rPr>
        <w:lastRenderedPageBreak/>
        <w:t>SEÇÃO 9 – termos adicionais</w:t>
      </w:r>
      <w:bookmarkEnd w:id="915"/>
      <w:bookmarkEnd w:id="916"/>
    </w:p>
    <w:p w:rsidR="003D7C23" w:rsidRPr="007022C1" w:rsidRDefault="003D7C23" w:rsidP="003D7C23">
      <w:pPr>
        <w:pStyle w:val="Heading1"/>
        <w:rPr>
          <w:sz w:val="18"/>
        </w:rPr>
      </w:pPr>
      <w:bookmarkStart w:id="917" w:name="_Toc323159781"/>
      <w:bookmarkStart w:id="918" w:name="_Toc336338250"/>
    </w:p>
    <w:p w:rsidR="008A1637" w:rsidRPr="003D7C23" w:rsidRDefault="008A1637" w:rsidP="003D7C23">
      <w:pPr>
        <w:pStyle w:val="Heading3"/>
        <w:ind w:right="720"/>
        <w:rPr>
          <w:rFonts w:ascii="Tahoma" w:hAnsi="Tahoma" w:cs="Tahoma"/>
          <w:sz w:val="24"/>
          <w:szCs w:val="24"/>
        </w:rPr>
      </w:pPr>
      <w:bookmarkStart w:id="919" w:name="_Toc370981365"/>
      <w:r w:rsidRPr="003D7C23">
        <w:rPr>
          <w:rFonts w:ascii="Tahoma" w:eastAsia="Times New Roman" w:hAnsi="Tahoma" w:cs="Tahoma"/>
          <w:color w:val="000000"/>
          <w:sz w:val="24"/>
          <w:szCs w:val="24"/>
        </w:rPr>
        <w:t>Licenças de Acesso para Cliente (CALs) e Licenças de Gerenciamento (MLs) de Cliente</w:t>
      </w:r>
      <w:bookmarkEnd w:id="917"/>
      <w:bookmarkEnd w:id="918"/>
      <w:bookmarkEnd w:id="919"/>
    </w:p>
    <w:p w:rsidR="008A1637" w:rsidRPr="004B208C" w:rsidRDefault="008A1637" w:rsidP="008A1637">
      <w:pPr>
        <w:pStyle w:val="AppendixFlushBulletedList"/>
        <w:tabs>
          <w:tab w:val="clear" w:pos="360"/>
        </w:tabs>
        <w:ind w:left="720" w:right="720" w:firstLine="0"/>
        <w:rPr>
          <w:rFonts w:ascii="Tahoma" w:hAnsi="Tahoma" w:cs="Tahoma"/>
        </w:rPr>
      </w:pPr>
    </w:p>
    <w:p w:rsidR="008A1637" w:rsidRPr="004A5268" w:rsidRDefault="008A1637" w:rsidP="00A1385C">
      <w:pPr>
        <w:pStyle w:val="AppendixFlushBulletedList"/>
        <w:numPr>
          <w:ilvl w:val="0"/>
          <w:numId w:val="75"/>
        </w:numPr>
        <w:ind w:left="1440" w:right="720"/>
        <w:rPr>
          <w:rFonts w:ascii="Tahoma" w:hAnsi="Tahoma" w:cs="Tahoma"/>
          <w:sz w:val="18"/>
          <w:szCs w:val="18"/>
        </w:rPr>
      </w:pPr>
      <w:r w:rsidRPr="004A5268">
        <w:rPr>
          <w:rFonts w:ascii="Tahoma" w:hAnsi="Tahoma" w:cs="Tahoma"/>
          <w:b/>
          <w:bCs/>
          <w:color w:val="000000"/>
          <w:sz w:val="18"/>
          <w:szCs w:val="18"/>
        </w:rPr>
        <w:t>Transição entre CALs do Usuário e do Dispositivo</w:t>
      </w:r>
    </w:p>
    <w:p w:rsidR="008A1637" w:rsidRPr="004A5268" w:rsidRDefault="008A1637" w:rsidP="00A1385C">
      <w:pPr>
        <w:pStyle w:val="AppendixBodyText"/>
        <w:numPr>
          <w:ilvl w:val="0"/>
          <w:numId w:val="76"/>
        </w:numPr>
        <w:spacing w:afterLines="60" w:after="144"/>
        <w:ind w:left="1800" w:right="720"/>
        <w:rPr>
          <w:rFonts w:ascii="Tahoma" w:hAnsi="Tahoma" w:cs="Tahoma"/>
          <w:sz w:val="18"/>
          <w:szCs w:val="18"/>
        </w:rPr>
      </w:pPr>
      <w:r w:rsidRPr="004A5268">
        <w:rPr>
          <w:rFonts w:ascii="Tahoma" w:hAnsi="Tahoma" w:cs="Tahoma"/>
          <w:color w:val="000000"/>
          <w:sz w:val="18"/>
          <w:szCs w:val="18"/>
        </w:rPr>
        <w:t>Os clientes com Software Assurance atual para CALs podem alternar entre Usuário e</w:t>
      </w:r>
      <w:r w:rsidR="003D7C23" w:rsidRPr="004A5268">
        <w:rPr>
          <w:rFonts w:ascii="Tahoma" w:hAnsi="Tahoma" w:cs="Tahoma"/>
          <w:color w:val="000000"/>
          <w:sz w:val="18"/>
          <w:szCs w:val="18"/>
        </w:rPr>
        <w:t> </w:t>
      </w:r>
      <w:r w:rsidRPr="004A5268">
        <w:rPr>
          <w:rFonts w:ascii="Tahoma" w:hAnsi="Tahoma" w:cs="Tahoma"/>
          <w:color w:val="000000"/>
          <w:sz w:val="18"/>
          <w:szCs w:val="18"/>
        </w:rPr>
        <w:t>Dispositivo na renovação da cobertura do Software Assurance.</w:t>
      </w:r>
      <w:r w:rsidR="00172F11" w:rsidRPr="004A5268">
        <w:rPr>
          <w:rFonts w:ascii="Tahoma" w:hAnsi="Tahoma" w:cs="Tahoma"/>
          <w:color w:val="000000"/>
          <w:sz w:val="18"/>
          <w:szCs w:val="18"/>
        </w:rPr>
        <w:t xml:space="preserve"> </w:t>
      </w:r>
      <w:r w:rsidRPr="004A5268">
        <w:rPr>
          <w:rFonts w:ascii="Tahoma" w:hAnsi="Tahoma" w:cs="Tahoma"/>
          <w:color w:val="000000"/>
          <w:sz w:val="18"/>
          <w:szCs w:val="18"/>
        </w:rPr>
        <w:t>Essa transição não muda a edição da CAL (ou seja, de Standard para Empresarial). Consulte as Notas do</w:t>
      </w:r>
      <w:r w:rsidR="003D7C23" w:rsidRPr="004A5268">
        <w:rPr>
          <w:rFonts w:ascii="Tahoma" w:hAnsi="Tahoma" w:cs="Tahoma"/>
          <w:color w:val="000000"/>
          <w:sz w:val="18"/>
          <w:szCs w:val="18"/>
        </w:rPr>
        <w:t> </w:t>
      </w:r>
      <w:r w:rsidRPr="004A5268">
        <w:rPr>
          <w:rFonts w:ascii="Tahoma" w:hAnsi="Tahoma" w:cs="Tahoma"/>
          <w:color w:val="000000"/>
          <w:sz w:val="18"/>
          <w:szCs w:val="18"/>
        </w:rPr>
        <w:t xml:space="preserve">Produto referentes aos produtos individuais </w:t>
      </w:r>
    </w:p>
    <w:p w:rsidR="008A1637" w:rsidRPr="004A5268" w:rsidRDefault="008A1637" w:rsidP="00A1385C">
      <w:pPr>
        <w:pStyle w:val="AppendixFlushBulletedList"/>
        <w:numPr>
          <w:ilvl w:val="0"/>
          <w:numId w:val="75"/>
        </w:numPr>
        <w:ind w:left="1440" w:right="720"/>
        <w:rPr>
          <w:rFonts w:ascii="Tahoma" w:hAnsi="Tahoma" w:cs="Tahoma"/>
          <w:sz w:val="18"/>
          <w:szCs w:val="18"/>
        </w:rPr>
      </w:pPr>
      <w:r w:rsidRPr="004A5268">
        <w:rPr>
          <w:rFonts w:ascii="Tahoma" w:hAnsi="Tahoma" w:cs="Tahoma"/>
          <w:b/>
          <w:bCs/>
          <w:color w:val="000000"/>
          <w:sz w:val="18"/>
          <w:szCs w:val="18"/>
        </w:rPr>
        <w:t>Transição entre MLs de cliente para Usuário e OSE</w:t>
      </w:r>
    </w:p>
    <w:p w:rsidR="008A1637" w:rsidRPr="004A5268" w:rsidRDefault="008A1637" w:rsidP="00A1385C">
      <w:pPr>
        <w:pStyle w:val="AppendixBodyText"/>
        <w:numPr>
          <w:ilvl w:val="0"/>
          <w:numId w:val="76"/>
        </w:numPr>
        <w:spacing w:afterLines="60" w:after="144"/>
        <w:ind w:left="1800" w:right="720"/>
        <w:rPr>
          <w:rFonts w:ascii="Tahoma" w:hAnsi="Tahoma" w:cs="Tahoma"/>
          <w:sz w:val="18"/>
          <w:szCs w:val="18"/>
        </w:rPr>
      </w:pPr>
      <w:r w:rsidRPr="004A5268">
        <w:rPr>
          <w:rFonts w:ascii="Tahoma" w:hAnsi="Tahoma" w:cs="Tahoma"/>
          <w:color w:val="000000"/>
          <w:sz w:val="18"/>
          <w:szCs w:val="18"/>
        </w:rPr>
        <w:t xml:space="preserve">Os clientes com Software Assurance atual para MLs de cliente podem alternar entre Usuário e OSE na renovação da cobertura do Software Assurance. Consulte as Notas do Produto referentes aos produtos individuais para obter detalhes. </w:t>
      </w:r>
    </w:p>
    <w:p w:rsidR="008A1637" w:rsidRPr="004A5268" w:rsidRDefault="008A1637" w:rsidP="00A1385C">
      <w:pPr>
        <w:pStyle w:val="AppendixFlushBulletedList"/>
        <w:numPr>
          <w:ilvl w:val="0"/>
          <w:numId w:val="75"/>
        </w:numPr>
        <w:ind w:left="1440" w:right="720"/>
        <w:rPr>
          <w:rFonts w:ascii="Tahoma" w:hAnsi="Tahoma" w:cs="Tahoma"/>
          <w:sz w:val="18"/>
          <w:szCs w:val="18"/>
        </w:rPr>
      </w:pPr>
      <w:r w:rsidRPr="004A5268">
        <w:rPr>
          <w:rFonts w:ascii="Tahoma" w:hAnsi="Tahoma" w:cs="Tahoma"/>
          <w:b/>
          <w:bCs/>
          <w:color w:val="000000"/>
          <w:sz w:val="18"/>
          <w:szCs w:val="18"/>
        </w:rPr>
        <w:t>Na renovação</w:t>
      </w:r>
    </w:p>
    <w:p w:rsidR="008A1637" w:rsidRPr="004A5268" w:rsidRDefault="008A1637" w:rsidP="00A1385C">
      <w:pPr>
        <w:pStyle w:val="AppendixBodyText"/>
        <w:numPr>
          <w:ilvl w:val="0"/>
          <w:numId w:val="76"/>
        </w:numPr>
        <w:spacing w:afterLines="60" w:after="144"/>
        <w:ind w:left="1800" w:right="720"/>
        <w:rPr>
          <w:rFonts w:ascii="Tahoma" w:hAnsi="Tahoma" w:cs="Tahoma"/>
          <w:sz w:val="18"/>
          <w:szCs w:val="18"/>
        </w:rPr>
      </w:pPr>
      <w:r w:rsidRPr="004A5268">
        <w:rPr>
          <w:rFonts w:ascii="Tahoma" w:hAnsi="Tahoma" w:cs="Tahoma"/>
          <w:color w:val="000000"/>
          <w:sz w:val="18"/>
          <w:szCs w:val="18"/>
        </w:rPr>
        <w:t>Caso estejam disponíveis CALs do Usuário e do Dispositivo, os clientes poderão renovar o Software Assurance para qualquer um dos dois tipos. Os direitos de uso de</w:t>
      </w:r>
      <w:r w:rsidR="003D7C23" w:rsidRPr="004A5268">
        <w:rPr>
          <w:rFonts w:ascii="Tahoma" w:hAnsi="Tahoma" w:cs="Tahoma"/>
          <w:color w:val="000000"/>
          <w:sz w:val="18"/>
          <w:szCs w:val="18"/>
        </w:rPr>
        <w:t> </w:t>
      </w:r>
      <w:r w:rsidRPr="004A5268">
        <w:rPr>
          <w:rFonts w:ascii="Tahoma" w:hAnsi="Tahoma" w:cs="Tahoma"/>
          <w:color w:val="000000"/>
          <w:sz w:val="18"/>
          <w:szCs w:val="18"/>
        </w:rPr>
        <w:t>produto referentes ao tipo de CAL para a qual o Software Assurance é solicitado determinam como as CALs poderão ser alocadas e usadas.</w:t>
      </w:r>
      <w:r w:rsidR="00172F11" w:rsidRPr="004A5268">
        <w:rPr>
          <w:rFonts w:ascii="Tahoma" w:hAnsi="Tahoma" w:cs="Tahoma"/>
          <w:color w:val="000000"/>
          <w:sz w:val="18"/>
          <w:szCs w:val="18"/>
        </w:rPr>
        <w:t xml:space="preserve"> </w:t>
      </w:r>
      <w:r w:rsidRPr="004A5268">
        <w:rPr>
          <w:rFonts w:ascii="Tahoma" w:hAnsi="Tahoma" w:cs="Tahoma"/>
          <w:color w:val="000000"/>
          <w:sz w:val="18"/>
          <w:szCs w:val="18"/>
        </w:rPr>
        <w:t>Os clientes de Registro Enterprise que optarem por solicitar o Software Assurance para CALs do Usuário podem adquirir CALs com base na contagem de usuários.</w:t>
      </w:r>
      <w:r w:rsidR="00172F11" w:rsidRPr="004A5268">
        <w:rPr>
          <w:rFonts w:ascii="Tahoma" w:hAnsi="Tahoma" w:cs="Tahoma"/>
          <w:color w:val="000000"/>
          <w:sz w:val="18"/>
          <w:szCs w:val="18"/>
        </w:rPr>
        <w:t xml:space="preserve"> </w:t>
      </w:r>
      <w:r w:rsidRPr="004A5268">
        <w:rPr>
          <w:rFonts w:ascii="Tahoma" w:hAnsi="Tahoma" w:cs="Tahoma"/>
          <w:color w:val="000000"/>
          <w:sz w:val="18"/>
          <w:szCs w:val="18"/>
        </w:rPr>
        <w:t xml:space="preserve">Consulte as notas referentes aos produtos individuais para obter detalhes. </w:t>
      </w:r>
    </w:p>
    <w:p w:rsidR="008A1637" w:rsidRPr="004A5268" w:rsidRDefault="008A1637" w:rsidP="00A1385C">
      <w:pPr>
        <w:pStyle w:val="AppendixFlushBulletedList"/>
        <w:numPr>
          <w:ilvl w:val="0"/>
          <w:numId w:val="75"/>
        </w:numPr>
        <w:ind w:left="1440" w:right="720"/>
        <w:rPr>
          <w:rFonts w:ascii="Tahoma" w:hAnsi="Tahoma" w:cs="Tahoma"/>
          <w:sz w:val="18"/>
          <w:szCs w:val="18"/>
        </w:rPr>
      </w:pPr>
      <w:r w:rsidRPr="004A5268">
        <w:rPr>
          <w:rFonts w:ascii="Tahoma" w:hAnsi="Tahoma" w:cs="Tahoma"/>
          <w:b/>
          <w:bCs/>
          <w:color w:val="000000"/>
          <w:sz w:val="18"/>
          <w:szCs w:val="18"/>
        </w:rPr>
        <w:t>CALs excedentes</w:t>
      </w:r>
    </w:p>
    <w:p w:rsidR="008A1637" w:rsidRPr="004A5268" w:rsidRDefault="008A1637" w:rsidP="00A1385C">
      <w:pPr>
        <w:pStyle w:val="AppendixBodyText"/>
        <w:numPr>
          <w:ilvl w:val="0"/>
          <w:numId w:val="76"/>
        </w:numPr>
        <w:spacing w:afterLines="60" w:after="144"/>
        <w:ind w:left="1800" w:right="720"/>
        <w:rPr>
          <w:rFonts w:ascii="Tahoma" w:hAnsi="Tahoma" w:cs="Tahoma"/>
          <w:sz w:val="18"/>
          <w:szCs w:val="18"/>
        </w:rPr>
      </w:pPr>
      <w:r w:rsidRPr="004A5268">
        <w:rPr>
          <w:rFonts w:ascii="Tahoma" w:hAnsi="Tahoma" w:cs="Tahoma"/>
          <w:color w:val="000000"/>
          <w:sz w:val="18"/>
          <w:szCs w:val="18"/>
        </w:rPr>
        <w:t xml:space="preserve">A transição entre CALs do Usuário e do Dispositivo, conforme permitido acima, poderia resultar em um excesso de CALs. Os clientes poderão transferir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 </w:t>
      </w:r>
    </w:p>
    <w:p w:rsidR="008A1637" w:rsidRPr="004A5268" w:rsidRDefault="008A1637" w:rsidP="00A1385C">
      <w:pPr>
        <w:pStyle w:val="AppendixFlushBulletedList"/>
        <w:numPr>
          <w:ilvl w:val="0"/>
          <w:numId w:val="75"/>
        </w:numPr>
        <w:ind w:left="1440" w:right="720"/>
        <w:rPr>
          <w:rFonts w:ascii="Tahoma" w:hAnsi="Tahoma" w:cs="Tahoma"/>
          <w:sz w:val="18"/>
          <w:szCs w:val="18"/>
        </w:rPr>
      </w:pPr>
      <w:r w:rsidRPr="004A5268">
        <w:rPr>
          <w:rFonts w:ascii="Tahoma" w:hAnsi="Tahoma" w:cs="Tahoma"/>
          <w:b/>
          <w:bCs/>
          <w:color w:val="000000"/>
          <w:sz w:val="18"/>
          <w:szCs w:val="18"/>
        </w:rPr>
        <w:t>MLs excedentes</w:t>
      </w:r>
    </w:p>
    <w:p w:rsidR="008A1637" w:rsidRPr="004A5268" w:rsidRDefault="008A1637" w:rsidP="00A1385C">
      <w:pPr>
        <w:pStyle w:val="AppendixBodyText"/>
        <w:numPr>
          <w:ilvl w:val="0"/>
          <w:numId w:val="76"/>
        </w:numPr>
        <w:spacing w:afterLines="60" w:after="144"/>
        <w:ind w:left="1800" w:right="720"/>
        <w:rPr>
          <w:rFonts w:ascii="Tahoma" w:hAnsi="Tahoma" w:cs="Tahoma"/>
          <w:sz w:val="18"/>
          <w:szCs w:val="18"/>
        </w:rPr>
      </w:pPr>
      <w:r w:rsidRPr="004A5268">
        <w:rPr>
          <w:rFonts w:ascii="Tahoma" w:hAnsi="Tahoma" w:cs="Tahoma"/>
          <w:color w:val="000000"/>
          <w:sz w:val="18"/>
          <w:szCs w:val="18"/>
        </w:rPr>
        <w:t>A transição entre MLs de cliente para Usuário e OSE, conforme permitido acima, poderia resultar em um excesso de MLs. Os clientes poderão transferir as MLs excedentes à medida que o número de usuários ou OSEs gerenciados aumentar. Na</w:t>
      </w:r>
      <w:r w:rsidR="003D7C23" w:rsidRPr="004A5268">
        <w:rPr>
          <w:rFonts w:ascii="Tahoma" w:hAnsi="Tahoma" w:cs="Tahoma"/>
          <w:color w:val="000000"/>
          <w:sz w:val="18"/>
          <w:szCs w:val="18"/>
        </w:rPr>
        <w:t> </w:t>
      </w:r>
      <w:r w:rsidRPr="004A5268">
        <w:rPr>
          <w:rFonts w:ascii="Tahoma" w:hAnsi="Tahoma" w:cs="Tahoma"/>
          <w:color w:val="000000"/>
          <w:sz w:val="18"/>
          <w:szCs w:val="18"/>
        </w:rPr>
        <w:t xml:space="preserve">época da renovação, os clientes poderão optar por manter o Software Assurance nas MLs excedentes. Os clientes não poderão renovar posteriormente o Software Assurance de qualquer ML excedente cuja cobertura tiver expirado. </w:t>
      </w:r>
    </w:p>
    <w:p w:rsidR="008A1637" w:rsidRPr="004A5268" w:rsidRDefault="008A1637" w:rsidP="00A1385C">
      <w:pPr>
        <w:pStyle w:val="AppendixFlushBulletedList"/>
        <w:numPr>
          <w:ilvl w:val="0"/>
          <w:numId w:val="75"/>
        </w:numPr>
        <w:ind w:left="1440" w:right="720"/>
        <w:rPr>
          <w:rFonts w:ascii="Tahoma" w:hAnsi="Tahoma" w:cs="Tahoma"/>
          <w:sz w:val="18"/>
          <w:szCs w:val="18"/>
        </w:rPr>
      </w:pPr>
      <w:r w:rsidRPr="004A5268">
        <w:rPr>
          <w:rFonts w:ascii="Tahoma" w:hAnsi="Tahoma" w:cs="Tahoma"/>
          <w:b/>
          <w:bCs/>
          <w:color w:val="000000"/>
          <w:sz w:val="18"/>
          <w:szCs w:val="18"/>
        </w:rPr>
        <w:t>Comprovante de Licenças</w:t>
      </w:r>
    </w:p>
    <w:p w:rsidR="007022C1" w:rsidRPr="003D7C23" w:rsidRDefault="008A1637" w:rsidP="00A1385C">
      <w:pPr>
        <w:pStyle w:val="AppendixBodyText"/>
        <w:numPr>
          <w:ilvl w:val="0"/>
          <w:numId w:val="76"/>
        </w:numPr>
        <w:spacing w:after="0"/>
        <w:ind w:left="1800" w:right="720"/>
        <w:rPr>
          <w:rFonts w:ascii="Tahoma" w:hAnsi="Tahoma" w:cs="Tahoma"/>
          <w:sz w:val="18"/>
          <w:szCs w:val="18"/>
        </w:rPr>
      </w:pPr>
      <w:r w:rsidRPr="003D7C23">
        <w:rPr>
          <w:rFonts w:ascii="Tahoma" w:hAnsi="Tahoma" w:cs="Tahoma"/>
          <w:color w:val="000000"/>
          <w:sz w:val="18"/>
          <w:szCs w:val="18"/>
        </w:rPr>
        <w:t>O direito de migrar para e utilizar CALs do Usuário é comprovado por esta Lista de Produtos, pelos registros do Software Assurance e pelas CALs básicas dos clientes. O</w:t>
      </w:r>
      <w:r w:rsidR="003D7C23">
        <w:rPr>
          <w:rFonts w:ascii="Tahoma" w:hAnsi="Tahoma" w:cs="Tahoma"/>
          <w:color w:val="000000"/>
          <w:sz w:val="18"/>
          <w:szCs w:val="18"/>
        </w:rPr>
        <w:t> </w:t>
      </w:r>
      <w:r w:rsidRPr="003D7C23">
        <w:rPr>
          <w:rFonts w:ascii="Tahoma" w:hAnsi="Tahoma" w:cs="Tahoma"/>
          <w:color w:val="000000"/>
          <w:sz w:val="18"/>
          <w:szCs w:val="18"/>
        </w:rPr>
        <w:t>direito de migrar para e utilizar MLs do Usuário é comprovado por esta Lista de Produtos, pelos registros do Software Assurance e pelas MLs básicas dos clientes.</w:t>
      </w:r>
    </w:p>
    <w:p w:rsidR="007022C1" w:rsidRPr="003D7C23" w:rsidRDefault="007022C1" w:rsidP="00944EE1">
      <w:pPr>
        <w:pStyle w:val="AppendixBodyText"/>
        <w:spacing w:after="0"/>
        <w:ind w:right="720"/>
        <w:rPr>
          <w:rFonts w:ascii="Tahoma" w:hAnsi="Tahoma" w:cs="Tahoma"/>
          <w:sz w:val="18"/>
          <w:szCs w:val="18"/>
        </w:rPr>
      </w:pPr>
    </w:p>
    <w:p w:rsidR="008A1637" w:rsidRPr="003D7C23" w:rsidRDefault="008A1637" w:rsidP="008A1637">
      <w:pPr>
        <w:pStyle w:val="Heading3"/>
        <w:ind w:right="720"/>
        <w:rPr>
          <w:rFonts w:ascii="Tahoma" w:hAnsi="Tahoma" w:cs="Tahoma"/>
          <w:sz w:val="24"/>
          <w:szCs w:val="24"/>
        </w:rPr>
      </w:pPr>
      <w:bookmarkStart w:id="920" w:name="_Toc323159782"/>
      <w:bookmarkStart w:id="921" w:name="_Toc336338251"/>
      <w:bookmarkStart w:id="922" w:name="_Toc370981366"/>
      <w:r w:rsidRPr="003D7C23">
        <w:rPr>
          <w:rFonts w:ascii="Tahoma" w:hAnsi="Tahoma" w:cs="Tahoma"/>
          <w:sz w:val="24"/>
          <w:szCs w:val="24"/>
        </w:rPr>
        <w:t>Restrições dos Controles de EI</w:t>
      </w:r>
      <w:bookmarkEnd w:id="920"/>
      <w:bookmarkEnd w:id="921"/>
      <w:bookmarkEnd w:id="922"/>
    </w:p>
    <w:p w:rsidR="008A1637" w:rsidRPr="004B208C" w:rsidRDefault="008A1637" w:rsidP="008A1637">
      <w:pPr>
        <w:ind w:right="720"/>
        <w:rPr>
          <w:rFonts w:cs="Tahoma"/>
        </w:rPr>
      </w:pPr>
    </w:p>
    <w:p w:rsidR="008A1637" w:rsidRPr="004B208C" w:rsidRDefault="008A1637" w:rsidP="008A1637">
      <w:pPr>
        <w:pStyle w:val="AppendixBodyText"/>
        <w:ind w:right="720"/>
        <w:rPr>
          <w:rFonts w:ascii="Tahoma" w:hAnsi="Tahoma" w:cs="Tahoma"/>
        </w:rPr>
      </w:pPr>
      <w:r w:rsidRPr="004B208C">
        <w:rPr>
          <w:rFonts w:ascii="Tahoma" w:hAnsi="Tahoma" w:cs="Tahoma"/>
          <w:sz w:val="18"/>
        </w:rPr>
        <w:t>A exportação de determinados produtos da Microsoft para fora dos Estados Unidos é regulamentada pelos</w:t>
      </w:r>
      <w:r w:rsidR="003D7C23">
        <w:rPr>
          <w:rFonts w:ascii="Tahoma" w:hAnsi="Tahoma" w:cs="Tahoma"/>
          <w:sz w:val="18"/>
        </w:rPr>
        <w:t> </w:t>
      </w:r>
      <w:r w:rsidRPr="004B208C">
        <w:rPr>
          <w:rFonts w:ascii="Tahoma" w:hAnsi="Tahoma" w:cs="Tahoma"/>
          <w:sz w:val="18"/>
        </w:rPr>
        <w:t>“Controles de EI” das Export Administration Regulations (Normas de Administração de Exportações) (EAR,</w:t>
      </w:r>
      <w:r w:rsidR="003D7C23">
        <w:rPr>
          <w:rFonts w:ascii="Tahoma" w:hAnsi="Tahoma" w:cs="Tahoma"/>
          <w:sz w:val="18"/>
        </w:rPr>
        <w:t> </w:t>
      </w:r>
      <w:r w:rsidRPr="004B208C">
        <w:rPr>
          <w:rFonts w:ascii="Tahoma" w:hAnsi="Tahoma" w:cs="Tahoma"/>
          <w:sz w:val="18"/>
        </w:rPr>
        <w:t xml:space="preserve">15 CFR 730-744) emitidas pelo BXA (Bureau de Administração de Exportações) do Departamento de Comércio dos EUA. Para obter mais informações, visite: </w:t>
      </w:r>
      <w:hyperlink r:id="rId32" w:history="1">
        <w:r w:rsidR="003D7C23">
          <w:rPr>
            <w:rStyle w:val="Hyperlink"/>
            <w:rFonts w:ascii="Tahoma" w:hAnsi="Tahoma" w:cs="Tahoma"/>
            <w:sz w:val="18"/>
          </w:rPr>
          <w:t>www.microsoft.com/products/exporting/basics.htm</w:t>
        </w:r>
      </w:hyperlink>
    </w:p>
    <w:p w:rsidR="008A1637" w:rsidRDefault="008A1637" w:rsidP="008A1637">
      <w:pPr>
        <w:rPr>
          <w:rFonts w:cs="Tahoma"/>
        </w:rPr>
      </w:pPr>
    </w:p>
    <w:p w:rsidR="003D7C23" w:rsidRPr="004B208C" w:rsidRDefault="003D7C23" w:rsidP="008A1637">
      <w:pPr>
        <w:rPr>
          <w:rFonts w:cs="Tahoma"/>
        </w:rPr>
      </w:pPr>
    </w:p>
    <w:p w:rsidR="008A1637" w:rsidRPr="004B208C" w:rsidRDefault="008A1637" w:rsidP="00944EE1">
      <w:pPr>
        <w:pStyle w:val="Heading3"/>
        <w:spacing w:after="60"/>
        <w:ind w:right="720"/>
        <w:rPr>
          <w:rFonts w:ascii="Tahoma" w:hAnsi="Tahoma" w:cs="Tahoma"/>
        </w:rPr>
      </w:pPr>
      <w:bookmarkStart w:id="923" w:name="_Toc323159783"/>
      <w:bookmarkStart w:id="924" w:name="_Toc336338252"/>
      <w:bookmarkStart w:id="925" w:name="_Toc370981367"/>
      <w:r w:rsidRPr="004B208C">
        <w:rPr>
          <w:rFonts w:ascii="Tahoma" w:hAnsi="Tahoma" w:cs="Tahoma"/>
          <w:bCs/>
        </w:rPr>
        <w:lastRenderedPageBreak/>
        <w:t>Pacotes Multilíngues (MLPs), funcionalidade de MUIs (Multilanguage User Interface) e direitos a novos idiomas</w:t>
      </w:r>
      <w:bookmarkEnd w:id="923"/>
      <w:bookmarkEnd w:id="924"/>
      <w:bookmarkEnd w:id="925"/>
    </w:p>
    <w:p w:rsidR="008A1637" w:rsidRPr="004B208C" w:rsidRDefault="008A1637" w:rsidP="008A1637">
      <w:pPr>
        <w:rPr>
          <w:rFonts w:cs="Tahoma"/>
        </w:rPr>
      </w:pPr>
      <w:r w:rsidRPr="004B208C">
        <w:rPr>
          <w:rFonts w:cs="Tahoma"/>
        </w:rPr>
        <w:t>Os MLPs e MUIs permitem que os clientes executem e alternem entre diferentes versões de idioma dos produtos licenciados.</w:t>
      </w:r>
      <w:r w:rsidR="00172F11">
        <w:rPr>
          <w:rFonts w:cs="Tahoma"/>
        </w:rPr>
        <w:t xml:space="preserve"> </w:t>
      </w:r>
      <w:r w:rsidRPr="004B208C">
        <w:rPr>
          <w:rFonts w:cs="Tahoma"/>
        </w:rPr>
        <w:t>O direito de usar MLPs e MUIs varia de acordo com o produto, o programa e o tipo de licença.</w:t>
      </w:r>
      <w:r w:rsidR="00172F11">
        <w:rPr>
          <w:rFonts w:cs="Tahoma"/>
        </w:rPr>
        <w:t xml:space="preserve"> </w:t>
      </w:r>
    </w:p>
    <w:p w:rsidR="008A1637" w:rsidRPr="003D7C23" w:rsidRDefault="008A1637" w:rsidP="008A1637">
      <w:pPr>
        <w:pStyle w:val="Heading3"/>
        <w:ind w:right="720"/>
        <w:rPr>
          <w:rFonts w:ascii="Tahoma" w:hAnsi="Tahoma" w:cs="Tahoma"/>
          <w:b w:val="0"/>
          <w:sz w:val="18"/>
          <w:szCs w:val="18"/>
        </w:rPr>
      </w:pPr>
    </w:p>
    <w:p w:rsidR="008A1637" w:rsidRPr="004B208C" w:rsidRDefault="008A1637" w:rsidP="007022C1">
      <w:pPr>
        <w:numPr>
          <w:ilvl w:val="0"/>
          <w:numId w:val="17"/>
        </w:numPr>
        <w:tabs>
          <w:tab w:val="left" w:pos="1440"/>
        </w:tabs>
        <w:spacing w:after="60"/>
        <w:rPr>
          <w:rFonts w:cs="Tahoma"/>
        </w:rPr>
      </w:pPr>
      <w:r w:rsidRPr="004B208C">
        <w:rPr>
          <w:rFonts w:cs="Tahoma"/>
        </w:rPr>
        <w:t>No caso da maioria dos produtos de servidor (por exemplo, Windows Server), o MUI está incluído no produto básico. O clientes que licenciarem esses produtos poderão usar o MUI sujeitos aos direitos de uso desses produtos.</w:t>
      </w:r>
      <w:r w:rsidR="00172F11">
        <w:rPr>
          <w:rFonts w:cs="Tahoma"/>
        </w:rPr>
        <w:t xml:space="preserve"> </w:t>
      </w:r>
    </w:p>
    <w:p w:rsidR="008A1637" w:rsidRPr="004B208C" w:rsidRDefault="008A1637" w:rsidP="007022C1">
      <w:pPr>
        <w:numPr>
          <w:ilvl w:val="0"/>
          <w:numId w:val="17"/>
        </w:numPr>
        <w:tabs>
          <w:tab w:val="left" w:pos="1440"/>
        </w:tabs>
        <w:spacing w:after="60"/>
        <w:rPr>
          <w:rFonts w:cs="Tahoma"/>
        </w:rPr>
      </w:pPr>
      <w:r w:rsidRPr="004B208C">
        <w:rPr>
          <w:rFonts w:cs="Tahoma"/>
          <w:szCs w:val="18"/>
        </w:rPr>
        <w:t>N</w:t>
      </w:r>
      <w:r w:rsidRPr="004B208C">
        <w:rPr>
          <w:rFonts w:cs="Tahoma"/>
        </w:rPr>
        <w:t>o caso de produtos (exceto servidores) e pacotes do Office System, a partir de 1° de outubro de</w:t>
      </w:r>
      <w:r w:rsidR="003D7C23">
        <w:rPr>
          <w:rFonts w:cs="Tahoma"/>
        </w:rPr>
        <w:t> </w:t>
      </w:r>
      <w:r w:rsidRPr="004B208C">
        <w:rPr>
          <w:rFonts w:cs="Tahoma"/>
        </w:rPr>
        <w:t xml:space="preserve">2008, o direito de usar o MLP está disponível para os clientes com cobertura do Software Assurance ativa sobre licenças qualificadas (para obter detalhes, consulte a Seção 6). Em certos programas (por exemplo, Select), MLPs para produtos e pacotes do Office System continuam disponíveis separadamente fora do Software Assurance. </w:t>
      </w:r>
    </w:p>
    <w:p w:rsidR="008A1637" w:rsidRPr="004B208C" w:rsidRDefault="008A1637" w:rsidP="007022C1">
      <w:pPr>
        <w:numPr>
          <w:ilvl w:val="0"/>
          <w:numId w:val="17"/>
        </w:numPr>
        <w:spacing w:after="60"/>
        <w:rPr>
          <w:rFonts w:cs="Tahoma"/>
        </w:rPr>
      </w:pPr>
      <w:r w:rsidRPr="004B208C">
        <w:rPr>
          <w:rFonts w:cs="Tahoma"/>
        </w:rPr>
        <w:t>No caso do Windows 8, o MUI está incluído no Windows 8 Pro.</w:t>
      </w:r>
      <w:r w:rsidR="00172F11">
        <w:rPr>
          <w:rFonts w:cs="Tahoma"/>
        </w:rPr>
        <w:t xml:space="preserve"> </w:t>
      </w:r>
    </w:p>
    <w:p w:rsidR="008A1637" w:rsidRPr="004B208C" w:rsidRDefault="008A1637" w:rsidP="008A1637">
      <w:pPr>
        <w:rPr>
          <w:rFonts w:cs="Tahoma"/>
        </w:rPr>
      </w:pPr>
    </w:p>
    <w:p w:rsidR="008A1637" w:rsidRPr="004B208C" w:rsidRDefault="008A1637" w:rsidP="008A1637">
      <w:pPr>
        <w:rPr>
          <w:rFonts w:cs="Tahoma"/>
        </w:rPr>
      </w:pPr>
      <w:r w:rsidRPr="004B208C">
        <w:rPr>
          <w:rFonts w:cs="Tahoma"/>
        </w:rPr>
        <w:t>As versões de idioma com as quais os clientes têm permissão de usar MUIs and MLPs também variam por programa, produto e região.</w:t>
      </w:r>
      <w:r w:rsidR="00172F11">
        <w:rPr>
          <w:rFonts w:cs="Tahoma"/>
        </w:rPr>
        <w:t xml:space="preserve"> </w:t>
      </w:r>
    </w:p>
    <w:p w:rsidR="008A1637" w:rsidRPr="004A5268" w:rsidRDefault="008A1637" w:rsidP="008A1637">
      <w:pPr>
        <w:pStyle w:val="Heading3"/>
        <w:ind w:right="720"/>
        <w:rPr>
          <w:rFonts w:ascii="Tahoma" w:hAnsi="Tahoma" w:cs="Tahoma"/>
          <w:b w:val="0"/>
          <w:sz w:val="18"/>
          <w:szCs w:val="18"/>
        </w:rPr>
      </w:pPr>
    </w:p>
    <w:p w:rsidR="008A1637" w:rsidRPr="004B208C" w:rsidRDefault="008A1637" w:rsidP="00A60432">
      <w:pPr>
        <w:numPr>
          <w:ilvl w:val="0"/>
          <w:numId w:val="18"/>
        </w:numPr>
        <w:tabs>
          <w:tab w:val="clear" w:pos="1080"/>
          <w:tab w:val="num" w:pos="1440"/>
        </w:tabs>
        <w:ind w:left="1440"/>
        <w:rPr>
          <w:rFonts w:cs="Tahoma"/>
        </w:rPr>
      </w:pPr>
      <w:r w:rsidRPr="004B208C">
        <w:rPr>
          <w:rFonts w:cs="Tahoma"/>
        </w:rPr>
        <w:t>A partir de 1° de outubro de 2008, os clientes que adquirirem o direito de usar MUIs e MLPs de</w:t>
      </w:r>
      <w:r w:rsidR="003D7C23">
        <w:rPr>
          <w:rFonts w:cs="Tahoma"/>
        </w:rPr>
        <w:t> </w:t>
      </w:r>
      <w:r w:rsidRPr="004B208C">
        <w:rPr>
          <w:rFonts w:cs="Tahoma"/>
        </w:rPr>
        <w:t>acordo com o Contrato Enterprise, Contrato Enterprise Subscription, Open Value (para toda a</w:t>
      </w:r>
      <w:r w:rsidR="003D7C23">
        <w:rPr>
          <w:rFonts w:cs="Tahoma"/>
        </w:rPr>
        <w:t> </w:t>
      </w:r>
      <w:r w:rsidRPr="004B208C">
        <w:rPr>
          <w:rFonts w:cs="Tahoma"/>
        </w:rPr>
        <w:t>Organização/Empresa) ou Open Value Subscription poderão usar essa funcionalidade com produtos licenciados</w:t>
      </w:r>
      <w:r w:rsidRPr="004B208C">
        <w:rPr>
          <w:rFonts w:cs="Tahoma"/>
          <w:b/>
        </w:rPr>
        <w:t xml:space="preserve"> </w:t>
      </w:r>
      <w:r w:rsidRPr="004B208C">
        <w:rPr>
          <w:rFonts w:cs="Tahoma"/>
          <w:b/>
          <w:u w:val="single"/>
        </w:rPr>
        <w:t>em todas as versões de idioma</w:t>
      </w:r>
      <w:r w:rsidRPr="004B208C">
        <w:rPr>
          <w:rFonts w:cs="Tahoma"/>
          <w:b/>
        </w:rPr>
        <w:t xml:space="preserve"> </w:t>
      </w:r>
      <w:r w:rsidRPr="004B208C">
        <w:rPr>
          <w:rFonts w:cs="Tahoma"/>
        </w:rPr>
        <w:t>não obstante quaisquer limitações nesses</w:t>
      </w:r>
      <w:r w:rsidR="00A60432">
        <w:rPr>
          <w:rFonts w:cs="Tahoma"/>
        </w:rPr>
        <w:t> </w:t>
      </w:r>
      <w:r w:rsidRPr="004B208C">
        <w:rPr>
          <w:rFonts w:cs="Tahoma"/>
        </w:rPr>
        <w:t xml:space="preserve">contratos quanto ao uso de determinados idiomas. </w:t>
      </w:r>
    </w:p>
    <w:p w:rsidR="008A1637" w:rsidRPr="004A5268" w:rsidRDefault="008A1637" w:rsidP="008A1637">
      <w:pPr>
        <w:pStyle w:val="Heading3"/>
        <w:ind w:right="720"/>
        <w:rPr>
          <w:rFonts w:ascii="Tahoma" w:hAnsi="Tahoma" w:cs="Tahoma"/>
          <w:b w:val="0"/>
          <w:sz w:val="18"/>
          <w:szCs w:val="18"/>
        </w:rPr>
      </w:pPr>
    </w:p>
    <w:p w:rsidR="008A1637" w:rsidRPr="004B208C" w:rsidRDefault="008A1637" w:rsidP="008A1637">
      <w:pPr>
        <w:rPr>
          <w:rFonts w:cs="Tahoma"/>
        </w:rPr>
      </w:pPr>
      <w:r w:rsidRPr="004B208C">
        <w:rPr>
          <w:rFonts w:cs="Tahoma"/>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w:t>
      </w:r>
      <w:r w:rsidR="00172F11">
        <w:rPr>
          <w:rFonts w:cs="Tahoma"/>
        </w:rPr>
        <w:t xml:space="preserve"> </w:t>
      </w:r>
      <w:r w:rsidRPr="004B208C">
        <w:rPr>
          <w:rFonts w:cs="Tahoma"/>
        </w:rPr>
        <w:t>Por exemplo, se uma versão de idioma local de um produto estiver licenciada a um preço diferente na lista de preços do cliente, o direito desse cliente de usar outras versões de idioma no lugar daquela versão (com ou sem a funcionalidade MUI ou MLP) poderá ser limitado.</w:t>
      </w:r>
      <w:r w:rsidR="00172F11">
        <w:rPr>
          <w:rFonts w:cs="Tahoma"/>
        </w:rPr>
        <w:t xml:space="preserve"> </w:t>
      </w:r>
      <w:r w:rsidRPr="004B208C">
        <w:rPr>
          <w:rFonts w:cs="Tahoma"/>
        </w:rPr>
        <w:t xml:space="preserve">Os clientes devem examinar o Contrato de Licença ou consultar o Revendedor ou o Gerente de Conta Microsoft para obter mais informações sobre o direito de usar outros idiomas. </w:t>
      </w:r>
    </w:p>
    <w:p w:rsidR="007022C1" w:rsidRPr="004B208C" w:rsidRDefault="007022C1" w:rsidP="008A1637">
      <w:pPr>
        <w:rPr>
          <w:rFonts w:cs="Tahoma"/>
        </w:rPr>
      </w:pPr>
    </w:p>
    <w:p w:rsidR="008A1637" w:rsidRPr="004B208C" w:rsidRDefault="008A1637" w:rsidP="007022C1">
      <w:pPr>
        <w:pStyle w:val="Heading2"/>
        <w:ind w:left="0"/>
        <w:rPr>
          <w:rFonts w:ascii="Tahoma" w:hAnsi="Tahoma" w:cs="Tahoma"/>
        </w:rPr>
      </w:pPr>
      <w:bookmarkStart w:id="926" w:name="_Toc323159784"/>
      <w:bookmarkStart w:id="927" w:name="_Toc336338253"/>
      <w:bookmarkStart w:id="928" w:name="_Toc370981368"/>
      <w:r w:rsidRPr="004B208C">
        <w:rPr>
          <w:rFonts w:ascii="Tahoma" w:hAnsi="Tahoma" w:cs="Tahoma"/>
        </w:rPr>
        <w:t>Licenças independentes da plataforma</w:t>
      </w:r>
      <w:bookmarkEnd w:id="926"/>
      <w:bookmarkEnd w:id="927"/>
      <w:bookmarkEnd w:id="928"/>
    </w:p>
    <w:p w:rsidR="008A1637" w:rsidRPr="004B208C" w:rsidRDefault="008A1637" w:rsidP="007022C1">
      <w:pPr>
        <w:tabs>
          <w:tab w:val="num" w:pos="0"/>
        </w:tabs>
        <w:ind w:right="720"/>
        <w:rPr>
          <w:rFonts w:cs="Tahoma"/>
        </w:rPr>
      </w:pPr>
    </w:p>
    <w:p w:rsidR="008A1637" w:rsidRPr="003D7C23" w:rsidRDefault="008A1637" w:rsidP="007022C1">
      <w:pPr>
        <w:pStyle w:val="AppendixBodyText"/>
        <w:spacing w:after="0"/>
        <w:ind w:right="720"/>
        <w:rPr>
          <w:rFonts w:ascii="Tahoma" w:hAnsi="Tahoma" w:cs="Tahoma"/>
          <w:sz w:val="18"/>
          <w:szCs w:val="18"/>
        </w:rPr>
      </w:pPr>
      <w:r w:rsidRPr="003D7C23">
        <w:rPr>
          <w:rFonts w:ascii="Tahoma" w:hAnsi="Tahoma" w:cs="Tahoma"/>
          <w:color w:val="000000"/>
          <w:sz w:val="18"/>
          <w:szCs w:val="18"/>
        </w:rPr>
        <w:t>Microsoft Office Standard, Office Professional Plus, Word, Excel, PowerPoint, Outlook, Lync, Office para Mac, Word para Mac, Excel para Mac, PowerPoint para Mac, Lync para Mac e Outlook para Mac são licenças “independentes da plataforma”.</w:t>
      </w:r>
      <w:r w:rsidR="00172F11" w:rsidRPr="003D7C23">
        <w:rPr>
          <w:rFonts w:ascii="Tahoma" w:hAnsi="Tahoma" w:cs="Tahoma"/>
          <w:color w:val="000000"/>
          <w:sz w:val="18"/>
          <w:szCs w:val="18"/>
        </w:rPr>
        <w:t xml:space="preserve"> </w:t>
      </w:r>
      <w:r w:rsidRPr="003D7C23">
        <w:rPr>
          <w:rFonts w:ascii="Tahoma" w:hAnsi="Tahoma" w:cs="Tahoma"/>
          <w:color w:val="000000"/>
          <w:sz w:val="18"/>
          <w:szCs w:val="18"/>
        </w:rPr>
        <w:t>Uma licença independente da plataforma permite que um produto seja usado em qualquer plataforma de computador (por exemplo, PC, Macintosh) em que o software seja executado, desde que a versão usada seja igual ou anterior à versão original que foi licenciada.</w:t>
      </w:r>
      <w:r w:rsidR="00172F11" w:rsidRPr="003D7C23">
        <w:rPr>
          <w:rFonts w:ascii="Tahoma" w:hAnsi="Tahoma" w:cs="Tahoma"/>
          <w:color w:val="000000"/>
          <w:sz w:val="18"/>
          <w:szCs w:val="18"/>
        </w:rPr>
        <w:t xml:space="preserve"> </w:t>
      </w:r>
      <w:r w:rsidRPr="003D7C23">
        <w:rPr>
          <w:rFonts w:ascii="Tahoma" w:hAnsi="Tahoma" w:cs="Tahoma"/>
          <w:color w:val="000000"/>
          <w:sz w:val="18"/>
          <w:szCs w:val="18"/>
        </w:rPr>
        <w:t>Por exemplo, um cliente licenciado para o Office para Mac Standard 2011 pode optar pelo uso dessa licença para executar o Office Standard 2010 para Windows.</w:t>
      </w:r>
    </w:p>
    <w:p w:rsidR="008A1637" w:rsidRPr="003D7C23" w:rsidRDefault="008A1637" w:rsidP="007022C1">
      <w:pPr>
        <w:pStyle w:val="AppendixBodyText"/>
        <w:spacing w:after="0"/>
        <w:rPr>
          <w:rFonts w:ascii="Tahoma" w:hAnsi="Tahoma" w:cs="Tahoma"/>
          <w:sz w:val="18"/>
          <w:szCs w:val="18"/>
        </w:rPr>
      </w:pPr>
    </w:p>
    <w:p w:rsidR="008A1637" w:rsidRPr="003D7C23" w:rsidRDefault="008A1637" w:rsidP="007022C1">
      <w:pPr>
        <w:pStyle w:val="AppendixBodyText"/>
        <w:spacing w:after="0"/>
        <w:ind w:right="720"/>
        <w:rPr>
          <w:rFonts w:ascii="Tahoma" w:hAnsi="Tahoma" w:cs="Tahoma"/>
          <w:sz w:val="18"/>
          <w:szCs w:val="18"/>
        </w:rPr>
      </w:pPr>
      <w:r w:rsidRPr="003D7C23">
        <w:rPr>
          <w:rFonts w:ascii="Tahoma" w:hAnsi="Tahoma" w:cs="Tahoma"/>
          <w:color w:val="000000"/>
          <w:sz w:val="18"/>
          <w:szCs w:val="18"/>
        </w:rPr>
        <w:t>Os componentes de um pacote de produtos poderão variar de acordo com a versão da plataforma. Você poderá usar os componentes do pacote escolhidos para implantação e somente esses componentes. Por exemplo, se um cliente licenciado para o Office para Mac Standard 2011 optar pela execução do Office Standard 2010, o cliente poderá executar somente os componentes incluídos no Office Standard 2010, e</w:t>
      </w:r>
      <w:r w:rsidR="004A5268">
        <w:rPr>
          <w:rFonts w:ascii="Tahoma" w:hAnsi="Tahoma" w:cs="Tahoma"/>
          <w:color w:val="000000"/>
          <w:sz w:val="18"/>
          <w:szCs w:val="18"/>
        </w:rPr>
        <w:t> </w:t>
      </w:r>
      <w:r w:rsidRPr="003D7C23">
        <w:rPr>
          <w:rFonts w:ascii="Tahoma" w:hAnsi="Tahoma" w:cs="Tahoma"/>
          <w:color w:val="000000"/>
          <w:sz w:val="18"/>
          <w:szCs w:val="18"/>
        </w:rPr>
        <w:t>não terá o direito de executar o Lync, mas terá o direito de executar o OneNote.</w:t>
      </w:r>
    </w:p>
    <w:p w:rsidR="008A1637" w:rsidRPr="003D7C23" w:rsidRDefault="008A1637" w:rsidP="007022C1">
      <w:pPr>
        <w:pStyle w:val="AppendixBodyText"/>
        <w:spacing w:after="0"/>
        <w:ind w:right="720"/>
        <w:rPr>
          <w:rFonts w:ascii="Tahoma" w:hAnsi="Tahoma" w:cs="Tahoma"/>
          <w:sz w:val="18"/>
          <w:szCs w:val="18"/>
        </w:rPr>
      </w:pPr>
      <w:r w:rsidRPr="003D7C23">
        <w:rPr>
          <w:rFonts w:ascii="Tahoma" w:hAnsi="Tahoma" w:cs="Tahoma"/>
          <w:color w:val="000000"/>
          <w:sz w:val="18"/>
          <w:szCs w:val="18"/>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rsidR="008A1637" w:rsidRPr="004B208C" w:rsidRDefault="008A1637" w:rsidP="007022C1">
      <w:pPr>
        <w:tabs>
          <w:tab w:val="left" w:pos="360"/>
        </w:tabs>
        <w:ind w:right="720"/>
        <w:rPr>
          <w:rFonts w:cs="Tahoma"/>
        </w:rPr>
      </w:pPr>
    </w:p>
    <w:p w:rsidR="008A1637" w:rsidRPr="003D7C23" w:rsidRDefault="008A1637" w:rsidP="007022C1">
      <w:pPr>
        <w:pStyle w:val="AppendixBodyText"/>
        <w:spacing w:after="0"/>
        <w:ind w:right="720"/>
        <w:rPr>
          <w:rFonts w:ascii="Tahoma" w:hAnsi="Tahoma" w:cs="Tahoma"/>
          <w:sz w:val="18"/>
          <w:szCs w:val="18"/>
        </w:rPr>
      </w:pPr>
      <w:r w:rsidRPr="003D7C23">
        <w:rPr>
          <w:rFonts w:ascii="Tahoma" w:hAnsi="Tahoma" w:cs="Tahoma"/>
          <w:sz w:val="18"/>
          <w:szCs w:val="18"/>
        </w:rPr>
        <w:lastRenderedPageBreak/>
        <w:t>O Microsoft SQL Server é uma licença “independente da plataforma”. Uma licença independente da plataforma permite que um produto específico seja usado em qualquer plataforma de computador em que o</w:t>
      </w:r>
      <w:r w:rsidR="003D7C23">
        <w:rPr>
          <w:rFonts w:ascii="Tahoma" w:hAnsi="Tahoma" w:cs="Tahoma"/>
          <w:sz w:val="18"/>
          <w:szCs w:val="18"/>
        </w:rPr>
        <w:t> </w:t>
      </w:r>
      <w:r w:rsidRPr="003D7C23">
        <w:rPr>
          <w:rFonts w:ascii="Tahoma" w:hAnsi="Tahoma" w:cs="Tahoma"/>
          <w:sz w:val="18"/>
          <w:szCs w:val="18"/>
        </w:rPr>
        <w:t>software seja executado, desde que a versão seja igual ou anterior à versão original que foi licenciada.</w:t>
      </w:r>
    </w:p>
    <w:p w:rsidR="008A1637" w:rsidRPr="003D7C23" w:rsidRDefault="008A1637" w:rsidP="007022C1">
      <w:pPr>
        <w:pStyle w:val="AppendixBodyText"/>
        <w:spacing w:after="0"/>
        <w:ind w:right="720"/>
        <w:rPr>
          <w:rFonts w:ascii="Tahoma" w:hAnsi="Tahoma" w:cs="Tahoma"/>
          <w:sz w:val="18"/>
          <w:szCs w:val="18"/>
        </w:rPr>
      </w:pPr>
    </w:p>
    <w:p w:rsidR="008A1637" w:rsidRPr="003D7C23" w:rsidRDefault="008A1637" w:rsidP="007022C1">
      <w:pPr>
        <w:pStyle w:val="AppendixBodyText"/>
        <w:spacing w:after="0"/>
        <w:ind w:right="720"/>
        <w:rPr>
          <w:rFonts w:ascii="Tahoma" w:hAnsi="Tahoma" w:cs="Tahoma"/>
          <w:sz w:val="18"/>
          <w:szCs w:val="18"/>
        </w:rPr>
      </w:pPr>
      <w:r w:rsidRPr="003D7C23">
        <w:rPr>
          <w:rFonts w:ascii="Tahoma" w:hAnsi="Tahoma" w:cs="Tahoma"/>
          <w:sz w:val="18"/>
          <w:szCs w:val="18"/>
        </w:rPr>
        <w:t>Além disso, um cliente que registrar uma licença independente da plataforma no Software Assurance está qualificado para usar a versão mais atual desse produto particular que esteja disponível durante o prazo da</w:t>
      </w:r>
      <w:r w:rsidR="003D7C23">
        <w:rPr>
          <w:rFonts w:ascii="Tahoma" w:hAnsi="Tahoma" w:cs="Tahoma"/>
          <w:sz w:val="18"/>
          <w:szCs w:val="18"/>
        </w:rPr>
        <w:t> </w:t>
      </w:r>
      <w:r w:rsidRPr="003D7C23">
        <w:rPr>
          <w:rFonts w:ascii="Tahoma" w:hAnsi="Tahoma" w:cs="Tahoma"/>
          <w:sz w:val="18"/>
          <w:szCs w:val="18"/>
        </w:rPr>
        <w:t>cobertura de Software Assurance, seja qual for a plataforma (desde que somente uma versão seja instalada/usada de cada vez).</w:t>
      </w:r>
    </w:p>
    <w:p w:rsidR="00973A93" w:rsidRPr="004B208C" w:rsidRDefault="00973A93">
      <w:pPr>
        <w:rPr>
          <w:rFonts w:cs="Tahoma"/>
        </w:rPr>
      </w:pPr>
      <w:bookmarkStart w:id="929" w:name="_Toc336338254"/>
    </w:p>
    <w:p w:rsidR="008A1637" w:rsidRPr="004B208C" w:rsidRDefault="008A1637" w:rsidP="001760D6">
      <w:pPr>
        <w:pStyle w:val="Heading2"/>
        <w:keepNext/>
        <w:ind w:left="0"/>
        <w:rPr>
          <w:rFonts w:ascii="Tahoma" w:hAnsi="Tahoma" w:cs="Tahoma"/>
        </w:rPr>
      </w:pPr>
      <w:bookmarkStart w:id="930" w:name="_Toc370981369"/>
      <w:r w:rsidRPr="004B208C">
        <w:rPr>
          <w:rFonts w:ascii="Tahoma" w:hAnsi="Tahoma" w:cs="Tahoma"/>
        </w:rPr>
        <w:t>Chaves de Produto em Licenças por Volume</w:t>
      </w:r>
      <w:bookmarkEnd w:id="929"/>
      <w:bookmarkEnd w:id="930"/>
    </w:p>
    <w:p w:rsidR="008A1637" w:rsidRPr="004B208C" w:rsidRDefault="008A1637" w:rsidP="001760D6">
      <w:pPr>
        <w:keepNext/>
        <w:spacing w:after="60"/>
        <w:ind w:right="720"/>
        <w:rPr>
          <w:rFonts w:cs="Tahoma"/>
        </w:rPr>
      </w:pPr>
    </w:p>
    <w:p w:rsidR="008A1637" w:rsidRPr="004B208C" w:rsidRDefault="004829AF" w:rsidP="007022C1">
      <w:pPr>
        <w:ind w:right="720"/>
        <w:rPr>
          <w:rFonts w:cs="Tahoma"/>
        </w:rPr>
      </w:pPr>
      <w:r w:rsidRPr="004B208C">
        <w:rPr>
          <w:rFonts w:cs="Tahoma"/>
          <w:color w:val="000000"/>
          <w:szCs w:val="18"/>
        </w:rPr>
        <w:t>As chaves de produto (Product Keys) habilitam as organizações a utilizarem o software e os produtos que licenciaram.</w:t>
      </w:r>
      <w:r w:rsidR="00172F11">
        <w:rPr>
          <w:rFonts w:cs="Tahoma"/>
          <w:color w:val="000000"/>
          <w:szCs w:val="18"/>
        </w:rPr>
        <w:t xml:space="preserve"> </w:t>
      </w:r>
      <w:r w:rsidRPr="004B208C">
        <w:rPr>
          <w:rFonts w:cs="Tahoma"/>
          <w:color w:val="000000"/>
          <w:szCs w:val="18"/>
        </w:rPr>
        <w:t>Todas as chaves de produto são emitidas para um cliente de acordo com um contrato de licença específico.</w:t>
      </w:r>
      <w:r w:rsidR="00172F11">
        <w:rPr>
          <w:rFonts w:cs="Tahoma"/>
          <w:color w:val="000000"/>
          <w:szCs w:val="18"/>
        </w:rPr>
        <w:t xml:space="preserve"> </w:t>
      </w:r>
      <w:r w:rsidRPr="004B208C">
        <w:rPr>
          <w:rFonts w:cs="Tahoma"/>
          <w:color w:val="000000"/>
          <w:szCs w:val="18"/>
        </w:rPr>
        <w:t xml:space="preserve">Para obter as chaves de produto, visite os sites </w:t>
      </w:r>
      <w:hyperlink r:id="rId33" w:history="1">
        <w:r w:rsidRPr="004B208C">
          <w:rPr>
            <w:rStyle w:val="Hyperlink"/>
            <w:rFonts w:cs="Tahoma"/>
            <w:szCs w:val="18"/>
          </w:rPr>
          <w:t>Microsoft Volume Licensing Service Center (VLSC)</w:t>
        </w:r>
      </w:hyperlink>
      <w:r w:rsidRPr="004B208C">
        <w:rPr>
          <w:rFonts w:cs="Tahoma"/>
          <w:color w:val="000000"/>
          <w:szCs w:val="18"/>
        </w:rPr>
        <w:t xml:space="preserve">. Você também pode ligar para o </w:t>
      </w:r>
      <w:hyperlink r:id="rId34" w:history="1">
        <w:r w:rsidRPr="004B208C">
          <w:rPr>
            <w:rStyle w:val="Hyperlink"/>
            <w:rFonts w:cs="Tahoma"/>
            <w:szCs w:val="18"/>
          </w:rPr>
          <w:t>Centro de Ativação de Licenciamento por Volume da Microsoft</w:t>
        </w:r>
      </w:hyperlink>
      <w:r w:rsidRPr="004B208C">
        <w:rPr>
          <w:rFonts w:cs="Tahoma"/>
          <w:color w:val="0070C0"/>
          <w:szCs w:val="18"/>
        </w:rPr>
        <w:t>.</w:t>
      </w:r>
      <w:r w:rsidRPr="004B208C">
        <w:rPr>
          <w:rFonts w:cs="Tahoma"/>
          <w:color w:val="000000"/>
          <w:szCs w:val="18"/>
        </w:rPr>
        <w:t xml:space="preserve"> </w:t>
      </w:r>
    </w:p>
    <w:p w:rsidR="008A1637" w:rsidRPr="004B208C" w:rsidRDefault="008A1637" w:rsidP="007022C1">
      <w:pPr>
        <w:ind w:right="720"/>
        <w:rPr>
          <w:rFonts w:cs="Tahoma"/>
        </w:rPr>
      </w:pPr>
    </w:p>
    <w:p w:rsidR="008A1637" w:rsidRPr="004B208C" w:rsidRDefault="008A1637" w:rsidP="007022C1">
      <w:pPr>
        <w:ind w:right="720"/>
        <w:rPr>
          <w:rFonts w:cs="Tahoma"/>
        </w:rPr>
      </w:pPr>
      <w:r w:rsidRPr="004B208C">
        <w:rPr>
          <w:rFonts w:cs="Tahoma"/>
          <w:color w:val="000000"/>
          <w:szCs w:val="18"/>
        </w:rPr>
        <w:t xml:space="preserve">Para ver uma lista de produtos do Licenciamento por Volume que requerem chaves de produto e obter informações adicionais, consulte: </w:t>
      </w:r>
      <w:hyperlink r:id="rId35" w:history="1">
        <w:r w:rsidR="003D7C23">
          <w:rPr>
            <w:rStyle w:val="Hyperlink"/>
            <w:szCs w:val="18"/>
          </w:rPr>
          <w:t>http://www.microsoft.com/licensing/resources/vol/volumelicensekey/default.mspx</w:t>
        </w:r>
      </w:hyperlink>
      <w:r w:rsidRPr="004B208C">
        <w:rPr>
          <w:rFonts w:cs="Tahoma"/>
          <w:szCs w:val="18"/>
        </w:rPr>
        <w:t>.</w:t>
      </w:r>
      <w:r w:rsidRPr="004B208C">
        <w:rPr>
          <w:rFonts w:cs="Tahoma"/>
          <w:color w:val="000000"/>
          <w:szCs w:val="18"/>
        </w:rPr>
        <w:t xml:space="preserve"> </w:t>
      </w:r>
    </w:p>
    <w:p w:rsidR="008A1637" w:rsidRPr="004B208C" w:rsidRDefault="008A1637" w:rsidP="007022C1">
      <w:pPr>
        <w:ind w:right="720"/>
        <w:rPr>
          <w:rFonts w:cs="Tahoma"/>
        </w:rPr>
      </w:pPr>
      <w:r w:rsidRPr="004B208C">
        <w:rPr>
          <w:rFonts w:cs="Tahoma"/>
          <w:color w:val="1F497D"/>
          <w:szCs w:val="18"/>
        </w:rPr>
        <w:br/>
      </w:r>
      <w:r w:rsidRPr="004B208C">
        <w:rPr>
          <w:rFonts w:cs="Tahoma"/>
          <w:color w:val="000000"/>
          <w:szCs w:val="18"/>
        </w:rPr>
        <w:t>Nem todos os produtos do Licenciamento por Volume requerem uma chave de produto.</w:t>
      </w:r>
      <w:r w:rsidRPr="004B208C">
        <w:rPr>
          <w:rFonts w:cs="Tahoma"/>
          <w:color w:val="333333"/>
          <w:sz w:val="17"/>
          <w:szCs w:val="17"/>
        </w:rPr>
        <w:t xml:space="preserve"> </w:t>
      </w:r>
      <w:r w:rsidRPr="004B208C">
        <w:rPr>
          <w:rFonts w:cs="Tahoma"/>
          <w:color w:val="000000"/>
          <w:szCs w:val="18"/>
        </w:rPr>
        <w:t>Se um produto não estiver listado, nenhuma chave de produto será exigida.</w:t>
      </w:r>
    </w:p>
    <w:p w:rsidR="008A1637" w:rsidRPr="004B208C" w:rsidRDefault="008A1637" w:rsidP="007022C1">
      <w:pPr>
        <w:ind w:right="720"/>
        <w:rPr>
          <w:rFonts w:cs="Tahoma"/>
        </w:rPr>
      </w:pPr>
    </w:p>
    <w:p w:rsidR="001B413E" w:rsidRPr="004B208C" w:rsidRDefault="008A1637" w:rsidP="007022C1">
      <w:pPr>
        <w:ind w:right="720"/>
        <w:rPr>
          <w:rFonts w:cs="Tahoma"/>
        </w:rPr>
      </w:pPr>
      <w:r w:rsidRPr="004B208C">
        <w:rPr>
          <w:rFonts w:cs="Tahoma"/>
          <w:b/>
          <w:bCs/>
          <w:color w:val="000000"/>
          <w:szCs w:val="18"/>
        </w:rPr>
        <w:t>Observação:</w:t>
      </w:r>
      <w:r w:rsidR="00172F11">
        <w:rPr>
          <w:rFonts w:cs="Tahoma"/>
          <w:color w:val="000000"/>
          <w:szCs w:val="18"/>
        </w:rPr>
        <w:t xml:space="preserve"> </w:t>
      </w:r>
      <w:r w:rsidRPr="004B208C">
        <w:rPr>
          <w:rFonts w:cs="Tahoma"/>
          <w:color w:val="000000"/>
          <w:szCs w:val="18"/>
        </w:rPr>
        <w:t>as chaves de produto são cedidas e destinadas para o uso exclusivo da sua organização. Você será responsabilizado por qualquer uso não autorizado das chaves de produto emitidas de acordo com</w:t>
      </w:r>
      <w:r w:rsidR="003D7C23">
        <w:rPr>
          <w:rFonts w:cs="Tahoma"/>
          <w:color w:val="000000"/>
          <w:szCs w:val="18"/>
        </w:rPr>
        <w:t> </w:t>
      </w:r>
      <w:r w:rsidRPr="004B208C">
        <w:rPr>
          <w:rFonts w:cs="Tahoma"/>
          <w:color w:val="000000"/>
          <w:szCs w:val="18"/>
        </w:rPr>
        <w:t xml:space="preserve">o seu contrato. Tome providências para manter suas chaves de produto em segurança. Não as divulgue para pessoas não autorizadas. </w:t>
      </w:r>
    </w:p>
    <w:p w:rsidR="001B413E" w:rsidRPr="004B208C" w:rsidRDefault="001B413E">
      <w:pPr>
        <w:rPr>
          <w:rFonts w:cs="Tahoma"/>
        </w:rPr>
      </w:pPr>
      <w:r w:rsidRPr="004B208C">
        <w:rPr>
          <w:rFonts w:cs="Tahoma"/>
          <w:color w:val="000000"/>
          <w:szCs w:val="18"/>
        </w:rPr>
        <w:br w:type="page"/>
      </w:r>
    </w:p>
    <w:p w:rsidR="001B413E" w:rsidRPr="004B208C" w:rsidRDefault="001B413E" w:rsidP="003D7C23">
      <w:pPr>
        <w:pStyle w:val="Heading1"/>
        <w:spacing w:before="0"/>
        <w:rPr>
          <w:rFonts w:cs="Tahoma"/>
        </w:rPr>
      </w:pPr>
      <w:bookmarkStart w:id="931" w:name="_Section_10_–"/>
      <w:bookmarkStart w:id="932" w:name="_Seção_10_–"/>
      <w:bookmarkStart w:id="933" w:name="_Toc370981370"/>
      <w:bookmarkEnd w:id="931"/>
      <w:bookmarkEnd w:id="932"/>
      <w:r w:rsidRPr="004B208C">
        <w:rPr>
          <w:rFonts w:cs="Tahoma"/>
        </w:rPr>
        <w:lastRenderedPageBreak/>
        <w:t>Seção 10 – Termos Complementares para Serviços Online USADOS com Software Local</w:t>
      </w:r>
      <w:bookmarkEnd w:id="933"/>
    </w:p>
    <w:p w:rsidR="001B413E" w:rsidRPr="004B208C" w:rsidRDefault="001B413E" w:rsidP="001B413E">
      <w:pPr>
        <w:rPr>
          <w:rFonts w:cs="Tahoma"/>
        </w:rPr>
      </w:pPr>
    </w:p>
    <w:p w:rsidR="001B413E" w:rsidRPr="004B208C" w:rsidRDefault="001B413E" w:rsidP="001B413E">
      <w:pPr>
        <w:rPr>
          <w:rFonts w:cs="Tahoma"/>
        </w:rPr>
      </w:pPr>
      <w:r w:rsidRPr="004B208C">
        <w:rPr>
          <w:rFonts w:cs="Tahoma"/>
          <w:snapToGrid w:val="0"/>
        </w:rPr>
        <w:t xml:space="preserve">Algumas ofertas incluem softwares implementados e usados nas instalações dos clientes e um ou mais dos Serviços Online identificados acima na </w:t>
      </w:r>
      <w:hyperlink w:anchor="_Seção_5_–_1" w:history="1">
        <w:r w:rsidRPr="004B208C">
          <w:rPr>
            <w:rStyle w:val="Hyperlink"/>
            <w:rFonts w:cs="Tahoma"/>
            <w:snapToGrid w:val="0"/>
          </w:rPr>
          <w:t>Seção 5</w:t>
        </w:r>
      </w:hyperlink>
      <w:r w:rsidRPr="004B208C">
        <w:rPr>
          <w:rFonts w:cs="Tahoma"/>
          <w:snapToGrid w:val="0"/>
        </w:rPr>
        <w:t xml:space="preserve"> sob a mesma licença. Por exemplo,</w:t>
      </w:r>
      <w:r w:rsidRPr="004B208C">
        <w:rPr>
          <w:rFonts w:cs="Tahoma"/>
          <w:szCs w:val="20"/>
        </w:rPr>
        <w:t xml:space="preserve"> o Arquivamento do Exchange Online para Exchange Server, Prevenção à Perda de Dados ou Exchange Online Protection estão disponíveis aos clientes como parte do seu Pacote de CAL Empresarial ou CAL Empresarial do Exchange com Serviços 2013. Alguns dos Serviços Online também estão disponíveis como ofertas de assinatura independentes para complementar o software local.</w:t>
      </w:r>
      <w:r w:rsidR="00172F11">
        <w:rPr>
          <w:rFonts w:cs="Tahoma"/>
          <w:szCs w:val="20"/>
        </w:rPr>
        <w:t xml:space="preserve"> </w:t>
      </w:r>
      <w:r w:rsidRPr="004B208C">
        <w:rPr>
          <w:rFonts w:cs="Tahoma"/>
          <w:szCs w:val="20"/>
        </w:rPr>
        <w:t>Os</w:t>
      </w:r>
      <w:r w:rsidR="003D7C23">
        <w:rPr>
          <w:rFonts w:cs="Tahoma"/>
          <w:szCs w:val="20"/>
        </w:rPr>
        <w:t> </w:t>
      </w:r>
      <w:r w:rsidRPr="004B208C">
        <w:rPr>
          <w:rFonts w:cs="Tahoma"/>
          <w:szCs w:val="20"/>
        </w:rPr>
        <w:t xml:space="preserve">Termos e as Condições Complementares a seguir se aplicam à </w:t>
      </w:r>
      <w:r w:rsidRPr="004B208C">
        <w:rPr>
          <w:rFonts w:cs="Tahoma"/>
          <w:snapToGrid w:val="0"/>
        </w:rPr>
        <w:t>compra e ao uso dos referidos Serviços Online por</w:t>
      </w:r>
      <w:r w:rsidR="004A5268">
        <w:rPr>
          <w:rFonts w:cs="Tahoma"/>
          <w:snapToGrid w:val="0"/>
        </w:rPr>
        <w:t> </w:t>
      </w:r>
      <w:r w:rsidRPr="004B208C">
        <w:rPr>
          <w:rFonts w:cs="Tahoma"/>
          <w:snapToGrid w:val="0"/>
        </w:rPr>
        <w:t>parte dos clientes.</w:t>
      </w:r>
      <w:r w:rsidR="00172F11">
        <w:rPr>
          <w:rFonts w:cs="Tahoma"/>
          <w:szCs w:val="20"/>
        </w:rPr>
        <w:t xml:space="preserve"> </w:t>
      </w:r>
    </w:p>
    <w:p w:rsidR="001B413E" w:rsidRPr="004B208C" w:rsidRDefault="001B413E" w:rsidP="001B413E">
      <w:pPr>
        <w:keepNext/>
        <w:spacing w:before="120" w:after="60"/>
        <w:ind w:left="720"/>
        <w:outlineLvl w:val="0"/>
        <w:rPr>
          <w:rFonts w:cs="Tahoma"/>
        </w:rPr>
      </w:pPr>
      <w:r w:rsidRPr="004B208C">
        <w:rPr>
          <w:rFonts w:cs="Tahoma"/>
          <w:b/>
          <w:bCs/>
          <w:iCs/>
          <w:snapToGrid w:val="0"/>
          <w:szCs w:val="18"/>
        </w:rPr>
        <w:t>Definições.</w:t>
      </w:r>
    </w:p>
    <w:p w:rsidR="001B413E" w:rsidRPr="004B208C" w:rsidRDefault="001B413E" w:rsidP="001B413E">
      <w:pPr>
        <w:ind w:left="720"/>
        <w:jc w:val="both"/>
        <w:rPr>
          <w:rFonts w:cs="Tahoma"/>
        </w:rPr>
      </w:pPr>
      <w:r w:rsidRPr="004B208C">
        <w:rPr>
          <w:rFonts w:cs="Tahoma"/>
          <w:snapToGrid w:val="0"/>
          <w:color w:val="000000"/>
          <w:szCs w:val="18"/>
        </w:rPr>
        <w:t>“Dados do Cliente” significa todos os dados, incluindo quaisquer arquivos de texto, som, software ou</w:t>
      </w:r>
      <w:r w:rsidR="003D7C23">
        <w:rPr>
          <w:rFonts w:cs="Tahoma"/>
          <w:snapToGrid w:val="0"/>
          <w:color w:val="000000"/>
          <w:szCs w:val="18"/>
        </w:rPr>
        <w:t> </w:t>
      </w:r>
      <w:r w:rsidRPr="004B208C">
        <w:rPr>
          <w:rFonts w:cs="Tahoma"/>
          <w:snapToGrid w:val="0"/>
          <w:color w:val="000000"/>
          <w:szCs w:val="18"/>
        </w:rPr>
        <w:t>imagens fornecidos à Microsoft ou em nome do cliente por meio do uso pelo cliente dos Serviços Online.</w:t>
      </w:r>
    </w:p>
    <w:p w:rsidR="001B413E" w:rsidRPr="004B208C" w:rsidRDefault="001B413E" w:rsidP="001B413E">
      <w:pPr>
        <w:spacing w:before="120"/>
        <w:ind w:left="720"/>
        <w:jc w:val="both"/>
        <w:rPr>
          <w:rFonts w:cs="Tahoma"/>
        </w:rPr>
      </w:pPr>
      <w:r w:rsidRPr="004B208C">
        <w:rPr>
          <w:rFonts w:cs="Tahoma"/>
          <w:snapToGrid w:val="0"/>
          <w:color w:val="000000"/>
          <w:szCs w:val="18"/>
        </w:rPr>
        <w:t>“Contrato de Níveis de Serviço” significa o documento que especifica os padrões que a Microsoft concorda em seguir e por meio dos quais medirá o nível de serviço de um Serviço Online.</w:t>
      </w:r>
    </w:p>
    <w:p w:rsidR="001B413E" w:rsidRPr="004B208C" w:rsidRDefault="001B413E" w:rsidP="001B413E">
      <w:pPr>
        <w:keepNext/>
        <w:spacing w:before="120" w:after="60"/>
        <w:ind w:left="720"/>
        <w:outlineLvl w:val="0"/>
        <w:rPr>
          <w:rFonts w:cs="Tahoma"/>
        </w:rPr>
      </w:pPr>
      <w:r w:rsidRPr="004B208C">
        <w:rPr>
          <w:rFonts w:cs="Tahoma"/>
          <w:b/>
          <w:bCs/>
          <w:iCs/>
          <w:snapToGrid w:val="0"/>
          <w:szCs w:val="18"/>
        </w:rPr>
        <w:t>Aplicabilidade dos Termos Complementares.</w:t>
      </w:r>
    </w:p>
    <w:p w:rsidR="001B413E" w:rsidRPr="004B208C" w:rsidRDefault="001B413E" w:rsidP="001B413E">
      <w:pPr>
        <w:ind w:left="720"/>
        <w:jc w:val="both"/>
        <w:rPr>
          <w:rFonts w:cs="Tahoma"/>
        </w:rPr>
      </w:pPr>
      <w:r w:rsidRPr="004B208C">
        <w:rPr>
          <w:rFonts w:cs="Tahoma"/>
          <w:snapToGrid w:val="0"/>
          <w:color w:val="000000"/>
          <w:szCs w:val="18"/>
        </w:rPr>
        <w:t>Estes Termos Complementares se aplicam somente à compra e ao uso pelo cliente dos Serviços Online e</w:t>
      </w:r>
      <w:r w:rsidR="004A5268">
        <w:rPr>
          <w:rFonts w:cs="Tahoma"/>
          <w:snapToGrid w:val="0"/>
          <w:color w:val="000000"/>
          <w:szCs w:val="18"/>
        </w:rPr>
        <w:t> </w:t>
      </w:r>
      <w:r w:rsidRPr="004B208C">
        <w:rPr>
          <w:rFonts w:cs="Tahoma"/>
          <w:snapToGrid w:val="0"/>
          <w:color w:val="000000"/>
          <w:szCs w:val="18"/>
        </w:rPr>
        <w:t>Serviços.</w:t>
      </w:r>
      <w:r w:rsidR="00172F11">
        <w:rPr>
          <w:rFonts w:cs="Tahoma"/>
          <w:snapToGrid w:val="0"/>
          <w:color w:val="000000"/>
          <w:szCs w:val="18"/>
        </w:rPr>
        <w:t xml:space="preserve"> </w:t>
      </w:r>
      <w:r w:rsidRPr="004B208C">
        <w:rPr>
          <w:rFonts w:cs="Tahoma"/>
          <w:snapToGrid w:val="0"/>
          <w:color w:val="000000"/>
          <w:szCs w:val="18"/>
        </w:rPr>
        <w:t>Em caso de conflito entre esses Termos Complementares e os termos e as condições do Master Agreement ou Contrato que não sejam expressamente solucionados por eles, prevalecerão os Termos Complementares.</w:t>
      </w:r>
    </w:p>
    <w:p w:rsidR="001B413E" w:rsidRPr="004B208C" w:rsidRDefault="001B413E" w:rsidP="001B413E">
      <w:pPr>
        <w:keepNext/>
        <w:spacing w:before="120" w:after="60"/>
        <w:ind w:left="720"/>
        <w:outlineLvl w:val="0"/>
        <w:rPr>
          <w:rFonts w:cs="Tahoma"/>
        </w:rPr>
      </w:pPr>
      <w:r w:rsidRPr="004B208C">
        <w:rPr>
          <w:rFonts w:cs="Tahoma"/>
          <w:b/>
          <w:bCs/>
          <w:iCs/>
          <w:snapToGrid w:val="0"/>
          <w:szCs w:val="18"/>
        </w:rPr>
        <w:t>Garantia limitada dos Serviços Online.</w:t>
      </w:r>
    </w:p>
    <w:p w:rsidR="001B413E" w:rsidRPr="004B208C" w:rsidRDefault="001B413E" w:rsidP="001B413E">
      <w:pPr>
        <w:ind w:left="720"/>
        <w:jc w:val="both"/>
        <w:rPr>
          <w:rFonts w:cs="Tahoma"/>
        </w:rPr>
      </w:pPr>
      <w:r w:rsidRPr="004B208C">
        <w:rPr>
          <w:rFonts w:cs="Tahoma"/>
          <w:snapToGrid w:val="0"/>
          <w:color w:val="000000"/>
          <w:szCs w:val="18"/>
        </w:rPr>
        <w:t>A Microsoft garante que os Serviços Online funcionarão de acordo com o Contrato de Nível de Serviço aplicável.</w:t>
      </w:r>
      <w:r w:rsidR="00172F11">
        <w:rPr>
          <w:rFonts w:cs="Tahoma"/>
          <w:snapToGrid w:val="0"/>
          <w:color w:val="000000"/>
          <w:szCs w:val="18"/>
        </w:rPr>
        <w:t xml:space="preserve"> </w:t>
      </w:r>
      <w:r w:rsidRPr="004B208C">
        <w:rPr>
          <w:rFonts w:cs="Tahoma"/>
          <w:snapToGrid w:val="0"/>
          <w:color w:val="000000"/>
          <w:szCs w:val="18"/>
        </w:rPr>
        <w:t>Esta garantia limitada equivale à duração do uso pelo cliente do Serviço Online, sujeita aos requisitos de notificação no Contrato de Nível de Serviços aplicável.</w:t>
      </w:r>
    </w:p>
    <w:p w:rsidR="001B413E" w:rsidRPr="004B208C" w:rsidRDefault="001B413E" w:rsidP="001B413E">
      <w:pPr>
        <w:spacing w:before="120"/>
        <w:ind w:left="720"/>
        <w:jc w:val="both"/>
        <w:rPr>
          <w:rFonts w:cs="Tahoma"/>
        </w:rPr>
      </w:pPr>
      <w:r w:rsidRPr="004B208C">
        <w:rPr>
          <w:rFonts w:cs="Tahoma"/>
          <w:snapToGrid w:val="0"/>
          <w:color w:val="000000"/>
          <w:szCs w:val="18"/>
        </w:rPr>
        <w:t>Se a Microsoft não cumprir esta garantia limitada e o cliente notificar a Microsoft dentro do período de garantia, a Microsoft fornecerá as medidas identificadas no Contrato de Nível de Serviço do Serviço Online afetado.</w:t>
      </w:r>
      <w:r w:rsidR="00172F11">
        <w:rPr>
          <w:rFonts w:cs="Tahoma"/>
          <w:snapToGrid w:val="0"/>
          <w:color w:val="000000"/>
          <w:szCs w:val="18"/>
        </w:rPr>
        <w:t xml:space="preserve"> </w:t>
      </w:r>
      <w:r w:rsidRPr="004B208C">
        <w:rPr>
          <w:rFonts w:cs="Tahoma"/>
          <w:snapToGrid w:val="0"/>
          <w:color w:val="000000"/>
          <w:szCs w:val="18"/>
        </w:rPr>
        <w:t>Essas são as únicas medidas disponíveis ao cliente em caso de violação da garantia limitada, salvo se a lei aplicável estabelecer outras.</w:t>
      </w:r>
    </w:p>
    <w:p w:rsidR="001B413E" w:rsidRPr="004B208C" w:rsidRDefault="001B413E" w:rsidP="001B413E">
      <w:pPr>
        <w:spacing w:before="120"/>
        <w:ind w:left="720"/>
        <w:jc w:val="both"/>
        <w:rPr>
          <w:rFonts w:cs="Tahoma"/>
        </w:rPr>
      </w:pPr>
      <w:r w:rsidRPr="004B208C">
        <w:rPr>
          <w:rFonts w:cs="Tahoma"/>
          <w:snapToGrid w:val="0"/>
          <w:color w:val="000000"/>
          <w:szCs w:val="18"/>
        </w:rPr>
        <w:t>A garantia limitada está sujeita às seguintes limitações:</w:t>
      </w:r>
    </w:p>
    <w:p w:rsidR="001B413E" w:rsidRPr="004B208C" w:rsidRDefault="001B413E" w:rsidP="00A1385C">
      <w:pPr>
        <w:numPr>
          <w:ilvl w:val="0"/>
          <w:numId w:val="119"/>
        </w:numPr>
        <w:spacing w:before="120"/>
        <w:ind w:left="1080"/>
        <w:contextualSpacing/>
        <w:jc w:val="both"/>
        <w:rPr>
          <w:rFonts w:cs="Tahoma"/>
        </w:rPr>
      </w:pPr>
      <w:r w:rsidRPr="004B208C">
        <w:rPr>
          <w:rFonts w:cs="Tahoma"/>
          <w:snapToGrid w:val="0"/>
          <w:color w:val="000000"/>
          <w:szCs w:val="18"/>
        </w:rPr>
        <w:t>quaisquer garantias ou condições legais que não podem ser isentadas como uma questão legal permanecerão somente durante um ano a partir do início do garantia limitada;</w:t>
      </w:r>
    </w:p>
    <w:p w:rsidR="001B413E" w:rsidRPr="004B208C" w:rsidRDefault="001B413E" w:rsidP="00A1385C">
      <w:pPr>
        <w:numPr>
          <w:ilvl w:val="0"/>
          <w:numId w:val="119"/>
        </w:numPr>
        <w:spacing w:before="120"/>
        <w:ind w:left="1080"/>
        <w:contextualSpacing/>
        <w:jc w:val="both"/>
        <w:rPr>
          <w:rFonts w:cs="Tahoma"/>
        </w:rPr>
      </w:pPr>
      <w:r w:rsidRPr="004B208C">
        <w:rPr>
          <w:rFonts w:cs="Tahoma"/>
          <w:snapToGrid w:val="0"/>
          <w:color w:val="000000"/>
          <w:szCs w:val="18"/>
        </w:rPr>
        <w:t>a garantia limitada não cobre problemas causados por acidente, abuso ou uso de uma forma inconsistente com este contrato de Licenciamento por Volume do cliente ou os Direitos de Uso de</w:t>
      </w:r>
      <w:r w:rsidR="004A5268">
        <w:rPr>
          <w:rFonts w:cs="Tahoma"/>
          <w:snapToGrid w:val="0"/>
          <w:color w:val="000000"/>
          <w:szCs w:val="18"/>
        </w:rPr>
        <w:t> </w:t>
      </w:r>
      <w:r w:rsidRPr="004B208C">
        <w:rPr>
          <w:rFonts w:cs="Tahoma"/>
          <w:snapToGrid w:val="0"/>
          <w:color w:val="000000"/>
          <w:szCs w:val="18"/>
        </w:rPr>
        <w:t>Produto ou resultantes de eventos que fujam ao controle razoável da Microsoft;</w:t>
      </w:r>
    </w:p>
    <w:p w:rsidR="001B413E" w:rsidRPr="004B208C" w:rsidRDefault="001B413E" w:rsidP="00A1385C">
      <w:pPr>
        <w:numPr>
          <w:ilvl w:val="0"/>
          <w:numId w:val="119"/>
        </w:numPr>
        <w:spacing w:before="120"/>
        <w:ind w:left="1080"/>
        <w:contextualSpacing/>
        <w:jc w:val="both"/>
        <w:rPr>
          <w:rFonts w:cs="Tahoma"/>
        </w:rPr>
      </w:pPr>
      <w:r w:rsidRPr="004B208C">
        <w:rPr>
          <w:rFonts w:cs="Tahoma"/>
          <w:snapToGrid w:val="0"/>
          <w:color w:val="000000"/>
          <w:szCs w:val="18"/>
        </w:rPr>
        <w:t>a garantia limitada não se aplica às versões gratuitas, de avaliação, pré-lançamento ou beta dos Serviços Online e</w:t>
      </w:r>
    </w:p>
    <w:p w:rsidR="001B413E" w:rsidRPr="004B208C" w:rsidRDefault="001B413E" w:rsidP="00A1385C">
      <w:pPr>
        <w:numPr>
          <w:ilvl w:val="0"/>
          <w:numId w:val="119"/>
        </w:numPr>
        <w:spacing w:before="120"/>
        <w:ind w:left="1080"/>
        <w:contextualSpacing/>
        <w:jc w:val="both"/>
        <w:rPr>
          <w:rFonts w:cs="Tahoma"/>
        </w:rPr>
      </w:pPr>
      <w:r w:rsidRPr="004B208C">
        <w:rPr>
          <w:rFonts w:cs="Tahoma"/>
          <w:snapToGrid w:val="0"/>
          <w:color w:val="000000"/>
          <w:szCs w:val="18"/>
        </w:rPr>
        <w:t>a garantia limitada não se aplica a problemas causados pela não observância dos requisitos mínimos do</w:t>
      </w:r>
      <w:r w:rsidR="004A5268">
        <w:rPr>
          <w:rFonts w:cs="Tahoma"/>
          <w:snapToGrid w:val="0"/>
          <w:color w:val="000000"/>
          <w:szCs w:val="18"/>
        </w:rPr>
        <w:t> </w:t>
      </w:r>
      <w:r w:rsidRPr="004B208C">
        <w:rPr>
          <w:rFonts w:cs="Tahoma"/>
          <w:snapToGrid w:val="0"/>
          <w:color w:val="000000"/>
          <w:szCs w:val="18"/>
        </w:rPr>
        <w:t>sistema.</w:t>
      </w:r>
    </w:p>
    <w:p w:rsidR="001B413E" w:rsidRPr="004B208C" w:rsidRDefault="001B413E" w:rsidP="001B413E">
      <w:pPr>
        <w:spacing w:before="120"/>
        <w:ind w:left="720"/>
        <w:jc w:val="both"/>
        <w:rPr>
          <w:rFonts w:cs="Tahoma"/>
        </w:rPr>
      </w:pPr>
      <w:r w:rsidRPr="004B208C">
        <w:rPr>
          <w:rFonts w:cs="Tahoma"/>
          <w:b/>
          <w:bCs/>
          <w:snapToGrid w:val="0"/>
          <w:color w:val="000000"/>
          <w:szCs w:val="18"/>
        </w:rPr>
        <w:t>A MICROSOFT NÃO FORNECE QUALQUER OUTRA GARANTIA OU CONDIÇÃO, EXPRESSA OU LEGAL, ALÉM DA PRESENTE GARANTIA LIMITADA. A MICROSOFT ISENTA-SE DE QUAISQUER DECLARAÇÕES, GARANTIAS OU CONDIÇÕES IMPLÍCITAS, INCLUINDO GARANTIAS DE PADRÕES DE COMERCIALIZAÇÃO, ADEQUAÇÃO A FINALIDADES ESPECÍFICAS, QUALIDADE SATISFATÓRIA, TITULARIDADE DO DIREITO OU NÃO VIOLAÇÃO.</w:t>
      </w:r>
      <w:r w:rsidR="00172F11">
        <w:rPr>
          <w:rFonts w:cs="Tahoma"/>
          <w:b/>
          <w:bCs/>
          <w:snapToGrid w:val="0"/>
          <w:color w:val="000000"/>
          <w:szCs w:val="18"/>
        </w:rPr>
        <w:t xml:space="preserve"> </w:t>
      </w:r>
      <w:r w:rsidRPr="004B208C">
        <w:rPr>
          <w:rFonts w:cs="Tahoma"/>
          <w:b/>
          <w:bCs/>
          <w:snapToGrid w:val="0"/>
          <w:color w:val="000000"/>
          <w:szCs w:val="18"/>
        </w:rPr>
        <w:t>A REFERIDA DECLARAÇÃO DE INEXISTÊNCIA DE OUTRAS GARANTIAS APLICAR-SE-Á SEMPRE, SALVO QUANDO A LEI APLICÁVEL NÃO A PERMITIR.</w:t>
      </w:r>
    </w:p>
    <w:p w:rsidR="003D7C23" w:rsidRDefault="003D7C23" w:rsidP="003D7C23">
      <w:pPr>
        <w:spacing w:before="120" w:after="60"/>
        <w:ind w:left="720"/>
        <w:outlineLvl w:val="0"/>
        <w:rPr>
          <w:rFonts w:cs="Tahoma"/>
          <w:b/>
          <w:bCs/>
          <w:iCs/>
          <w:snapToGrid w:val="0"/>
          <w:szCs w:val="18"/>
        </w:rPr>
      </w:pPr>
    </w:p>
    <w:p w:rsidR="001B413E" w:rsidRPr="004B208C" w:rsidRDefault="001B413E" w:rsidP="001B413E">
      <w:pPr>
        <w:keepNext/>
        <w:spacing w:before="120" w:after="60"/>
        <w:ind w:left="720"/>
        <w:outlineLvl w:val="0"/>
        <w:rPr>
          <w:rFonts w:cs="Tahoma"/>
        </w:rPr>
      </w:pPr>
      <w:r w:rsidRPr="004B208C">
        <w:rPr>
          <w:rFonts w:cs="Tahoma"/>
          <w:b/>
          <w:bCs/>
          <w:iCs/>
          <w:snapToGrid w:val="0"/>
          <w:szCs w:val="18"/>
        </w:rPr>
        <w:lastRenderedPageBreak/>
        <w:t>Privacidade e segurança.</w:t>
      </w:r>
    </w:p>
    <w:p w:rsidR="001B413E" w:rsidRPr="004B208C" w:rsidRDefault="001B413E" w:rsidP="00A1385C">
      <w:pPr>
        <w:numPr>
          <w:ilvl w:val="1"/>
          <w:numId w:val="124"/>
        </w:numPr>
        <w:spacing w:before="120"/>
        <w:ind w:left="1080"/>
        <w:contextualSpacing/>
        <w:jc w:val="both"/>
        <w:rPr>
          <w:rFonts w:cs="Tahoma"/>
        </w:rPr>
      </w:pPr>
      <w:r w:rsidRPr="004B208C">
        <w:rPr>
          <w:rFonts w:cs="Tahoma"/>
          <w:snapToGrid w:val="0"/>
          <w:color w:val="000000"/>
          <w:szCs w:val="18"/>
        </w:rPr>
        <w:t>A Microsoft e o cliente deverão cumprir todas as leis e regulamentos aplicáveis (inclusive a lei de notificação de violação de segurança aplicável).</w:t>
      </w:r>
      <w:r w:rsidR="00172F11">
        <w:rPr>
          <w:rFonts w:cs="Tahoma"/>
          <w:snapToGrid w:val="0"/>
          <w:color w:val="000000"/>
          <w:szCs w:val="18"/>
        </w:rPr>
        <w:t xml:space="preserve"> </w:t>
      </w:r>
      <w:r w:rsidRPr="004B208C">
        <w:rPr>
          <w:rFonts w:cs="Tahoma"/>
          <w:snapToGrid w:val="0"/>
          <w:color w:val="000000"/>
          <w:szCs w:val="18"/>
        </w:rPr>
        <w:t>No entanto, a Microsoft não é responsável pelo cumprimento de nenhuma lei ou regulamento aplicável ao cliente ou ao seu setor de atividade e que não seja geralmente aplicável a services providers de tecnologia da informação.</w:t>
      </w:r>
      <w:r w:rsidR="00172F11">
        <w:rPr>
          <w:rFonts w:cs="Tahoma"/>
          <w:snapToGrid w:val="0"/>
          <w:color w:val="000000"/>
          <w:szCs w:val="18"/>
        </w:rPr>
        <w:t xml:space="preserve"> </w:t>
      </w:r>
      <w:r w:rsidRPr="004B208C">
        <w:rPr>
          <w:rFonts w:cs="Tahoma"/>
          <w:snapToGrid w:val="0"/>
          <w:color w:val="000000"/>
          <w:szCs w:val="18"/>
        </w:rPr>
        <w:t>O Cliente autoriza o</w:t>
      </w:r>
      <w:r w:rsidR="003D7C23">
        <w:rPr>
          <w:rFonts w:cs="Tahoma"/>
          <w:snapToGrid w:val="0"/>
          <w:color w:val="000000"/>
          <w:szCs w:val="18"/>
        </w:rPr>
        <w:t> </w:t>
      </w:r>
      <w:r w:rsidRPr="004B208C">
        <w:rPr>
          <w:rFonts w:cs="Tahoma"/>
          <w:snapToGrid w:val="0"/>
          <w:color w:val="000000"/>
          <w:szCs w:val="18"/>
        </w:rPr>
        <w:t>processamento de informações pessoais pela Microsoft e seus representantes para facilitar o assunto em questão deste Contrato, incluindo esses Termos Complementares.</w:t>
      </w:r>
    </w:p>
    <w:p w:rsidR="001B413E" w:rsidRPr="004B208C" w:rsidRDefault="001B413E" w:rsidP="00A1385C">
      <w:pPr>
        <w:numPr>
          <w:ilvl w:val="1"/>
          <w:numId w:val="124"/>
        </w:numPr>
        <w:spacing w:before="120"/>
        <w:ind w:left="1080"/>
        <w:contextualSpacing/>
        <w:jc w:val="both"/>
        <w:rPr>
          <w:rFonts w:cs="Tahoma"/>
        </w:rPr>
      </w:pPr>
      <w:r w:rsidRPr="004B208C">
        <w:rPr>
          <w:rFonts w:cs="Tahoma"/>
          <w:snapToGrid w:val="0"/>
          <w:color w:val="000000"/>
          <w:szCs w:val="18"/>
        </w:rPr>
        <w:t>O Cliente poderá decidir fornecer informações pessoais à Microsoft em nome de terceiros (incluindo os contatos, revendedores, distribuidores e administradores, e funcionários do cliente) junto com o uso dos Serviços Online ou como parte do Contrato.</w:t>
      </w:r>
      <w:r w:rsidR="00172F11">
        <w:rPr>
          <w:rFonts w:cs="Tahoma"/>
          <w:snapToGrid w:val="0"/>
          <w:color w:val="000000"/>
          <w:szCs w:val="18"/>
        </w:rPr>
        <w:t xml:space="preserve"> </w:t>
      </w:r>
      <w:r w:rsidRPr="004B208C">
        <w:rPr>
          <w:rFonts w:cs="Tahoma"/>
          <w:snapToGrid w:val="0"/>
          <w:color w:val="000000"/>
          <w:szCs w:val="18"/>
        </w:rPr>
        <w:t>O Cliente obterá todos os consentimentos necessários de terceiros relacionados às leis de proteção de dados e privacidade aplicáveis antes de fornecer informações pessoais à Microsoft.</w:t>
      </w:r>
    </w:p>
    <w:p w:rsidR="001B413E" w:rsidRPr="004B208C" w:rsidRDefault="001B413E" w:rsidP="00A1385C">
      <w:pPr>
        <w:numPr>
          <w:ilvl w:val="1"/>
          <w:numId w:val="124"/>
        </w:numPr>
        <w:spacing w:before="120"/>
        <w:ind w:left="1080"/>
        <w:contextualSpacing/>
        <w:jc w:val="both"/>
        <w:rPr>
          <w:rFonts w:cs="Tahoma"/>
        </w:rPr>
      </w:pPr>
      <w:r w:rsidRPr="004B208C">
        <w:rPr>
          <w:rFonts w:cs="Tahoma"/>
          <w:snapToGrid w:val="0"/>
          <w:color w:val="000000"/>
          <w:szCs w:val="18"/>
        </w:rPr>
        <w:t xml:space="preserve">As informações pessoais fornecidas pelo cliente em razão deste Contrato ou do uso dos Serviços Online serão processadas de acordo com a política de privacidade disponível no site </w:t>
      </w:r>
      <w:hyperlink r:id="rId36" w:history="1">
        <w:r w:rsidR="003D7C23" w:rsidRPr="00F86780">
          <w:rPr>
            <w:rFonts w:cs="Tahoma"/>
            <w:snapToGrid w:val="0"/>
            <w:color w:val="0000FF"/>
            <w:szCs w:val="18"/>
            <w:u w:val="single"/>
            <w:lang w:eastAsia="ja-JP"/>
          </w:rPr>
          <w:t>https://www.microsoft.com/licensing/servicecenter</w:t>
        </w:r>
      </w:hyperlink>
      <w:r w:rsidRPr="004B208C">
        <w:rPr>
          <w:rFonts w:cs="Tahoma"/>
          <w:snapToGrid w:val="0"/>
          <w:color w:val="000000"/>
          <w:szCs w:val="18"/>
        </w:rPr>
        <w:t>, desde que as políticas de privacidade específicas do Produto e os detalhes de segurança e privacidade adicionais relacionados aos Serviços Online específicos estejam nos Direitos de Uso do Produto.</w:t>
      </w:r>
      <w:r w:rsidR="00172F11">
        <w:rPr>
          <w:rFonts w:cs="Tahoma"/>
          <w:snapToGrid w:val="0"/>
          <w:color w:val="000000"/>
          <w:szCs w:val="18"/>
        </w:rPr>
        <w:t xml:space="preserve"> </w:t>
      </w:r>
      <w:r w:rsidRPr="004B208C">
        <w:rPr>
          <w:rFonts w:cs="Tahoma"/>
          <w:snapToGrid w:val="0"/>
          <w:color w:val="000000"/>
          <w:szCs w:val="18"/>
        </w:rPr>
        <w:t>Dados pessoais coletados pelos Serviços Online podem ser transferidos, armazenados e processados nos Estados Unidos ou em qualquer outro país no qual a Microsoft ou service providers mantenham instalações.</w:t>
      </w:r>
      <w:r w:rsidR="00172F11">
        <w:rPr>
          <w:rFonts w:cs="Tahoma"/>
          <w:snapToGrid w:val="0"/>
          <w:color w:val="000000"/>
          <w:szCs w:val="18"/>
        </w:rPr>
        <w:t xml:space="preserve"> </w:t>
      </w:r>
      <w:r w:rsidRPr="004B208C">
        <w:rPr>
          <w:rFonts w:cs="Tahoma"/>
          <w:snapToGrid w:val="0"/>
          <w:color w:val="000000"/>
          <w:szCs w:val="18"/>
        </w:rPr>
        <w:t>Ao usar os Serviços Online, o cliente consente com o exposto acima.</w:t>
      </w:r>
      <w:r w:rsidR="00172F11">
        <w:rPr>
          <w:rFonts w:cs="Tahoma"/>
          <w:snapToGrid w:val="0"/>
          <w:color w:val="000000"/>
          <w:szCs w:val="18"/>
        </w:rPr>
        <w:t xml:space="preserve"> </w:t>
      </w:r>
      <w:r w:rsidRPr="004B208C">
        <w:rPr>
          <w:rFonts w:cs="Tahoma"/>
          <w:snapToGrid w:val="0"/>
          <w:color w:val="000000"/>
          <w:szCs w:val="18"/>
        </w:rPr>
        <w:t xml:space="preserve">A Microsoft segue as estruturas de </w:t>
      </w:r>
      <w:r w:rsidR="00172F11">
        <w:rPr>
          <w:rFonts w:cs="Tahoma"/>
          <w:snapToGrid w:val="0"/>
          <w:color w:val="000000"/>
          <w:szCs w:val="18"/>
        </w:rPr>
        <w:t>“</w:t>
      </w:r>
      <w:r w:rsidRPr="004B208C">
        <w:rPr>
          <w:rFonts w:cs="Tahoma"/>
          <w:snapToGrid w:val="0"/>
          <w:color w:val="000000"/>
          <w:szCs w:val="18"/>
        </w:rPr>
        <w:t>EU Safe Harbor</w:t>
      </w:r>
      <w:r w:rsidR="00172F11">
        <w:rPr>
          <w:rFonts w:cs="Tahoma"/>
          <w:snapToGrid w:val="0"/>
          <w:color w:val="000000"/>
          <w:szCs w:val="18"/>
        </w:rPr>
        <w:t>”</w:t>
      </w:r>
      <w:r w:rsidRPr="004B208C">
        <w:rPr>
          <w:rFonts w:cs="Tahoma"/>
          <w:snapToGrid w:val="0"/>
          <w:color w:val="000000"/>
          <w:szCs w:val="18"/>
        </w:rPr>
        <w:t xml:space="preserve"> (porto seguro americano) e “Swiss Safe Harbor” (porto seguro suíço) estabelecidas pelo Departamento de Comércio dos Estados Unidos da América para a coleta, o uso e a retenção de dados coletados na União Europeia, Área Econômica Europeia e Suíça.</w:t>
      </w:r>
      <w:r w:rsidR="00172F11">
        <w:rPr>
          <w:rFonts w:cs="Tahoma"/>
          <w:snapToGrid w:val="0"/>
          <w:color w:val="000000"/>
          <w:szCs w:val="18"/>
        </w:rPr>
        <w:t xml:space="preserve"> </w:t>
      </w:r>
    </w:p>
    <w:p w:rsidR="001B413E" w:rsidRPr="004B208C" w:rsidRDefault="001B413E" w:rsidP="001B413E">
      <w:pPr>
        <w:keepNext/>
        <w:spacing w:before="120" w:after="60"/>
        <w:ind w:left="720"/>
        <w:outlineLvl w:val="0"/>
        <w:rPr>
          <w:rFonts w:cs="Tahoma"/>
        </w:rPr>
      </w:pPr>
      <w:r w:rsidRPr="004B208C">
        <w:rPr>
          <w:rFonts w:cs="Tahoma"/>
          <w:b/>
          <w:bCs/>
          <w:iCs/>
          <w:snapToGrid w:val="0"/>
          <w:szCs w:val="18"/>
        </w:rPr>
        <w:t>Compromisso de proteção do cliente.</w:t>
      </w:r>
    </w:p>
    <w:p w:rsidR="001B413E" w:rsidRPr="004B208C" w:rsidRDefault="001B413E" w:rsidP="001B413E">
      <w:pPr>
        <w:ind w:left="720"/>
        <w:jc w:val="both"/>
        <w:rPr>
          <w:rFonts w:cs="Tahoma"/>
        </w:rPr>
      </w:pPr>
      <w:r w:rsidRPr="004B208C">
        <w:rPr>
          <w:rFonts w:cs="Tahoma"/>
          <w:snapToGrid w:val="0"/>
          <w:color w:val="000000"/>
          <w:szCs w:val="18"/>
        </w:rPr>
        <w:t>O Cliente defenderá a Microsoft contra qualquer requerimento judicial ou extrajudicial feito por terceiros não afiliados que:</w:t>
      </w:r>
    </w:p>
    <w:p w:rsidR="001B413E" w:rsidRPr="004B208C" w:rsidRDefault="001B413E" w:rsidP="00A1385C">
      <w:pPr>
        <w:numPr>
          <w:ilvl w:val="0"/>
          <w:numId w:val="125"/>
        </w:numPr>
        <w:spacing w:before="120"/>
        <w:ind w:left="1260" w:hanging="540"/>
        <w:contextualSpacing/>
        <w:jc w:val="both"/>
        <w:rPr>
          <w:rFonts w:cs="Tahoma"/>
        </w:rPr>
      </w:pPr>
      <w:r w:rsidRPr="004B208C">
        <w:rPr>
          <w:rFonts w:cs="Tahoma"/>
          <w:snapToGrid w:val="0"/>
          <w:color w:val="000000"/>
          <w:szCs w:val="18"/>
        </w:rPr>
        <w:t>quaisquer Dados do Cliente ou software que não seja da Microsoft que a Microsoft hospeda em nome do cliente violam a patente, os direitos autorais ou a marca comercial de terceiros ou fazem uso ilegal do Segredo Comercial ou</w:t>
      </w:r>
    </w:p>
    <w:p w:rsidR="001B413E" w:rsidRPr="004B208C" w:rsidRDefault="001B413E" w:rsidP="00A1385C">
      <w:pPr>
        <w:numPr>
          <w:ilvl w:val="0"/>
          <w:numId w:val="125"/>
        </w:numPr>
        <w:spacing w:before="120"/>
        <w:ind w:left="1260" w:hanging="540"/>
        <w:contextualSpacing/>
        <w:jc w:val="both"/>
        <w:rPr>
          <w:rFonts w:cs="Tahoma"/>
        </w:rPr>
      </w:pPr>
      <w:r w:rsidRPr="004B208C">
        <w:rPr>
          <w:rFonts w:cs="Tahoma"/>
          <w:snapToGrid w:val="0"/>
          <w:color w:val="000000"/>
          <w:szCs w:val="18"/>
        </w:rPr>
        <w:t>seja decorrente da violação dos termos da Política de Uso Aceitável, descrita nos Direitos de Uso do</w:t>
      </w:r>
      <w:r w:rsidR="004A5268">
        <w:rPr>
          <w:rFonts w:cs="Tahoma"/>
          <w:snapToGrid w:val="0"/>
          <w:color w:val="000000"/>
          <w:szCs w:val="18"/>
        </w:rPr>
        <w:t> </w:t>
      </w:r>
      <w:r w:rsidRPr="004B208C">
        <w:rPr>
          <w:rFonts w:cs="Tahoma"/>
          <w:snapToGrid w:val="0"/>
          <w:color w:val="000000"/>
          <w:szCs w:val="18"/>
        </w:rPr>
        <w:t>Produto.</w:t>
      </w:r>
    </w:p>
    <w:p w:rsidR="001B413E" w:rsidRPr="004B208C" w:rsidRDefault="001B413E" w:rsidP="001B413E">
      <w:pPr>
        <w:spacing w:before="120"/>
        <w:ind w:left="720"/>
        <w:jc w:val="both"/>
        <w:rPr>
          <w:rFonts w:cs="Tahoma"/>
        </w:rPr>
      </w:pPr>
      <w:r w:rsidRPr="004B208C">
        <w:rPr>
          <w:rFonts w:cs="Tahoma"/>
          <w:snapToGrid w:val="0"/>
          <w:color w:val="000000"/>
          <w:szCs w:val="18"/>
        </w:rPr>
        <w:t>O Cliente deverá pagar o valor resultante de qualquer decisão judicial desfavorável transitada em julgado (ou acordo ratificado pelo cliente).</w:t>
      </w:r>
      <w:r w:rsidR="00172F11">
        <w:rPr>
          <w:rFonts w:cs="Tahoma"/>
          <w:snapToGrid w:val="0"/>
          <w:color w:val="000000"/>
          <w:szCs w:val="18"/>
        </w:rPr>
        <w:t xml:space="preserve"> </w:t>
      </w:r>
      <w:r w:rsidRPr="004B208C">
        <w:rPr>
          <w:rFonts w:cs="Tahoma"/>
          <w:snapToGrid w:val="0"/>
          <w:color w:val="000000"/>
          <w:szCs w:val="18"/>
        </w:rPr>
        <w:t>A presente seção estabelece o recurso exclusivo disponível da Microsoft para esses requerimentos judiciais ou extrajudiciais.</w:t>
      </w:r>
    </w:p>
    <w:p w:rsidR="001B413E" w:rsidRPr="004B208C" w:rsidRDefault="001B413E" w:rsidP="001B413E">
      <w:pPr>
        <w:spacing w:before="120"/>
        <w:ind w:left="720"/>
        <w:jc w:val="both"/>
        <w:rPr>
          <w:rFonts w:cs="Tahoma"/>
        </w:rPr>
      </w:pPr>
      <w:r w:rsidRPr="004B208C">
        <w:rPr>
          <w:rFonts w:cs="Tahoma"/>
          <w:snapToGrid w:val="0"/>
          <w:color w:val="000000"/>
          <w:szCs w:val="18"/>
        </w:rPr>
        <w:t>A Microsoft deverá notificar imediatamente o cliente por escrito sobre um requerimento judicial ou</w:t>
      </w:r>
      <w:r w:rsidR="004A5268">
        <w:rPr>
          <w:rFonts w:cs="Tahoma"/>
          <w:snapToGrid w:val="0"/>
          <w:color w:val="000000"/>
          <w:szCs w:val="18"/>
        </w:rPr>
        <w:t> </w:t>
      </w:r>
      <w:r w:rsidRPr="004B208C">
        <w:rPr>
          <w:rFonts w:cs="Tahoma"/>
          <w:snapToGrid w:val="0"/>
          <w:color w:val="000000"/>
          <w:szCs w:val="18"/>
        </w:rPr>
        <w:t>extrajudicial sujeito a esta seção.</w:t>
      </w:r>
      <w:r w:rsidR="00172F11">
        <w:rPr>
          <w:rFonts w:cs="Tahoma"/>
          <w:snapToGrid w:val="0"/>
          <w:color w:val="000000"/>
          <w:szCs w:val="18"/>
        </w:rPr>
        <w:t xml:space="preserve"> </w:t>
      </w:r>
      <w:r w:rsidRPr="004B208C">
        <w:rPr>
          <w:rFonts w:cs="Tahoma"/>
          <w:snapToGrid w:val="0"/>
          <w:color w:val="000000"/>
          <w:szCs w:val="18"/>
        </w:rPr>
        <w:t>A Microsoft (1) fornecerá ao cliente controle exclusivo de sua defesa ou</w:t>
      </w:r>
      <w:r w:rsidR="004A5268">
        <w:rPr>
          <w:rFonts w:cs="Tahoma"/>
          <w:snapToGrid w:val="0"/>
          <w:color w:val="000000"/>
          <w:szCs w:val="18"/>
        </w:rPr>
        <w:t> </w:t>
      </w:r>
      <w:r w:rsidRPr="004B208C">
        <w:rPr>
          <w:rFonts w:cs="Tahoma"/>
          <w:snapToGrid w:val="0"/>
          <w:color w:val="000000"/>
          <w:szCs w:val="18"/>
        </w:rPr>
        <w:t>acordo referente a tal requerimento e (2) fornecerá assistência razoável na defesa do requerimento. O</w:t>
      </w:r>
      <w:r w:rsidR="003D7C23">
        <w:rPr>
          <w:rFonts w:cs="Tahoma"/>
          <w:snapToGrid w:val="0"/>
          <w:color w:val="000000"/>
          <w:szCs w:val="18"/>
        </w:rPr>
        <w:t> </w:t>
      </w:r>
      <w:r w:rsidRPr="004B208C">
        <w:rPr>
          <w:rFonts w:cs="Tahoma"/>
          <w:snapToGrid w:val="0"/>
          <w:color w:val="000000"/>
          <w:szCs w:val="18"/>
        </w:rPr>
        <w:t>cliente reembolsará a Microsoft por qualquer despesa razoável incorrida na prestação dessa assistência.</w:t>
      </w:r>
    </w:p>
    <w:p w:rsidR="001B413E" w:rsidRPr="004B208C" w:rsidRDefault="001B413E" w:rsidP="001B413E">
      <w:pPr>
        <w:keepNext/>
        <w:spacing w:before="120" w:after="60"/>
        <w:ind w:left="720"/>
        <w:outlineLvl w:val="0"/>
        <w:rPr>
          <w:rFonts w:cs="Tahoma"/>
        </w:rPr>
      </w:pPr>
      <w:r w:rsidRPr="004B208C">
        <w:rPr>
          <w:rFonts w:cs="Tahoma"/>
          <w:b/>
          <w:bCs/>
          <w:iCs/>
          <w:snapToGrid w:val="0"/>
          <w:szCs w:val="18"/>
        </w:rPr>
        <w:t>Limitação de responsabilidade.</w:t>
      </w:r>
    </w:p>
    <w:p w:rsidR="001B413E" w:rsidRPr="004B208C" w:rsidRDefault="001B413E" w:rsidP="001B413E">
      <w:pPr>
        <w:ind w:left="720"/>
        <w:jc w:val="both"/>
        <w:rPr>
          <w:rFonts w:cs="Tahoma"/>
        </w:rPr>
      </w:pPr>
      <w:r w:rsidRPr="004B208C">
        <w:rPr>
          <w:rFonts w:cs="Tahoma"/>
          <w:snapToGrid w:val="0"/>
          <w:color w:val="000000"/>
          <w:szCs w:val="18"/>
        </w:rPr>
        <w:t>Na extensão permitida pela lei aplicável, a obrigação de cada parte, suas Afiliadas e seus Prestadores de Serviços decorrentes da conexão com o Serviço Online está limitada aos danos diretos até o valor que o</w:t>
      </w:r>
      <w:r w:rsidR="00160A4A">
        <w:rPr>
          <w:rFonts w:cs="Tahoma"/>
          <w:snapToGrid w:val="0"/>
          <w:color w:val="000000"/>
          <w:szCs w:val="18"/>
        </w:rPr>
        <w:t> </w:t>
      </w:r>
      <w:r w:rsidRPr="004B208C">
        <w:rPr>
          <w:rFonts w:cs="Tahoma"/>
          <w:snapToGrid w:val="0"/>
          <w:color w:val="000000"/>
          <w:szCs w:val="18"/>
        </w:rPr>
        <w:t>cliente pagou pelos Serviços Online que originaram essa obrigação durante os 12 meses anteriores.</w:t>
      </w:r>
      <w:r w:rsidR="00172F11">
        <w:rPr>
          <w:rFonts w:cs="Tahoma"/>
          <w:snapToGrid w:val="0"/>
          <w:color w:val="000000"/>
          <w:szCs w:val="18"/>
        </w:rPr>
        <w:t xml:space="preserve"> </w:t>
      </w:r>
      <w:r w:rsidRPr="004B208C">
        <w:rPr>
          <w:rFonts w:cs="Tahoma"/>
          <w:snapToGrid w:val="0"/>
          <w:color w:val="000000"/>
          <w:szCs w:val="18"/>
        </w:rPr>
        <w:t>Essas limitações se aplicam independentemente de a obrigação se basear em violação de contrato, ato ilícito extracontratual (incluindo negligência), responsabilidade objetiva, violação das garantias ou qualquer outro embasamento jurídico.</w:t>
      </w:r>
      <w:r w:rsidR="00172F11">
        <w:rPr>
          <w:rFonts w:cs="Tahoma"/>
          <w:snapToGrid w:val="0"/>
          <w:color w:val="000000"/>
          <w:szCs w:val="18"/>
        </w:rPr>
        <w:t xml:space="preserve"> </w:t>
      </w:r>
      <w:r w:rsidRPr="004B208C">
        <w:rPr>
          <w:rFonts w:cs="Tahoma"/>
          <w:snapToGrid w:val="0"/>
          <w:color w:val="000000"/>
          <w:szCs w:val="18"/>
        </w:rPr>
        <w:t>No entanto, essas limitações monetárias não se aplicarão a:</w:t>
      </w:r>
    </w:p>
    <w:p w:rsidR="001B413E" w:rsidRPr="004B208C" w:rsidRDefault="001B413E" w:rsidP="00A1385C">
      <w:pPr>
        <w:numPr>
          <w:ilvl w:val="0"/>
          <w:numId w:val="120"/>
        </w:numPr>
        <w:spacing w:before="120"/>
        <w:ind w:left="1170" w:hanging="450"/>
        <w:contextualSpacing/>
        <w:jc w:val="both"/>
        <w:rPr>
          <w:rFonts w:cs="Tahoma"/>
        </w:rPr>
      </w:pPr>
      <w:r w:rsidRPr="004B208C">
        <w:rPr>
          <w:rFonts w:cs="Tahoma"/>
          <w:snapToGrid w:val="0"/>
          <w:color w:val="000000"/>
          <w:szCs w:val="18"/>
        </w:rPr>
        <w:t xml:space="preserve">obrigações da Microsoft de acordo com a seção do Master Agreement intitulada </w:t>
      </w:r>
      <w:r w:rsidR="00172F11">
        <w:rPr>
          <w:rFonts w:cs="Tahoma"/>
          <w:snapToGrid w:val="0"/>
          <w:color w:val="000000"/>
          <w:szCs w:val="18"/>
        </w:rPr>
        <w:t>“</w:t>
      </w:r>
      <w:r w:rsidRPr="004B208C">
        <w:rPr>
          <w:rFonts w:cs="Tahoma"/>
          <w:snapToGrid w:val="0"/>
          <w:color w:val="000000"/>
          <w:szCs w:val="18"/>
        </w:rPr>
        <w:t>Defesa contra violação, apropriação indébita e requerimentos judiciais ou extrajudiciais de terceiros</w:t>
      </w:r>
      <w:r w:rsidR="00172F11">
        <w:rPr>
          <w:rFonts w:cs="Tahoma"/>
          <w:snapToGrid w:val="0"/>
          <w:color w:val="000000"/>
          <w:szCs w:val="18"/>
        </w:rPr>
        <w:t>”</w:t>
      </w:r>
      <w:r w:rsidRPr="004B208C">
        <w:rPr>
          <w:rFonts w:cs="Tahoma"/>
          <w:snapToGrid w:val="0"/>
          <w:color w:val="000000"/>
          <w:szCs w:val="18"/>
        </w:rPr>
        <w:t xml:space="preserve"> ou obrigações do cliente de acordo com a seção dos Termos Complementares intitulada “Compromisso de proteção do cliente”;</w:t>
      </w:r>
    </w:p>
    <w:p w:rsidR="001B413E" w:rsidRPr="004B208C" w:rsidRDefault="001B413E" w:rsidP="00A1385C">
      <w:pPr>
        <w:numPr>
          <w:ilvl w:val="0"/>
          <w:numId w:val="120"/>
        </w:numPr>
        <w:spacing w:before="120"/>
        <w:ind w:left="1170" w:hanging="450"/>
        <w:contextualSpacing/>
        <w:jc w:val="both"/>
        <w:rPr>
          <w:rFonts w:cs="Tahoma"/>
        </w:rPr>
      </w:pPr>
      <w:r w:rsidRPr="004B208C">
        <w:rPr>
          <w:rFonts w:cs="Tahoma"/>
          <w:snapToGrid w:val="0"/>
          <w:color w:val="000000"/>
          <w:szCs w:val="18"/>
        </w:rPr>
        <w:t>responsabilidades originadas da violação pela outra parte de qualquer obrigação na seção do Master Agreement “Confidencialidade”, com exceção da responsabilidade da Microsoft originada ou</w:t>
      </w:r>
      <w:r w:rsidR="004A5268">
        <w:rPr>
          <w:rFonts w:cs="Tahoma"/>
          <w:snapToGrid w:val="0"/>
          <w:color w:val="000000"/>
          <w:szCs w:val="18"/>
        </w:rPr>
        <w:t> </w:t>
      </w:r>
      <w:r w:rsidRPr="004B208C">
        <w:rPr>
          <w:rFonts w:cs="Tahoma"/>
          <w:snapToGrid w:val="0"/>
          <w:color w:val="000000"/>
          <w:szCs w:val="18"/>
        </w:rPr>
        <w:t xml:space="preserve">relacionada aos Dados do Cliente que, em todos os casos, estará limitada ao valor pago pelo cliente pelos Serviços Online que originaram esta obrigação durante os 12 meses anteriores e </w:t>
      </w:r>
    </w:p>
    <w:p w:rsidR="001B413E" w:rsidRPr="004B208C" w:rsidRDefault="001B413E" w:rsidP="00A1385C">
      <w:pPr>
        <w:numPr>
          <w:ilvl w:val="0"/>
          <w:numId w:val="120"/>
        </w:numPr>
        <w:spacing w:before="120"/>
        <w:ind w:left="1170" w:hanging="450"/>
        <w:contextualSpacing/>
        <w:jc w:val="both"/>
        <w:rPr>
          <w:rFonts w:cs="Tahoma"/>
        </w:rPr>
      </w:pPr>
      <w:r w:rsidRPr="004B208C">
        <w:rPr>
          <w:rFonts w:cs="Tahoma"/>
          <w:snapToGrid w:val="0"/>
          <w:color w:val="000000"/>
          <w:szCs w:val="18"/>
        </w:rPr>
        <w:t>violação por uma parte dos direitos de propriedade intelectual da outra parte.</w:t>
      </w:r>
    </w:p>
    <w:p w:rsidR="001B413E" w:rsidRPr="004B208C" w:rsidRDefault="001B413E" w:rsidP="001B413E">
      <w:pPr>
        <w:spacing w:before="120"/>
        <w:ind w:left="720"/>
        <w:jc w:val="both"/>
        <w:rPr>
          <w:rFonts w:cs="Tahoma"/>
        </w:rPr>
      </w:pPr>
      <w:r w:rsidRPr="004B208C">
        <w:rPr>
          <w:rFonts w:cs="Tahoma"/>
          <w:b/>
          <w:bCs/>
          <w:snapToGrid w:val="0"/>
          <w:color w:val="000000"/>
          <w:szCs w:val="18"/>
        </w:rPr>
        <w:lastRenderedPageBreak/>
        <w:t>NA EXTENSÃO MÁXIMA PERMITIDA PELA LEI APLICÁVEL, INDEPENDENTEMENTE DO FUNDAMENTO JURÍDICO DO REQUERIMENTO JUDICIAL OU EXTRAJUDICIAL, NENHUMA DAS PARTES NEM SUAS AFILIADAS OU PRESTADORES DE SERVIÇO SERÃO RESPONSÁVEIS POR NENHUM DANO INDIRETO, CONSEQUENCIAL, ESPECIAL OU INCIDENTAL OU DANOS POR LUCROS CESSANTES OU PERDA DE RECEITA, INTERRUPÇÃO DOS NEGÓCIOS OU PERDA DE INFORMAÇÕES DE NEGÓCIO QUE SURGIREM EM DECORRÊNCIA DO PRESENTE CONTRATO OU DESSES TERMOS COMPLEMENTARES, MESMO QUE AVISADAS DA POSSIBILIDADE DE OCORRÊNCIA DOS REFERIDOS DANOS E MESMO QUE ESSA POSSIBILIDADE POSSA SER RAZOAVELMENTE PREVISTA.</w:t>
      </w:r>
      <w:r w:rsidR="00172F11">
        <w:rPr>
          <w:rFonts w:cs="Tahoma"/>
          <w:b/>
          <w:bCs/>
          <w:snapToGrid w:val="0"/>
          <w:color w:val="000000"/>
          <w:szCs w:val="18"/>
        </w:rPr>
        <w:t xml:space="preserve"> </w:t>
      </w:r>
      <w:r w:rsidRPr="004B208C">
        <w:rPr>
          <w:rFonts w:cs="Tahoma"/>
          <w:b/>
          <w:bCs/>
          <w:snapToGrid w:val="0"/>
          <w:color w:val="000000"/>
          <w:szCs w:val="18"/>
        </w:rPr>
        <w:t>CONTUDO, A PRESENTE EXCLUSÃO NÃO SE APLICA À</w:t>
      </w:r>
      <w:r w:rsidR="004A5268">
        <w:rPr>
          <w:rFonts w:cs="Tahoma"/>
          <w:b/>
          <w:bCs/>
          <w:snapToGrid w:val="0"/>
          <w:color w:val="000000"/>
          <w:szCs w:val="18"/>
        </w:rPr>
        <w:t> </w:t>
      </w:r>
      <w:r w:rsidRPr="004B208C">
        <w:rPr>
          <w:rFonts w:cs="Tahoma"/>
          <w:b/>
          <w:bCs/>
          <w:snapToGrid w:val="0"/>
          <w:color w:val="000000"/>
          <w:szCs w:val="18"/>
        </w:rPr>
        <w:t xml:space="preserve">RESPONSABILIDADE MÚTUA DAS PARTES PELA VIOLAÇÃO DE SUAS OBRIGAÇÕES DE CONFIDENCIALIDADE (EXCETO NA MEDIDA EM QUE ESSA VIOLAÇÃO ESTIVER RELACIONADA AOS DADOS DO CLIENTE), AOS DIREITOS DE PROPRIEDADE INTELECTUAL DA OUTRA PARTE OU OBRIGAÇÕES DA MICROSOFT DE ACORDO COM A SEÇÃO DO MASTER AGREEMENT INTITULADA </w:t>
      </w:r>
      <w:r w:rsidR="00172F11">
        <w:rPr>
          <w:rFonts w:cs="Tahoma"/>
          <w:b/>
          <w:bCs/>
          <w:snapToGrid w:val="0"/>
          <w:color w:val="000000"/>
          <w:szCs w:val="18"/>
        </w:rPr>
        <w:t>“</w:t>
      </w:r>
      <w:r w:rsidRPr="004B208C">
        <w:rPr>
          <w:rFonts w:cs="Tahoma"/>
          <w:b/>
          <w:bCs/>
          <w:snapToGrid w:val="0"/>
          <w:color w:val="000000"/>
          <w:szCs w:val="18"/>
        </w:rPr>
        <w:t>DEFESA CONTRA VIOLAÇÃO, APROPRIAÇÃO INDÉBITA E REQUERIMENTOS JUDICIAIS OU EXTRAJUDICIAIS DE TERCEIROS</w:t>
      </w:r>
      <w:r w:rsidR="00172F11">
        <w:rPr>
          <w:rFonts w:cs="Tahoma"/>
          <w:b/>
          <w:bCs/>
          <w:snapToGrid w:val="0"/>
          <w:color w:val="000000"/>
          <w:szCs w:val="18"/>
        </w:rPr>
        <w:t>”</w:t>
      </w:r>
      <w:r w:rsidRPr="004B208C">
        <w:rPr>
          <w:rFonts w:cs="Tahoma"/>
          <w:b/>
          <w:bCs/>
          <w:snapToGrid w:val="0"/>
          <w:color w:val="000000"/>
          <w:szCs w:val="18"/>
        </w:rPr>
        <w:t xml:space="preserve"> OU OBRIGAÇÕES DO CLIENTE DE ACORDO COM A SEÇÃO DOS TERMOS COMPLEMENTARES INTITULADA </w:t>
      </w:r>
      <w:r w:rsidR="00172F11">
        <w:rPr>
          <w:rFonts w:cs="Tahoma"/>
          <w:b/>
          <w:bCs/>
          <w:snapToGrid w:val="0"/>
          <w:color w:val="000000"/>
          <w:szCs w:val="18"/>
        </w:rPr>
        <w:t>“</w:t>
      </w:r>
      <w:r w:rsidRPr="004B208C">
        <w:rPr>
          <w:rFonts w:cs="Tahoma"/>
          <w:b/>
          <w:bCs/>
          <w:snapToGrid w:val="0"/>
          <w:color w:val="000000"/>
          <w:szCs w:val="18"/>
        </w:rPr>
        <w:t>COMPROMISSO DE PROTEÇÃO DO CLIENTE</w:t>
      </w:r>
      <w:r w:rsidR="00172F11">
        <w:rPr>
          <w:rFonts w:cs="Tahoma"/>
          <w:b/>
          <w:bCs/>
          <w:snapToGrid w:val="0"/>
          <w:color w:val="000000"/>
          <w:szCs w:val="18"/>
        </w:rPr>
        <w:t>”</w:t>
      </w:r>
      <w:r w:rsidRPr="004B208C">
        <w:rPr>
          <w:rFonts w:cs="Tahoma"/>
          <w:b/>
          <w:bCs/>
          <w:snapToGrid w:val="0"/>
          <w:color w:val="000000"/>
          <w:szCs w:val="18"/>
        </w:rPr>
        <w:t>.</w:t>
      </w:r>
    </w:p>
    <w:p w:rsidR="001B413E" w:rsidRPr="004B208C" w:rsidRDefault="001B413E" w:rsidP="001B413E">
      <w:pPr>
        <w:keepNext/>
        <w:spacing w:before="120" w:after="60"/>
        <w:ind w:left="720"/>
        <w:outlineLvl w:val="0"/>
        <w:rPr>
          <w:rFonts w:cs="Tahoma"/>
        </w:rPr>
      </w:pPr>
      <w:r w:rsidRPr="004B208C">
        <w:rPr>
          <w:rFonts w:cs="Tahoma"/>
          <w:b/>
          <w:bCs/>
          <w:iCs/>
          <w:snapToGrid w:val="0"/>
          <w:szCs w:val="18"/>
        </w:rPr>
        <w:t>Subcontratados.</w:t>
      </w:r>
    </w:p>
    <w:p w:rsidR="008A1637" w:rsidRPr="004B208C" w:rsidRDefault="001B413E" w:rsidP="001B413E">
      <w:pPr>
        <w:ind w:left="720" w:right="720"/>
        <w:rPr>
          <w:rFonts w:cs="Tahoma"/>
        </w:rPr>
      </w:pPr>
      <w:r w:rsidRPr="004B208C">
        <w:rPr>
          <w:rFonts w:cs="Tahoma"/>
          <w:snapToGrid w:val="0"/>
          <w:szCs w:val="18"/>
        </w:rPr>
        <w:t>A Microsoft usará Prestadores de Serviços para dar suporte aos Serviços Online.</w:t>
      </w:r>
      <w:r w:rsidR="00172F11">
        <w:rPr>
          <w:rFonts w:cs="Tahoma"/>
          <w:snapToGrid w:val="0"/>
          <w:szCs w:val="18"/>
        </w:rPr>
        <w:t xml:space="preserve"> </w:t>
      </w:r>
      <w:r w:rsidRPr="004B208C">
        <w:rPr>
          <w:rFonts w:cs="Tahoma"/>
          <w:snapToGrid w:val="0"/>
          <w:szCs w:val="18"/>
        </w:rPr>
        <w:t>A Microsoft se responsabiliza pelo desempenho deles, sujeitos aos termos do contrato de Licenciamento por Volume do Cliente.</w:t>
      </w:r>
    </w:p>
    <w:p w:rsidR="00023FE7" w:rsidRPr="004B208C" w:rsidRDefault="008A1637" w:rsidP="00160A4A">
      <w:pPr>
        <w:pStyle w:val="Heading1"/>
        <w:spacing w:before="0"/>
        <w:rPr>
          <w:rFonts w:cs="Tahoma"/>
        </w:rPr>
      </w:pPr>
      <w:r w:rsidRPr="004B208C">
        <w:rPr>
          <w:rFonts w:cs="Tahoma"/>
        </w:rPr>
        <w:br w:type="page"/>
      </w:r>
      <w:bookmarkStart w:id="934" w:name="_Toc336338255"/>
      <w:bookmarkStart w:id="935" w:name="_Toc370981371"/>
      <w:r w:rsidRPr="004B208C">
        <w:rPr>
          <w:rFonts w:cs="Tahoma"/>
        </w:rPr>
        <w:lastRenderedPageBreak/>
        <w:t>NoTAS do Produto</w:t>
      </w:r>
      <w:bookmarkEnd w:id="934"/>
      <w:bookmarkEnd w:id="935"/>
    </w:p>
    <w:p w:rsidR="00023FE7" w:rsidRPr="00BD7DCA" w:rsidRDefault="00023FE7">
      <w:pPr>
        <w:pStyle w:val="Heading2"/>
        <w:ind w:hanging="540"/>
        <w:rPr>
          <w:rFonts w:ascii="Tahoma" w:hAnsi="Tahoma" w:cs="Tahoma"/>
          <w:sz w:val="28"/>
          <w:szCs w:val="28"/>
        </w:rPr>
      </w:pPr>
    </w:p>
    <w:p w:rsidR="00023FE7" w:rsidRPr="004B208C" w:rsidRDefault="00023FE7">
      <w:pPr>
        <w:pStyle w:val="Heading2"/>
        <w:ind w:left="0"/>
        <w:rPr>
          <w:rFonts w:ascii="Tahoma" w:hAnsi="Tahoma" w:cs="Tahoma"/>
        </w:rPr>
      </w:pPr>
      <w:bookmarkStart w:id="936" w:name="_Toc336338256"/>
      <w:bookmarkStart w:id="937" w:name="_Toc370981372"/>
      <w:r w:rsidRPr="004B208C">
        <w:rPr>
          <w:rFonts w:ascii="Tahoma" w:hAnsi="Tahoma" w:cs="Tahoma"/>
          <w:sz w:val="28"/>
        </w:rPr>
        <w:t>Pool de Aplicativos</w:t>
      </w:r>
      <w:bookmarkEnd w:id="936"/>
      <w:bookmarkEnd w:id="937"/>
    </w:p>
    <w:p w:rsidR="00023FE7" w:rsidRPr="004B208C" w:rsidRDefault="00023FE7" w:rsidP="00D94745">
      <w:pPr>
        <w:rPr>
          <w:rFonts w:cs="Tahoma"/>
        </w:rPr>
      </w:pPr>
      <w:bookmarkStart w:id="938" w:name="_1_Data_Analyzer"/>
      <w:bookmarkStart w:id="939" w:name="Aps_1BingMapsDesktopandContentPack"/>
      <w:bookmarkEnd w:id="938"/>
    </w:p>
    <w:p w:rsidR="004A2FC2" w:rsidRPr="004B208C" w:rsidRDefault="004A2FC2" w:rsidP="004A2FC2">
      <w:pPr>
        <w:rPr>
          <w:rFonts w:cs="Tahoma"/>
        </w:rPr>
      </w:pPr>
      <w:bookmarkStart w:id="940" w:name="Aps_ExpStudioproducts"/>
      <w:bookmarkStart w:id="941" w:name="Aps_ExpStudio2"/>
      <w:bookmarkStart w:id="942" w:name="Aps_1ExpStudio3"/>
      <w:bookmarkEnd w:id="939"/>
    </w:p>
    <w:p w:rsidR="00176313" w:rsidRPr="004B208C" w:rsidRDefault="00B54C21" w:rsidP="004A2FC2">
      <w:pPr>
        <w:pStyle w:val="Heading3"/>
        <w:ind w:left="180" w:hanging="180"/>
        <w:rPr>
          <w:rFonts w:ascii="Tahoma" w:hAnsi="Tahoma" w:cs="Tahoma"/>
        </w:rPr>
      </w:pPr>
      <w:bookmarkStart w:id="943" w:name="_12_Expression_Encoder"/>
      <w:bookmarkStart w:id="944" w:name="_1_Expression_Encoder"/>
      <w:bookmarkStart w:id="945" w:name="_Toc336338258"/>
      <w:bookmarkStart w:id="946" w:name="_Toc370981373"/>
      <w:bookmarkEnd w:id="943"/>
      <w:bookmarkEnd w:id="944"/>
      <w:r w:rsidRPr="004B208C">
        <w:rPr>
          <w:rFonts w:ascii="Tahoma" w:hAnsi="Tahoma" w:cs="Tahoma"/>
          <w:caps/>
          <w:color w:val="F66400"/>
          <w:sz w:val="22"/>
          <w:vertAlign w:val="superscript"/>
        </w:rPr>
        <w:t>1</w:t>
      </w:r>
      <w:r w:rsidRPr="004B208C">
        <w:rPr>
          <w:rFonts w:ascii="Tahoma" w:hAnsi="Tahoma" w:cs="Tahoma"/>
          <w:color w:val="F66400"/>
          <w:sz w:val="22"/>
        </w:rPr>
        <w:t xml:space="preserve"> Expression Encoder Pro 4</w:t>
      </w:r>
      <w:bookmarkEnd w:id="940"/>
      <w:bookmarkEnd w:id="945"/>
      <w:bookmarkEnd w:id="946"/>
    </w:p>
    <w:p w:rsidR="00176313" w:rsidRPr="004B208C" w:rsidRDefault="00176313" w:rsidP="004A2FC2">
      <w:pPr>
        <w:rPr>
          <w:rFonts w:cs="Tahoma"/>
        </w:rPr>
      </w:pPr>
    </w:p>
    <w:p w:rsidR="00176313" w:rsidRPr="004B208C" w:rsidRDefault="00176313" w:rsidP="00864B8A">
      <w:pPr>
        <w:spacing w:after="60"/>
        <w:ind w:left="720"/>
        <w:rPr>
          <w:rFonts w:cs="Tahoma"/>
        </w:rPr>
      </w:pPr>
      <w:r w:rsidRPr="004B208C">
        <w:rPr>
          <w:rFonts w:cs="Tahoma"/>
          <w:b/>
          <w:szCs w:val="20"/>
        </w:rPr>
        <w:t>Expression Encoder Pro 4</w:t>
      </w:r>
    </w:p>
    <w:p w:rsidR="00176313" w:rsidRPr="004B208C" w:rsidRDefault="00176313" w:rsidP="004A2FC2">
      <w:pPr>
        <w:ind w:left="720"/>
        <w:rPr>
          <w:rFonts w:cs="Tahoma"/>
        </w:rPr>
      </w:pPr>
      <w:r w:rsidRPr="004B208C">
        <w:rPr>
          <w:rFonts w:cs="Tahoma"/>
          <w:color w:val="000000"/>
          <w:szCs w:val="18"/>
        </w:rPr>
        <w:t>A linha de produtos Expression foi atualizada.</w:t>
      </w:r>
      <w:r w:rsidR="00172F11">
        <w:rPr>
          <w:rFonts w:cs="Tahoma"/>
          <w:color w:val="000000"/>
          <w:szCs w:val="18"/>
        </w:rPr>
        <w:t xml:space="preserve"> </w:t>
      </w:r>
      <w:r w:rsidRPr="004B208C">
        <w:rPr>
          <w:rFonts w:cs="Tahoma"/>
          <w:color w:val="000000"/>
          <w:szCs w:val="18"/>
        </w:rPr>
        <w:t>Somente a marca do produto foi alterada; o software da versão 3 e o software da versão 4 são os mesmos.</w:t>
      </w:r>
      <w:r w:rsidR="00172F11">
        <w:rPr>
          <w:rFonts w:cs="Tahoma"/>
          <w:color w:val="000000"/>
          <w:szCs w:val="18"/>
        </w:rPr>
        <w:t xml:space="preserve"> </w:t>
      </w:r>
      <w:r w:rsidRPr="004B208C">
        <w:rPr>
          <w:rFonts w:cs="Tahoma"/>
          <w:color w:val="000000"/>
          <w:szCs w:val="18"/>
        </w:rPr>
        <w:t>Dessa forma, os clientes licenciados para os produtos da</w:t>
      </w:r>
      <w:r w:rsidR="00BD7DCA">
        <w:rPr>
          <w:rFonts w:cs="Tahoma"/>
          <w:color w:val="000000"/>
          <w:szCs w:val="18"/>
        </w:rPr>
        <w:t> </w:t>
      </w:r>
      <w:r w:rsidRPr="004B208C">
        <w:rPr>
          <w:rFonts w:cs="Tahoma"/>
          <w:color w:val="000000"/>
          <w:szCs w:val="18"/>
        </w:rPr>
        <w:t>versão 3 serão considerados licenciados para os produtos correspondentes da versão 4 (conforme apresentado abaixo) e poderão usar o software marcado como versão 4 em vez do software marcado como</w:t>
      </w:r>
      <w:r w:rsidR="004A5268">
        <w:rPr>
          <w:rFonts w:cs="Tahoma"/>
          <w:color w:val="000000"/>
          <w:szCs w:val="18"/>
        </w:rPr>
        <w:t> </w:t>
      </w:r>
      <w:r w:rsidRPr="004B208C">
        <w:rPr>
          <w:rFonts w:cs="Tahoma"/>
          <w:color w:val="000000"/>
          <w:szCs w:val="18"/>
        </w:rPr>
        <w:t>versão 3. O direito de usar o software continua a ser regido pelos termos e pelas condições do contrato de</w:t>
      </w:r>
      <w:r w:rsidR="00BD7DCA">
        <w:rPr>
          <w:rFonts w:cs="Tahoma"/>
          <w:color w:val="000000"/>
          <w:szCs w:val="18"/>
        </w:rPr>
        <w:t> </w:t>
      </w:r>
      <w:r w:rsidRPr="004B208C">
        <w:rPr>
          <w:rFonts w:cs="Tahoma"/>
          <w:color w:val="000000"/>
          <w:szCs w:val="18"/>
        </w:rPr>
        <w:t>Licenciamento por Volume do Cliente e pelos direitos de uso de produto do software conforme suplementado por esta nota de condição de produto.</w:t>
      </w:r>
      <w:r w:rsidR="00172F11">
        <w:rPr>
          <w:rFonts w:cs="Tahoma"/>
          <w:color w:val="000000"/>
          <w:szCs w:val="18"/>
        </w:rPr>
        <w:t xml:space="preserve"> </w:t>
      </w:r>
      <w:r w:rsidRPr="004B208C">
        <w:rPr>
          <w:rFonts w:cs="Tahoma"/>
          <w:color w:val="000000"/>
          <w:szCs w:val="18"/>
        </w:rPr>
        <w:t>A atualização não abrange a garantia nem qualquer obrigação de suporte da Microsoft relacionada à cobertura de Software Assurance dos produtos.</w:t>
      </w:r>
    </w:p>
    <w:p w:rsidR="00973A93" w:rsidRPr="004B208C" w:rsidRDefault="00973A93">
      <w:pPr>
        <w:rPr>
          <w:rFonts w:cs="Tahoma"/>
        </w:rPr>
      </w:pPr>
    </w:p>
    <w:p w:rsidR="004A2FC2" w:rsidRPr="004B208C" w:rsidRDefault="004A2FC2" w:rsidP="004A2FC2">
      <w:pPr>
        <w:rPr>
          <w:rFonts w:cs="Tahoma"/>
        </w:rPr>
      </w:pPr>
      <w:bookmarkStart w:id="947" w:name="_Toc254806117"/>
      <w:bookmarkStart w:id="948" w:name="Aps_MSDNOPSystems"/>
      <w:bookmarkStart w:id="949" w:name="Aps_3MSDNOPSystems"/>
      <w:bookmarkStart w:id="950" w:name="Aps_5OffCommunicator07"/>
      <w:bookmarkEnd w:id="941"/>
      <w:bookmarkEnd w:id="942"/>
    </w:p>
    <w:p w:rsidR="00E316C2" w:rsidRPr="004B208C" w:rsidRDefault="00B54C21" w:rsidP="00E316C2">
      <w:pPr>
        <w:pStyle w:val="Heading3"/>
        <w:rPr>
          <w:rFonts w:ascii="Tahoma" w:hAnsi="Tahoma" w:cs="Tahoma"/>
        </w:rPr>
      </w:pPr>
      <w:bookmarkStart w:id="951" w:name="_23_Lync_for"/>
      <w:bookmarkStart w:id="952" w:name="_2_Lync_for"/>
      <w:bookmarkStart w:id="953" w:name="_Toc336338259"/>
      <w:bookmarkStart w:id="954" w:name="Aps_3Lync2010"/>
      <w:bookmarkStart w:id="955" w:name="_Toc370981374"/>
      <w:bookmarkEnd w:id="951"/>
      <w:bookmarkEnd w:id="952"/>
      <w:r w:rsidRPr="004B208C">
        <w:rPr>
          <w:rFonts w:ascii="Tahoma" w:hAnsi="Tahoma" w:cs="Tahoma"/>
          <w:caps/>
          <w:color w:val="F66400"/>
          <w:sz w:val="22"/>
          <w:vertAlign w:val="superscript"/>
        </w:rPr>
        <w:t>2</w:t>
      </w:r>
      <w:r w:rsidRPr="004B208C">
        <w:rPr>
          <w:rFonts w:ascii="Tahoma" w:hAnsi="Tahoma" w:cs="Tahoma"/>
          <w:color w:val="F66400"/>
          <w:sz w:val="22"/>
        </w:rPr>
        <w:t xml:space="preserve"> </w:t>
      </w:r>
      <w:bookmarkStart w:id="956" w:name="Aps_4LyncforMac2011"/>
      <w:r w:rsidRPr="004B208C">
        <w:rPr>
          <w:rFonts w:ascii="Tahoma" w:hAnsi="Tahoma" w:cs="Tahoma"/>
          <w:color w:val="F66400"/>
          <w:sz w:val="22"/>
        </w:rPr>
        <w:t xml:space="preserve">Lync </w:t>
      </w:r>
      <w:bookmarkEnd w:id="953"/>
      <w:r w:rsidRPr="004B208C">
        <w:rPr>
          <w:rFonts w:ascii="Tahoma" w:hAnsi="Tahoma" w:cs="Tahoma"/>
          <w:color w:val="F66400"/>
          <w:sz w:val="22"/>
        </w:rPr>
        <w:t>para Mac 2011</w:t>
      </w:r>
      <w:bookmarkEnd w:id="955"/>
      <w:bookmarkEnd w:id="956"/>
    </w:p>
    <w:p w:rsidR="00AE5A9F" w:rsidRPr="004B208C" w:rsidRDefault="00AE5A9F" w:rsidP="00AE5A9F">
      <w:pPr>
        <w:rPr>
          <w:rFonts w:cs="Tahoma"/>
        </w:rPr>
      </w:pPr>
    </w:p>
    <w:bookmarkEnd w:id="954"/>
    <w:p w:rsidR="004A2FC2" w:rsidRPr="004B208C" w:rsidRDefault="00E316C2" w:rsidP="00864B8A">
      <w:pPr>
        <w:spacing w:after="60"/>
        <w:ind w:left="720"/>
        <w:rPr>
          <w:rFonts w:cs="Tahoma"/>
        </w:rPr>
      </w:pPr>
      <w:r w:rsidRPr="004B208C">
        <w:rPr>
          <w:rFonts w:cs="Tahoma"/>
          <w:b/>
          <w:szCs w:val="20"/>
        </w:rPr>
        <w:t xml:space="preserve">Caminho de Migração do Software Assurance para o Communicator para Mac 2011 </w:t>
      </w:r>
    </w:p>
    <w:p w:rsidR="00B9674D" w:rsidRPr="004B208C" w:rsidRDefault="00E316C2" w:rsidP="004A2FC2">
      <w:pPr>
        <w:adjustRightInd w:val="0"/>
        <w:ind w:left="720"/>
        <w:textAlignment w:val="baseline"/>
        <w:rPr>
          <w:rFonts w:cs="Tahoma"/>
        </w:rPr>
      </w:pPr>
      <w:r w:rsidRPr="004B208C">
        <w:rPr>
          <w:rFonts w:cs="Tahoma"/>
        </w:rPr>
        <w:t>A versão substituta do Communicator para Mac 2011 é o Lync para Mac 2011.</w:t>
      </w:r>
    </w:p>
    <w:p w:rsidR="004A2FC2" w:rsidRPr="004B208C" w:rsidRDefault="004A2FC2" w:rsidP="004A2FC2">
      <w:pPr>
        <w:adjustRightInd w:val="0"/>
        <w:textAlignment w:val="baseline"/>
        <w:rPr>
          <w:rFonts w:cs="Tahoma"/>
        </w:rPr>
      </w:pPr>
    </w:p>
    <w:p w:rsidR="004A2FC2" w:rsidRPr="004B208C" w:rsidRDefault="004A2FC2" w:rsidP="004A2FC2">
      <w:pPr>
        <w:adjustRightInd w:val="0"/>
        <w:textAlignment w:val="baseline"/>
        <w:rPr>
          <w:rFonts w:cs="Tahoma"/>
        </w:rPr>
      </w:pPr>
    </w:p>
    <w:p w:rsidR="00DC2291" w:rsidRPr="004B208C" w:rsidRDefault="00B54C21" w:rsidP="00DC2291">
      <w:pPr>
        <w:pStyle w:val="Heading3"/>
        <w:rPr>
          <w:rFonts w:ascii="Tahoma" w:hAnsi="Tahoma" w:cs="Tahoma"/>
        </w:rPr>
      </w:pPr>
      <w:bookmarkStart w:id="957" w:name="_34_MSDN_Operating"/>
      <w:bookmarkStart w:id="958" w:name="_3_MSDN_Operating"/>
      <w:bookmarkStart w:id="959" w:name="_Toc336338261"/>
      <w:bookmarkStart w:id="960" w:name="_Toc370981375"/>
      <w:bookmarkEnd w:id="957"/>
      <w:bookmarkEnd w:id="958"/>
      <w:r w:rsidRPr="004B208C">
        <w:rPr>
          <w:rFonts w:ascii="Tahoma" w:hAnsi="Tahoma" w:cs="Tahoma"/>
          <w:caps/>
          <w:color w:val="F66400"/>
          <w:sz w:val="22"/>
          <w:vertAlign w:val="superscript"/>
        </w:rPr>
        <w:t>3</w:t>
      </w:r>
      <w:r w:rsidRPr="004B208C">
        <w:rPr>
          <w:rFonts w:ascii="Tahoma" w:hAnsi="Tahoma" w:cs="Tahoma"/>
          <w:color w:val="F66400"/>
          <w:sz w:val="22"/>
        </w:rPr>
        <w:t xml:space="preserve"> Sistemas Operacionais MSDN</w:t>
      </w:r>
      <w:bookmarkEnd w:id="947"/>
      <w:bookmarkEnd w:id="959"/>
      <w:bookmarkEnd w:id="960"/>
    </w:p>
    <w:bookmarkEnd w:id="948"/>
    <w:bookmarkEnd w:id="949"/>
    <w:p w:rsidR="00D16EA8" w:rsidRPr="00BD7DCA" w:rsidRDefault="00D16EA8" w:rsidP="00D16EA8">
      <w:pPr>
        <w:pStyle w:val="FootnoteBulletLevel1"/>
        <w:tabs>
          <w:tab w:val="clear" w:pos="900"/>
        </w:tabs>
        <w:spacing w:before="0" w:after="0"/>
        <w:ind w:left="720" w:firstLine="0"/>
        <w:rPr>
          <w:rFonts w:ascii="Tahoma" w:hAnsi="Tahoma" w:cs="Tahoma"/>
          <w:sz w:val="18"/>
          <w:szCs w:val="18"/>
        </w:rPr>
      </w:pPr>
    </w:p>
    <w:p w:rsidR="00D16EA8" w:rsidRPr="004B208C" w:rsidRDefault="00DC2291" w:rsidP="00864B8A">
      <w:pPr>
        <w:spacing w:after="60"/>
        <w:ind w:left="720"/>
        <w:rPr>
          <w:rFonts w:cs="Tahoma"/>
        </w:rPr>
      </w:pPr>
      <w:r w:rsidRPr="004B208C">
        <w:rPr>
          <w:rFonts w:cs="Tahoma"/>
          <w:b/>
          <w:szCs w:val="20"/>
        </w:rPr>
        <w:t>Qualificação do Software Assurance</w:t>
      </w:r>
    </w:p>
    <w:p w:rsidR="008368B4" w:rsidRPr="00BD7DCA" w:rsidRDefault="00DC2291" w:rsidP="008368B4">
      <w:pPr>
        <w:pStyle w:val="EndnoteText"/>
        <w:tabs>
          <w:tab w:val="num" w:pos="1080"/>
        </w:tabs>
        <w:ind w:left="720"/>
        <w:rPr>
          <w:rFonts w:ascii="Tahoma" w:hAnsi="Tahoma" w:cs="Tahoma"/>
          <w:sz w:val="18"/>
          <w:szCs w:val="18"/>
        </w:rPr>
      </w:pPr>
      <w:r w:rsidRPr="00BD7DCA">
        <w:rPr>
          <w:rFonts w:ascii="Tahoma" w:hAnsi="Tahoma" w:cs="Tahoma"/>
          <w:sz w:val="18"/>
          <w:szCs w:val="18"/>
        </w:rPr>
        <w:t>Os clientes com Software Assurance próximo à data de término referente às licenças dos produtos a seguir estão qualificados a renovar suas coberturas como Software Assurance do MSDN Operating Systems. Ao renovar uma nível de assinatura MSDN diferente, os novos termos de uso substituirão os termos de uso anteriores, e qualquer software não incluído na nova assinatura MSDN deverá ser removido.</w:t>
      </w:r>
    </w:p>
    <w:p w:rsidR="00DC2291" w:rsidRPr="00BD7DCA" w:rsidRDefault="00DC2291" w:rsidP="00D16EA8">
      <w:pPr>
        <w:pStyle w:val="EndnoteText"/>
        <w:tabs>
          <w:tab w:val="num" w:pos="1080"/>
        </w:tabs>
        <w:ind w:left="720"/>
        <w:rPr>
          <w:rFonts w:ascii="Tahoma" w:hAnsi="Tahoma" w:cs="Tahoma"/>
          <w:sz w:val="18"/>
          <w:szCs w:val="18"/>
        </w:rPr>
      </w:pP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Ultimate com MSDN</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Premium com MSDN</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Professional com MSDN</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Professional com MSDN Embedded</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Test Professional com MSDN</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Professional com MSDN Professional</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Professional com MSDN Premium</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Team System Team Suite com MSDN Premium</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Team System Test Edition com MSDN Premium</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Team System Development Edition com MSDN Premium</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 xml:space="preserve">Visual Studio Team System Architecture Edition com MSDN Premium </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Visual Studio Team System Database Edition com MSDN Premium</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MSDN Operating Systems</w:t>
      </w:r>
    </w:p>
    <w:p w:rsidR="00DC2291" w:rsidRPr="00BD7DCA" w:rsidRDefault="00DC2291" w:rsidP="00D16EA8">
      <w:pPr>
        <w:pStyle w:val="FootnoteBulletLevel2"/>
        <w:numPr>
          <w:ilvl w:val="0"/>
          <w:numId w:val="4"/>
        </w:numPr>
        <w:spacing w:before="0" w:after="60"/>
        <w:ind w:left="1440"/>
        <w:rPr>
          <w:rFonts w:ascii="Tahoma" w:hAnsi="Tahoma" w:cs="Tahoma"/>
          <w:sz w:val="18"/>
          <w:szCs w:val="18"/>
        </w:rPr>
      </w:pPr>
      <w:r w:rsidRPr="00BD7DCA">
        <w:rPr>
          <w:rFonts w:ascii="Tahoma" w:hAnsi="Tahoma" w:cs="Tahoma"/>
          <w:sz w:val="18"/>
          <w:szCs w:val="18"/>
        </w:rPr>
        <w:t>Clientes com uma assinatura de varejo ativa para qualquer um dos softwares acima</w:t>
      </w:r>
    </w:p>
    <w:p w:rsidR="00413D8A" w:rsidRPr="004B208C" w:rsidRDefault="00413D8A">
      <w:pPr>
        <w:rPr>
          <w:rFonts w:cs="Tahoma"/>
        </w:rPr>
      </w:pPr>
    </w:p>
    <w:p w:rsidR="00D16EA8" w:rsidRPr="004B208C" w:rsidRDefault="00F51051" w:rsidP="001760D6">
      <w:pPr>
        <w:keepNext/>
        <w:spacing w:after="60"/>
        <w:ind w:left="720"/>
        <w:rPr>
          <w:rFonts w:cs="Tahoma"/>
        </w:rPr>
      </w:pPr>
      <w:r w:rsidRPr="004B208C">
        <w:rPr>
          <w:rFonts w:cs="Tahoma"/>
          <w:b/>
          <w:szCs w:val="20"/>
        </w:rPr>
        <w:lastRenderedPageBreak/>
        <w:t>Serviços de Assinatura</w:t>
      </w:r>
    </w:p>
    <w:p w:rsidR="00B26237" w:rsidRPr="00CC725F" w:rsidRDefault="002333B5" w:rsidP="00D16EA8">
      <w:pPr>
        <w:pStyle w:val="FootnoteBulletLevel2"/>
        <w:tabs>
          <w:tab w:val="clear" w:pos="1260"/>
        </w:tabs>
        <w:spacing w:before="0"/>
        <w:ind w:left="720" w:firstLine="0"/>
        <w:rPr>
          <w:rFonts w:ascii="Tahoma" w:hAnsi="Tahoma" w:cs="Tahoma"/>
          <w:sz w:val="18"/>
          <w:szCs w:val="18"/>
        </w:rPr>
      </w:pPr>
      <w:r w:rsidRPr="00CC725F">
        <w:rPr>
          <w:rFonts w:ascii="Tahoma" w:hAnsi="Tahoma" w:cs="Tahoma"/>
          <w:sz w:val="18"/>
          <w:szCs w:val="18"/>
        </w:rPr>
        <w:t>Os serviços de assinatura MSDN, que podem incluir downloads, chaves de produto, benefícios do Windows Azure, e-learning, suporte técnico, benefícios do Windows Store e outros serviços, só estarão disponíveis enquanto a assinatura estiver ativa.</w:t>
      </w:r>
    </w:p>
    <w:p w:rsidR="00D16EA8" w:rsidRPr="00BD7DCA" w:rsidRDefault="00D16EA8" w:rsidP="00D16EA8">
      <w:pPr>
        <w:pStyle w:val="FootnoteBulletLevel2"/>
        <w:tabs>
          <w:tab w:val="clear" w:pos="1260"/>
        </w:tabs>
        <w:spacing w:before="0"/>
        <w:ind w:left="0" w:firstLine="0"/>
        <w:rPr>
          <w:rFonts w:ascii="Tahoma" w:hAnsi="Tahoma" w:cs="Tahoma"/>
          <w:sz w:val="18"/>
          <w:szCs w:val="18"/>
        </w:rPr>
      </w:pPr>
    </w:p>
    <w:p w:rsidR="00D16EA8" w:rsidRPr="00BD7DCA" w:rsidRDefault="00D16EA8" w:rsidP="00D16EA8">
      <w:pPr>
        <w:pStyle w:val="FootnoteBulletLevel2"/>
        <w:tabs>
          <w:tab w:val="clear" w:pos="1260"/>
        </w:tabs>
        <w:spacing w:before="0"/>
        <w:ind w:left="0" w:firstLine="0"/>
        <w:rPr>
          <w:rFonts w:ascii="Tahoma" w:hAnsi="Tahoma" w:cs="Tahoma"/>
          <w:sz w:val="18"/>
          <w:szCs w:val="18"/>
        </w:rPr>
      </w:pPr>
    </w:p>
    <w:p w:rsidR="000C6DBC" w:rsidRPr="004B208C" w:rsidRDefault="00B54C21" w:rsidP="00B26237">
      <w:pPr>
        <w:pStyle w:val="Heading2"/>
        <w:ind w:left="0"/>
        <w:rPr>
          <w:rFonts w:ascii="Tahoma" w:hAnsi="Tahoma" w:cs="Tahoma"/>
        </w:rPr>
      </w:pPr>
      <w:bookmarkStart w:id="961" w:name="_6_Office_365"/>
      <w:bookmarkStart w:id="962" w:name="_45_Office_365"/>
      <w:bookmarkStart w:id="963" w:name="_4_MSDN_Platforms"/>
      <w:bookmarkStart w:id="964" w:name="_Toc336338262"/>
      <w:bookmarkStart w:id="965" w:name="_Toc370981376"/>
      <w:bookmarkEnd w:id="961"/>
      <w:bookmarkEnd w:id="962"/>
      <w:bookmarkEnd w:id="963"/>
      <w:r w:rsidRPr="004B208C">
        <w:rPr>
          <w:rFonts w:ascii="Tahoma" w:hAnsi="Tahoma" w:cs="Tahoma"/>
          <w:caps/>
          <w:color w:val="F66400"/>
          <w:sz w:val="22"/>
          <w:szCs w:val="20"/>
          <w:vertAlign w:val="superscript"/>
        </w:rPr>
        <w:t>4</w:t>
      </w:r>
      <w:r w:rsidRPr="004B208C">
        <w:rPr>
          <w:rFonts w:ascii="Tahoma" w:hAnsi="Tahoma" w:cs="Tahoma"/>
          <w:color w:val="F66400"/>
          <w:sz w:val="22"/>
          <w:szCs w:val="20"/>
        </w:rPr>
        <w:t xml:space="preserve"> </w:t>
      </w:r>
      <w:r w:rsidRPr="004B208C">
        <w:rPr>
          <w:rFonts w:ascii="Tahoma" w:hAnsi="Tahoma" w:cs="Tahoma"/>
          <w:color w:val="FF6600"/>
          <w:sz w:val="22"/>
          <w:szCs w:val="22"/>
        </w:rPr>
        <w:t>Plataformas MSDN</w:t>
      </w:r>
      <w:bookmarkEnd w:id="965"/>
    </w:p>
    <w:p w:rsidR="000C6DBC" w:rsidRPr="00BD7DCA" w:rsidRDefault="000C6DBC" w:rsidP="000C6DBC">
      <w:pPr>
        <w:pStyle w:val="FootnoteBulletLevel2"/>
        <w:tabs>
          <w:tab w:val="clear" w:pos="1260"/>
        </w:tabs>
        <w:spacing w:before="0"/>
        <w:ind w:left="0" w:firstLine="0"/>
        <w:rPr>
          <w:rFonts w:ascii="Tahoma" w:hAnsi="Tahoma" w:cs="Tahoma"/>
          <w:sz w:val="18"/>
          <w:szCs w:val="18"/>
        </w:rPr>
      </w:pPr>
    </w:p>
    <w:p w:rsidR="000C6DBC" w:rsidRPr="004B208C" w:rsidRDefault="000C6DBC" w:rsidP="000C6DBC">
      <w:pPr>
        <w:spacing w:after="60"/>
        <w:ind w:left="720"/>
        <w:rPr>
          <w:rFonts w:cs="Tahoma"/>
        </w:rPr>
      </w:pPr>
      <w:r w:rsidRPr="004B208C">
        <w:rPr>
          <w:rFonts w:cs="Tahoma"/>
          <w:b/>
          <w:szCs w:val="18"/>
        </w:rPr>
        <w:t>Visual Studio Team Foundation Server 2013</w:t>
      </w:r>
    </w:p>
    <w:p w:rsidR="000C6DBC" w:rsidRPr="00BD7DCA" w:rsidRDefault="000C6DBC" w:rsidP="000C6DBC">
      <w:pPr>
        <w:pStyle w:val="EndnoteText"/>
        <w:ind w:left="720"/>
        <w:rPr>
          <w:rFonts w:ascii="Tahoma" w:hAnsi="Tahoma" w:cs="Tahoma"/>
          <w:sz w:val="18"/>
          <w:szCs w:val="18"/>
        </w:rPr>
      </w:pPr>
      <w:r w:rsidRPr="00BD7DCA">
        <w:rPr>
          <w:rFonts w:ascii="Tahoma" w:hAnsi="Tahoma" w:cs="Tahoma"/>
          <w:sz w:val="18"/>
          <w:szCs w:val="18"/>
        </w:rPr>
        <w:t>O assinante está qualificado para uma licença de servidor para o Visual Studio Team Foundation Server 2013 e uma CAL de Usuário do Team Foundation Server.</w:t>
      </w:r>
      <w:r w:rsidR="00172F11" w:rsidRPr="00BD7DCA">
        <w:rPr>
          <w:rFonts w:ascii="Tahoma" w:hAnsi="Tahoma" w:cs="Tahoma"/>
          <w:sz w:val="18"/>
          <w:szCs w:val="18"/>
        </w:rPr>
        <w:t xml:space="preserve"> </w:t>
      </w:r>
      <w:r w:rsidRPr="00BD7DCA">
        <w:rPr>
          <w:rFonts w:ascii="Tahoma" w:hAnsi="Tahoma" w:cs="Tahoma"/>
          <w:sz w:val="18"/>
          <w:szCs w:val="18"/>
        </w:rPr>
        <w:t>A CAL é reservada unicamente para uso do assinante.</w:t>
      </w:r>
    </w:p>
    <w:p w:rsidR="000C6DBC" w:rsidRPr="00BD7DCA" w:rsidRDefault="000C6DBC" w:rsidP="000C6DBC">
      <w:pPr>
        <w:rPr>
          <w:rFonts w:cs="Tahoma"/>
          <w:szCs w:val="18"/>
        </w:rPr>
      </w:pPr>
    </w:p>
    <w:p w:rsidR="000C6DBC" w:rsidRPr="004B208C" w:rsidRDefault="000C6DBC" w:rsidP="000C6DBC">
      <w:pPr>
        <w:spacing w:after="60"/>
        <w:ind w:left="720"/>
        <w:rPr>
          <w:rFonts w:cs="Tahoma"/>
        </w:rPr>
      </w:pPr>
      <w:r w:rsidRPr="004B208C">
        <w:rPr>
          <w:rFonts w:cs="Tahoma"/>
          <w:b/>
          <w:szCs w:val="18"/>
        </w:rPr>
        <w:t>Serviços de Assinatura</w:t>
      </w:r>
    </w:p>
    <w:p w:rsidR="000C6DBC" w:rsidRPr="004B208C" w:rsidRDefault="000C6DBC" w:rsidP="000C6DBC">
      <w:pPr>
        <w:ind w:left="720"/>
        <w:rPr>
          <w:rFonts w:cs="Tahoma"/>
        </w:rPr>
      </w:pPr>
      <w:r w:rsidRPr="004B208C">
        <w:rPr>
          <w:rFonts w:cs="Tahoma"/>
          <w:szCs w:val="18"/>
        </w:rPr>
        <w:t>Os serviços de assinatura MSDN, que podem incluir downloads, chaves de produto, benefícios do Windows</w:t>
      </w:r>
      <w:r w:rsidR="00BD7DCA">
        <w:rPr>
          <w:rFonts w:cs="Tahoma"/>
          <w:szCs w:val="18"/>
        </w:rPr>
        <w:t> </w:t>
      </w:r>
      <w:r w:rsidRPr="004B208C">
        <w:rPr>
          <w:rFonts w:cs="Tahoma"/>
          <w:szCs w:val="18"/>
        </w:rPr>
        <w:t>Azure, benefícios do Office 365 Developer, e-learning, suporte técnico, benefícios do Windows</w:t>
      </w:r>
      <w:r w:rsidR="00BD7DCA">
        <w:rPr>
          <w:rFonts w:cs="Tahoma"/>
          <w:szCs w:val="18"/>
        </w:rPr>
        <w:t> </w:t>
      </w:r>
      <w:r w:rsidRPr="004B208C">
        <w:rPr>
          <w:rFonts w:cs="Tahoma"/>
          <w:szCs w:val="18"/>
        </w:rPr>
        <w:t>Store e</w:t>
      </w:r>
      <w:r w:rsidR="00BD7DCA">
        <w:rPr>
          <w:rFonts w:cs="Tahoma"/>
          <w:szCs w:val="18"/>
        </w:rPr>
        <w:t> </w:t>
      </w:r>
      <w:r w:rsidRPr="004B208C">
        <w:rPr>
          <w:rFonts w:cs="Tahoma"/>
          <w:szCs w:val="18"/>
        </w:rPr>
        <w:t>outros serviços, só estarão disponíveis enquanto a assinatura estiver ativa.</w:t>
      </w:r>
    </w:p>
    <w:p w:rsidR="000C6DBC" w:rsidRPr="00BD7DCA" w:rsidRDefault="000C6DBC" w:rsidP="00B26237">
      <w:pPr>
        <w:pStyle w:val="Heading2"/>
        <w:ind w:left="0"/>
        <w:rPr>
          <w:rFonts w:ascii="Tahoma" w:hAnsi="Tahoma" w:cs="Tahoma"/>
          <w:b w:val="0"/>
          <w:sz w:val="18"/>
          <w:szCs w:val="18"/>
        </w:rPr>
      </w:pPr>
    </w:p>
    <w:p w:rsidR="000C6DBC" w:rsidRPr="00BD7DCA" w:rsidRDefault="000C6DBC" w:rsidP="00B26237">
      <w:pPr>
        <w:pStyle w:val="Heading2"/>
        <w:ind w:left="0"/>
        <w:rPr>
          <w:rFonts w:ascii="Tahoma" w:hAnsi="Tahoma" w:cs="Tahoma"/>
          <w:b w:val="0"/>
          <w:sz w:val="18"/>
          <w:szCs w:val="18"/>
        </w:rPr>
      </w:pPr>
    </w:p>
    <w:p w:rsidR="00B26237" w:rsidRPr="004B208C" w:rsidRDefault="00513265" w:rsidP="00B26237">
      <w:pPr>
        <w:pStyle w:val="Heading2"/>
        <w:ind w:left="0"/>
        <w:rPr>
          <w:rFonts w:ascii="Tahoma" w:hAnsi="Tahoma" w:cs="Tahoma"/>
        </w:rPr>
      </w:pPr>
      <w:bookmarkStart w:id="966" w:name="_5_Office_365_1"/>
      <w:bookmarkStart w:id="967" w:name="_Toc370981377"/>
      <w:bookmarkEnd w:id="966"/>
      <w:r w:rsidRPr="004B208C">
        <w:rPr>
          <w:rFonts w:ascii="Tahoma" w:hAnsi="Tahoma" w:cs="Tahoma"/>
          <w:caps/>
          <w:color w:val="FF6600"/>
          <w:sz w:val="22"/>
          <w:szCs w:val="22"/>
          <w:vertAlign w:val="superscript"/>
        </w:rPr>
        <w:t>5</w:t>
      </w:r>
      <w:r w:rsidRPr="004B208C">
        <w:rPr>
          <w:rFonts w:ascii="Tahoma" w:hAnsi="Tahoma" w:cs="Tahoma"/>
          <w:color w:val="FF6600"/>
        </w:rPr>
        <w:t xml:space="preserve"> </w:t>
      </w:r>
      <w:r w:rsidRPr="004B208C">
        <w:rPr>
          <w:rFonts w:ascii="Tahoma" w:hAnsi="Tahoma" w:cs="Tahoma"/>
          <w:color w:val="FF6600"/>
          <w:sz w:val="22"/>
          <w:szCs w:val="22"/>
        </w:rPr>
        <w:t>Office 365 Education A2-A4 (SL de Usuário)</w:t>
      </w:r>
      <w:bookmarkEnd w:id="964"/>
      <w:bookmarkEnd w:id="967"/>
    </w:p>
    <w:p w:rsidR="00B26237" w:rsidRPr="004B208C" w:rsidRDefault="00B26237" w:rsidP="00AE5A9F">
      <w:pPr>
        <w:rPr>
          <w:rFonts w:cs="Tahoma"/>
        </w:rPr>
      </w:pPr>
    </w:p>
    <w:p w:rsidR="00B26237" w:rsidRPr="004B208C" w:rsidRDefault="00B26237" w:rsidP="00B26237">
      <w:pPr>
        <w:ind w:left="720"/>
        <w:rPr>
          <w:rFonts w:cs="Tahoma"/>
        </w:rPr>
      </w:pPr>
      <w:r w:rsidRPr="004B208C">
        <w:rPr>
          <w:rFonts w:eastAsia="Calibri" w:cs="Tahoma"/>
          <w:color w:val="000000"/>
          <w:szCs w:val="18"/>
        </w:rPr>
        <w:t>O Office 365 Education A2, A3 e A4 são compostos por versões acadêmicas específicas dos mesmos serviços online que abrangem o Office 365 Enterprise E1, E3 e E4, respectivamente, com exceção do Yammer Enterprise.</w:t>
      </w:r>
      <w:r w:rsidR="00172F11">
        <w:rPr>
          <w:rFonts w:eastAsia="Calibri" w:cs="Tahoma"/>
          <w:color w:val="000000"/>
          <w:szCs w:val="18"/>
        </w:rPr>
        <w:t xml:space="preserve"> </w:t>
      </w:r>
      <w:r w:rsidRPr="004B208C">
        <w:rPr>
          <w:rFonts w:eastAsia="Calibri" w:cs="Tahoma"/>
          <w:color w:val="000000"/>
          <w:szCs w:val="18"/>
        </w:rPr>
        <w:t>Os direitos de uso para Education A2-A4 e seus componentes são equivalentes às suas</w:t>
      </w:r>
      <w:r w:rsidR="00916AA6">
        <w:rPr>
          <w:rFonts w:eastAsia="Calibri" w:cs="Tahoma"/>
          <w:color w:val="000000"/>
          <w:szCs w:val="18"/>
        </w:rPr>
        <w:t> </w:t>
      </w:r>
      <w:r w:rsidRPr="004B208C">
        <w:rPr>
          <w:rFonts w:eastAsia="Calibri" w:cs="Tahoma"/>
          <w:color w:val="000000"/>
          <w:szCs w:val="18"/>
        </w:rPr>
        <w:t>contrapartidas comerciais.</w:t>
      </w:r>
      <w:r w:rsidR="00172F11">
        <w:rPr>
          <w:rFonts w:eastAsia="Calibri" w:cs="Tahoma"/>
          <w:color w:val="000000"/>
          <w:szCs w:val="18"/>
        </w:rPr>
        <w:t xml:space="preserve"> </w:t>
      </w:r>
      <w:r w:rsidRPr="004B208C">
        <w:rPr>
          <w:rFonts w:eastAsia="Calibri" w:cs="Tahoma"/>
          <w:color w:val="000000"/>
          <w:szCs w:val="18"/>
        </w:rPr>
        <w:t>No entanto, os usuários com USLs do Office 365 Education A2 não podem acessar serviços locais, e o Yammer Enterprise não está disponível no A2-A4.</w:t>
      </w:r>
    </w:p>
    <w:p w:rsidR="00B26237" w:rsidRPr="004B208C" w:rsidRDefault="00B26237" w:rsidP="00B26237">
      <w:pPr>
        <w:ind w:left="720"/>
        <w:rPr>
          <w:rFonts w:cs="Tahoma"/>
        </w:rPr>
      </w:pPr>
    </w:p>
    <w:p w:rsidR="00B26237" w:rsidRPr="004B208C" w:rsidRDefault="00B26237" w:rsidP="00B26237">
      <w:pPr>
        <w:ind w:left="720"/>
        <w:rPr>
          <w:rFonts w:cs="Tahoma"/>
        </w:rPr>
      </w:pPr>
      <w:r w:rsidRPr="004B208C">
        <w:rPr>
          <w:rFonts w:eastAsia="Calibri" w:cs="Tahoma"/>
          <w:color w:val="000000"/>
          <w:szCs w:val="18"/>
        </w:rPr>
        <w:t>No Contrato para Campus e School, as licenças de assinatura dos Planos do Office 365 devem ser adquiridas por usuário para toda a instituição ou não extensivas a toda a Instituição. Se as Licenças de Assinatura de Usuário adicionais forem exigidas para acessar o Plano do O365 a médio prazo, a Instituição deverá enviar um pedido para tais Licenças.</w:t>
      </w:r>
      <w:r w:rsidR="00172F11">
        <w:rPr>
          <w:rFonts w:eastAsia="Calibri" w:cs="Tahoma"/>
          <w:color w:val="000000"/>
          <w:szCs w:val="18"/>
        </w:rPr>
        <w:t xml:space="preserve"> </w:t>
      </w:r>
      <w:r w:rsidRPr="004B208C">
        <w:rPr>
          <w:rFonts w:eastAsia="Calibri" w:cs="Tahoma"/>
          <w:color w:val="000000"/>
          <w:szCs w:val="18"/>
        </w:rPr>
        <w:t>A Instituição pode usar qualquer Plano do O365 para atender aos requisitos mínimos do programa. Ao licenciar o Complemento O365, o produto de qualificação correspondente deverá ser licenciado sob o mesmo registro.</w:t>
      </w:r>
      <w:r w:rsidR="00172F11">
        <w:rPr>
          <w:rFonts w:eastAsia="Calibri" w:cs="Tahoma"/>
          <w:color w:val="000000"/>
          <w:szCs w:val="18"/>
        </w:rPr>
        <w:t xml:space="preserve"> </w:t>
      </w:r>
      <w:r w:rsidRPr="004B208C">
        <w:rPr>
          <w:rFonts w:cs="Tahoma"/>
          <w:color w:val="000000"/>
        </w:rPr>
        <w:t>Ao fazer pedidos anuais, a Instituição poderá pedir menos licenças para Serviços Online do que a quantidade de pedido inicial desde que o pedido anual atenda aos requisitos mínimos para Serviços Online da Plataforma</w:t>
      </w:r>
    </w:p>
    <w:p w:rsidR="00B26237" w:rsidRPr="004B208C" w:rsidRDefault="00B26237" w:rsidP="00B26237">
      <w:pPr>
        <w:ind w:left="720"/>
        <w:rPr>
          <w:rFonts w:cs="Tahoma"/>
        </w:rPr>
      </w:pPr>
    </w:p>
    <w:p w:rsidR="00996781" w:rsidRPr="004B208C" w:rsidRDefault="00996781" w:rsidP="00B26237">
      <w:pPr>
        <w:ind w:left="720"/>
        <w:rPr>
          <w:rFonts w:cs="Tahoma"/>
        </w:rPr>
      </w:pPr>
      <w:r w:rsidRPr="004B208C">
        <w:rPr>
          <w:rFonts w:cs="Tahoma"/>
          <w:iCs/>
        </w:rPr>
        <w:t>Como oferta por tempo limitado, os clientes licenciados para Office 365 Education A2, A3 ou A4 receberão uma cópia licenciada gratuita do Lync 2013 (ou Lync for Mac 2011) com cada licença de avaliação de usuário para Office 365 Education A2, A3 e A4. O software só poderá ser usado com o Office 365 Education A2, A3, A4 (que inclui o Lync Online), e todos os direitos de uso do software se encerrarão ao término da licença de assinatura básica ou da migração para a próxima nova versão principal do Office 365 Education A2, A3, A4 e Lync Online, o que ocorrer primeiro</w:t>
      </w:r>
    </w:p>
    <w:p w:rsidR="00996781" w:rsidRPr="004B208C" w:rsidRDefault="00996781" w:rsidP="00B26237">
      <w:pPr>
        <w:ind w:left="720"/>
        <w:rPr>
          <w:rFonts w:cs="Tahoma"/>
        </w:rPr>
      </w:pPr>
    </w:p>
    <w:p w:rsidR="00B26237" w:rsidRPr="004B208C" w:rsidRDefault="000A0D35" w:rsidP="00864B8A">
      <w:pPr>
        <w:spacing w:after="60"/>
        <w:ind w:left="720"/>
        <w:rPr>
          <w:rFonts w:cs="Tahoma"/>
        </w:rPr>
      </w:pPr>
      <w:r w:rsidRPr="004B208C">
        <w:rPr>
          <w:rFonts w:cs="Tahoma"/>
          <w:b/>
          <w:szCs w:val="20"/>
        </w:rPr>
        <w:t>USLs Complementares</w:t>
      </w:r>
    </w:p>
    <w:p w:rsidR="00B26237" w:rsidRPr="004B208C" w:rsidRDefault="00B26237" w:rsidP="00B26237">
      <w:pPr>
        <w:ind w:left="720"/>
        <w:rPr>
          <w:rFonts w:cs="Tahoma"/>
        </w:rPr>
      </w:pPr>
      <w:r w:rsidRPr="004B208C">
        <w:rPr>
          <w:rFonts w:eastAsia="Calibri" w:cs="Tahoma"/>
          <w:color w:val="000000"/>
          <w:szCs w:val="18"/>
        </w:rPr>
        <w:t>As Instituições que possuem cobertura de produtos de qualificação poderão comprar a Licença de Assinatura de Usuário correspondente para o Plano do O365</w:t>
      </w:r>
      <w:r w:rsidR="00172F11">
        <w:rPr>
          <w:rFonts w:eastAsia="Calibri" w:cs="Tahoma"/>
          <w:color w:val="000000"/>
          <w:szCs w:val="18"/>
        </w:rPr>
        <w:t xml:space="preserve"> </w:t>
      </w:r>
      <w:r w:rsidRPr="004B208C">
        <w:rPr>
          <w:rFonts w:eastAsia="Calibri" w:cs="Tahoma"/>
          <w:color w:val="000000"/>
          <w:szCs w:val="18"/>
        </w:rPr>
        <w:t>Complementar, conforme detalhado na tabela a seguir.</w:t>
      </w:r>
      <w:r w:rsidR="00172F11">
        <w:rPr>
          <w:rFonts w:eastAsia="Calibri" w:cs="Tahoma"/>
          <w:color w:val="000000"/>
          <w:szCs w:val="18"/>
        </w:rPr>
        <w:t xml:space="preserve"> </w:t>
      </w:r>
      <w:r w:rsidRPr="004B208C">
        <w:rPr>
          <w:rFonts w:eastAsia="Calibri" w:cs="Tahoma"/>
          <w:color w:val="000000"/>
          <w:szCs w:val="18"/>
        </w:rPr>
        <w:t>Instituições com um Contrato para Campus e School: As Instituições poderão comprar a Licença de Assinatura de Usuário correspondente para o Plano do O365 Completar para seus Usuários até uma quantidade igual à da sua contagem de PCs Qualificados, contanto que eles tenham cobertura para os produtos de qualificação.</w:t>
      </w:r>
      <w:r w:rsidR="00172F11">
        <w:rPr>
          <w:rFonts w:eastAsia="Calibri" w:cs="Tahoma"/>
          <w:color w:val="000000"/>
          <w:szCs w:val="18"/>
        </w:rPr>
        <w:t xml:space="preserve"> </w:t>
      </w:r>
    </w:p>
    <w:p w:rsidR="00B26237" w:rsidRPr="004B208C" w:rsidRDefault="00B26237" w:rsidP="00B26237">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50"/>
        <w:gridCol w:w="4590"/>
      </w:tblGrid>
      <w:tr w:rsidR="00B26237" w:rsidRPr="004B208C" w:rsidTr="00BD7DCA">
        <w:trPr>
          <w:tblHeader/>
        </w:trPr>
        <w:tc>
          <w:tcPr>
            <w:tcW w:w="4050" w:type="dxa"/>
            <w:shd w:val="clear" w:color="auto" w:fill="FABF8F"/>
          </w:tcPr>
          <w:p w:rsidR="00B26237" w:rsidRPr="004B208C" w:rsidRDefault="00B26237" w:rsidP="00B42A20">
            <w:pPr>
              <w:rPr>
                <w:rFonts w:eastAsia="Calibri" w:cs="Tahoma"/>
                <w:b/>
                <w:color w:val="000000"/>
                <w:szCs w:val="18"/>
              </w:rPr>
            </w:pPr>
            <w:r w:rsidRPr="004B208C">
              <w:rPr>
                <w:rFonts w:eastAsia="Calibri" w:cs="Tahoma"/>
                <w:b/>
                <w:color w:val="000000"/>
                <w:szCs w:val="18"/>
              </w:rPr>
              <w:t>Licença Qualificada</w:t>
            </w:r>
          </w:p>
        </w:tc>
        <w:tc>
          <w:tcPr>
            <w:tcW w:w="4590" w:type="dxa"/>
            <w:shd w:val="clear" w:color="auto" w:fill="FABF8F"/>
          </w:tcPr>
          <w:p w:rsidR="00B26237" w:rsidRPr="004B208C" w:rsidRDefault="000A0D35" w:rsidP="000A0D35">
            <w:pPr>
              <w:rPr>
                <w:rFonts w:eastAsia="Calibri" w:cs="Tahoma"/>
                <w:b/>
                <w:color w:val="000000"/>
                <w:szCs w:val="18"/>
              </w:rPr>
            </w:pPr>
            <w:r w:rsidRPr="004B208C">
              <w:rPr>
                <w:rFonts w:eastAsia="Calibri" w:cs="Tahoma"/>
                <w:b/>
                <w:color w:val="000000"/>
                <w:szCs w:val="18"/>
              </w:rPr>
              <w:t>SL de Usuário Complementar</w:t>
            </w:r>
          </w:p>
        </w:tc>
      </w:tr>
      <w:tr w:rsidR="00B26237" w:rsidRPr="004B208C" w:rsidTr="00BD7DCA">
        <w:tc>
          <w:tcPr>
            <w:tcW w:w="4050" w:type="dxa"/>
            <w:shd w:val="clear" w:color="auto" w:fill="auto"/>
          </w:tcPr>
          <w:p w:rsidR="00B26237" w:rsidRPr="004B208C" w:rsidRDefault="00B26237" w:rsidP="00B42A20">
            <w:pPr>
              <w:rPr>
                <w:rFonts w:eastAsia="Calibri" w:cs="Tahoma"/>
                <w:color w:val="000000"/>
                <w:szCs w:val="18"/>
              </w:rPr>
            </w:pPr>
            <w:r w:rsidRPr="004B208C">
              <w:rPr>
                <w:rFonts w:eastAsia="Calibri" w:cs="Tahoma"/>
                <w:color w:val="000000"/>
                <w:szCs w:val="18"/>
              </w:rPr>
              <w:t>Pacote de CALs Principais</w:t>
            </w:r>
            <w:r w:rsidRPr="004B208C">
              <w:rPr>
                <w:rFonts w:eastAsia="Calibri" w:cs="Tahoma"/>
                <w:color w:val="000000"/>
                <w:szCs w:val="18"/>
                <w:vertAlign w:val="superscript"/>
              </w:rPr>
              <w:t>1</w:t>
            </w:r>
            <w:r w:rsidRPr="004B208C">
              <w:rPr>
                <w:rFonts w:eastAsia="Calibri" w:cs="Tahoma"/>
                <w:color w:val="000000"/>
                <w:szCs w:val="18"/>
              </w:rPr>
              <w:t xml:space="preserve"> ou Pacote de CALs Empresariais</w:t>
            </w:r>
            <w:r w:rsidRPr="004B208C">
              <w:rPr>
                <w:rFonts w:eastAsia="Calibri" w:cs="Tahoma"/>
                <w:color w:val="000000"/>
                <w:szCs w:val="18"/>
                <w:vertAlign w:val="superscript"/>
              </w:rPr>
              <w:t>1</w:t>
            </w:r>
          </w:p>
        </w:tc>
        <w:tc>
          <w:tcPr>
            <w:tcW w:w="4590" w:type="dxa"/>
            <w:shd w:val="clear" w:color="auto" w:fill="auto"/>
          </w:tcPr>
          <w:p w:rsidR="00B26237" w:rsidRPr="004B208C" w:rsidRDefault="00B26237" w:rsidP="009B3FA2">
            <w:pPr>
              <w:rPr>
                <w:rFonts w:eastAsia="Calibri" w:cs="Tahoma"/>
                <w:color w:val="000000"/>
                <w:szCs w:val="18"/>
              </w:rPr>
            </w:pPr>
            <w:r w:rsidRPr="004B208C">
              <w:rPr>
                <w:rFonts w:eastAsia="Calibri" w:cs="Tahoma"/>
                <w:color w:val="000000"/>
                <w:szCs w:val="18"/>
              </w:rPr>
              <w:t>SL de Usuário Complementar do Office 365 Education A3 para CAL Principal ou CAL Empresarial</w:t>
            </w:r>
          </w:p>
        </w:tc>
      </w:tr>
      <w:tr w:rsidR="00B26237" w:rsidRPr="004B208C" w:rsidTr="00BD7DCA">
        <w:tc>
          <w:tcPr>
            <w:tcW w:w="4050" w:type="dxa"/>
            <w:shd w:val="clear" w:color="auto" w:fill="auto"/>
          </w:tcPr>
          <w:p w:rsidR="00B26237" w:rsidRPr="004B208C" w:rsidRDefault="00B26237" w:rsidP="00B42A20">
            <w:pPr>
              <w:rPr>
                <w:rFonts w:eastAsia="Calibri" w:cs="Tahoma"/>
                <w:color w:val="000000"/>
                <w:szCs w:val="18"/>
              </w:rPr>
            </w:pPr>
            <w:r w:rsidRPr="004B208C">
              <w:rPr>
                <w:rFonts w:eastAsia="Calibri" w:cs="Tahoma"/>
                <w:color w:val="000000"/>
                <w:szCs w:val="18"/>
              </w:rPr>
              <w:t>Office Pro Plus</w:t>
            </w:r>
            <w:r w:rsidRPr="004B208C">
              <w:rPr>
                <w:rFonts w:eastAsia="Calibri" w:cs="Tahoma"/>
                <w:color w:val="000000"/>
                <w:szCs w:val="18"/>
                <w:vertAlign w:val="superscript"/>
              </w:rPr>
              <w:t>1</w:t>
            </w:r>
          </w:p>
        </w:tc>
        <w:tc>
          <w:tcPr>
            <w:tcW w:w="4590" w:type="dxa"/>
            <w:shd w:val="clear" w:color="auto" w:fill="auto"/>
          </w:tcPr>
          <w:p w:rsidR="00B26237" w:rsidRPr="004B208C" w:rsidRDefault="00B26237" w:rsidP="009B3FA2">
            <w:pPr>
              <w:rPr>
                <w:rFonts w:eastAsia="Calibri" w:cs="Tahoma"/>
                <w:color w:val="000000"/>
                <w:szCs w:val="18"/>
              </w:rPr>
            </w:pPr>
            <w:r w:rsidRPr="004B208C">
              <w:rPr>
                <w:rFonts w:eastAsia="Calibri" w:cs="Tahoma"/>
                <w:color w:val="000000"/>
                <w:szCs w:val="18"/>
              </w:rPr>
              <w:t>USL Complementar do Office 365 Education A3 para Office Pro Plus</w:t>
            </w:r>
          </w:p>
        </w:tc>
      </w:tr>
      <w:tr w:rsidR="00B26237" w:rsidRPr="004B208C" w:rsidTr="00BD7DCA">
        <w:trPr>
          <w:cantSplit/>
        </w:trPr>
        <w:tc>
          <w:tcPr>
            <w:tcW w:w="4050" w:type="dxa"/>
            <w:shd w:val="clear" w:color="auto" w:fill="auto"/>
          </w:tcPr>
          <w:p w:rsidR="00B26237" w:rsidRPr="004B208C" w:rsidRDefault="00B26237" w:rsidP="00B42A20">
            <w:pPr>
              <w:rPr>
                <w:rFonts w:eastAsia="Calibri" w:cs="Tahoma"/>
                <w:color w:val="000000"/>
                <w:szCs w:val="18"/>
              </w:rPr>
            </w:pPr>
            <w:r w:rsidRPr="004B208C">
              <w:rPr>
                <w:rFonts w:eastAsia="Calibri" w:cs="Tahoma"/>
                <w:color w:val="000000"/>
                <w:szCs w:val="18"/>
              </w:rPr>
              <w:lastRenderedPageBreak/>
              <w:t>Pacote de CALs Principais</w:t>
            </w:r>
            <w:r w:rsidRPr="004B208C">
              <w:rPr>
                <w:rFonts w:eastAsia="Calibri" w:cs="Tahoma"/>
                <w:color w:val="000000"/>
                <w:szCs w:val="18"/>
                <w:vertAlign w:val="superscript"/>
              </w:rPr>
              <w:t>1</w:t>
            </w:r>
            <w:r w:rsidRPr="004B208C">
              <w:rPr>
                <w:rFonts w:eastAsia="Calibri" w:cs="Tahoma"/>
                <w:color w:val="000000"/>
                <w:szCs w:val="18"/>
              </w:rPr>
              <w:t xml:space="preserve"> ou Pacote de CAL Empresarial</w:t>
            </w:r>
            <w:r w:rsidRPr="004B208C">
              <w:rPr>
                <w:rFonts w:eastAsia="Calibri" w:cs="Tahoma"/>
                <w:color w:val="000000"/>
                <w:szCs w:val="18"/>
                <w:vertAlign w:val="superscript"/>
              </w:rPr>
              <w:t>1</w:t>
            </w:r>
            <w:r w:rsidRPr="004B208C">
              <w:rPr>
                <w:rFonts w:eastAsia="Calibri" w:cs="Tahoma"/>
                <w:color w:val="000000"/>
                <w:szCs w:val="18"/>
              </w:rPr>
              <w:t xml:space="preserve"> + Office Pro Plus</w:t>
            </w:r>
            <w:r w:rsidRPr="004B208C">
              <w:rPr>
                <w:rFonts w:eastAsia="Calibri" w:cs="Tahoma"/>
                <w:color w:val="000000"/>
                <w:szCs w:val="18"/>
                <w:vertAlign w:val="superscript"/>
              </w:rPr>
              <w:t>1</w:t>
            </w:r>
          </w:p>
        </w:tc>
        <w:tc>
          <w:tcPr>
            <w:tcW w:w="4590" w:type="dxa"/>
            <w:shd w:val="clear" w:color="auto" w:fill="auto"/>
          </w:tcPr>
          <w:p w:rsidR="00B26237" w:rsidRPr="004B208C" w:rsidRDefault="00B26237" w:rsidP="00BD7DCA">
            <w:pPr>
              <w:rPr>
                <w:rFonts w:eastAsia="Calibri" w:cs="Tahoma"/>
                <w:color w:val="000000"/>
                <w:szCs w:val="18"/>
              </w:rPr>
            </w:pPr>
            <w:r w:rsidRPr="004B208C">
              <w:rPr>
                <w:rFonts w:eastAsia="Calibri" w:cs="Tahoma"/>
                <w:color w:val="000000"/>
                <w:szCs w:val="18"/>
              </w:rPr>
              <w:t>USL Complementar do Office 365 Education A3 para CAL Principal ou CAL Empresarial + Office Pro</w:t>
            </w:r>
            <w:r w:rsidR="00BD7DCA">
              <w:rPr>
                <w:rFonts w:eastAsia="Calibri" w:cs="Tahoma"/>
                <w:color w:val="000000"/>
                <w:szCs w:val="18"/>
              </w:rPr>
              <w:t> </w:t>
            </w:r>
            <w:r w:rsidRPr="004B208C">
              <w:rPr>
                <w:rFonts w:eastAsia="Calibri" w:cs="Tahoma"/>
                <w:color w:val="000000"/>
                <w:szCs w:val="18"/>
              </w:rPr>
              <w:t>Plus</w:t>
            </w:r>
          </w:p>
        </w:tc>
      </w:tr>
      <w:tr w:rsidR="00B26237" w:rsidRPr="004B208C" w:rsidTr="00BD7DCA">
        <w:tc>
          <w:tcPr>
            <w:tcW w:w="4050" w:type="dxa"/>
            <w:shd w:val="clear" w:color="auto" w:fill="auto"/>
          </w:tcPr>
          <w:p w:rsidR="00B26237" w:rsidRPr="004B208C" w:rsidRDefault="00B26237" w:rsidP="00B42A20">
            <w:pPr>
              <w:rPr>
                <w:rFonts w:eastAsia="Calibri" w:cs="Tahoma"/>
                <w:color w:val="000000"/>
                <w:szCs w:val="18"/>
              </w:rPr>
            </w:pPr>
            <w:r w:rsidRPr="004B208C">
              <w:rPr>
                <w:rFonts w:eastAsia="Calibri" w:cs="Tahoma"/>
                <w:color w:val="000000"/>
                <w:szCs w:val="18"/>
              </w:rPr>
              <w:t>Pacote de CALs Principais</w:t>
            </w:r>
            <w:r w:rsidRPr="004B208C">
              <w:rPr>
                <w:rFonts w:eastAsia="Calibri" w:cs="Tahoma"/>
                <w:color w:val="000000"/>
                <w:szCs w:val="18"/>
                <w:vertAlign w:val="superscript"/>
              </w:rPr>
              <w:t>1</w:t>
            </w:r>
            <w:r w:rsidRPr="004B208C">
              <w:rPr>
                <w:rFonts w:eastAsia="Calibri" w:cs="Tahoma"/>
                <w:color w:val="000000"/>
                <w:szCs w:val="18"/>
              </w:rPr>
              <w:t xml:space="preserve"> ou Pacote de CALs Empresariais</w:t>
            </w:r>
            <w:r w:rsidRPr="004B208C">
              <w:rPr>
                <w:rFonts w:eastAsia="Calibri" w:cs="Tahoma"/>
                <w:color w:val="000000"/>
                <w:szCs w:val="18"/>
                <w:vertAlign w:val="superscript"/>
              </w:rPr>
              <w:t>1</w:t>
            </w:r>
          </w:p>
        </w:tc>
        <w:tc>
          <w:tcPr>
            <w:tcW w:w="4590" w:type="dxa"/>
            <w:shd w:val="clear" w:color="auto" w:fill="auto"/>
          </w:tcPr>
          <w:p w:rsidR="00B26237" w:rsidRPr="004B208C" w:rsidRDefault="00B26237" w:rsidP="009B3FA2">
            <w:pPr>
              <w:rPr>
                <w:rFonts w:eastAsia="Calibri" w:cs="Tahoma"/>
                <w:color w:val="000000"/>
                <w:szCs w:val="18"/>
              </w:rPr>
            </w:pPr>
            <w:r w:rsidRPr="004B208C">
              <w:rPr>
                <w:rFonts w:eastAsia="Calibri" w:cs="Tahoma"/>
                <w:color w:val="000000"/>
                <w:szCs w:val="18"/>
              </w:rPr>
              <w:t>SL de Usuário Complementar do Office 365 Education A4 para CAL Principal ou CAL Empresarial</w:t>
            </w:r>
          </w:p>
        </w:tc>
      </w:tr>
      <w:tr w:rsidR="00B26237" w:rsidRPr="004B208C" w:rsidTr="00BD7DCA">
        <w:tc>
          <w:tcPr>
            <w:tcW w:w="4050" w:type="dxa"/>
            <w:shd w:val="clear" w:color="auto" w:fill="auto"/>
          </w:tcPr>
          <w:p w:rsidR="00B26237" w:rsidRPr="004B208C" w:rsidRDefault="00B26237" w:rsidP="00B42A20">
            <w:pPr>
              <w:rPr>
                <w:rFonts w:eastAsia="Calibri" w:cs="Tahoma"/>
                <w:color w:val="000000"/>
                <w:szCs w:val="18"/>
              </w:rPr>
            </w:pPr>
            <w:r w:rsidRPr="004B208C">
              <w:rPr>
                <w:rFonts w:eastAsia="Calibri" w:cs="Tahoma"/>
                <w:color w:val="000000"/>
                <w:szCs w:val="18"/>
              </w:rPr>
              <w:t>Office Pro Plus</w:t>
            </w:r>
            <w:r w:rsidRPr="004B208C">
              <w:rPr>
                <w:rFonts w:eastAsia="Calibri" w:cs="Tahoma"/>
                <w:color w:val="000000"/>
                <w:szCs w:val="18"/>
                <w:vertAlign w:val="superscript"/>
              </w:rPr>
              <w:t>1</w:t>
            </w:r>
          </w:p>
        </w:tc>
        <w:tc>
          <w:tcPr>
            <w:tcW w:w="4590" w:type="dxa"/>
            <w:shd w:val="clear" w:color="auto" w:fill="auto"/>
          </w:tcPr>
          <w:p w:rsidR="00B26237" w:rsidRPr="004B208C" w:rsidRDefault="00B26237" w:rsidP="009B3FA2">
            <w:pPr>
              <w:rPr>
                <w:rFonts w:eastAsia="Calibri" w:cs="Tahoma"/>
                <w:color w:val="000000"/>
                <w:szCs w:val="18"/>
              </w:rPr>
            </w:pPr>
            <w:r w:rsidRPr="004B208C">
              <w:rPr>
                <w:rFonts w:eastAsia="Calibri" w:cs="Tahoma"/>
                <w:color w:val="000000"/>
                <w:szCs w:val="18"/>
              </w:rPr>
              <w:t>USL Complementar do Office 365 Education A4 para Office Pro Plus</w:t>
            </w:r>
          </w:p>
        </w:tc>
      </w:tr>
      <w:tr w:rsidR="00B26237" w:rsidRPr="004B208C" w:rsidTr="00BD7DCA">
        <w:tc>
          <w:tcPr>
            <w:tcW w:w="4050" w:type="dxa"/>
            <w:shd w:val="clear" w:color="auto" w:fill="auto"/>
          </w:tcPr>
          <w:p w:rsidR="00B26237" w:rsidRPr="004B208C" w:rsidRDefault="00B26237" w:rsidP="00B42A20">
            <w:pPr>
              <w:rPr>
                <w:rFonts w:eastAsia="Calibri" w:cs="Tahoma"/>
                <w:color w:val="000000"/>
                <w:szCs w:val="18"/>
              </w:rPr>
            </w:pPr>
            <w:r w:rsidRPr="004B208C">
              <w:rPr>
                <w:rFonts w:eastAsia="Calibri" w:cs="Tahoma"/>
                <w:color w:val="000000"/>
                <w:szCs w:val="18"/>
              </w:rPr>
              <w:t>Pacote de CALs Principais ou Pacote de CAL Empresarial</w:t>
            </w:r>
            <w:r w:rsidRPr="004B208C">
              <w:rPr>
                <w:rFonts w:eastAsia="Calibri" w:cs="Tahoma"/>
                <w:color w:val="000000"/>
                <w:szCs w:val="18"/>
                <w:vertAlign w:val="superscript"/>
              </w:rPr>
              <w:t>1</w:t>
            </w:r>
            <w:r w:rsidRPr="004B208C">
              <w:rPr>
                <w:rFonts w:eastAsia="Calibri" w:cs="Tahoma"/>
                <w:color w:val="000000"/>
                <w:szCs w:val="18"/>
              </w:rPr>
              <w:t xml:space="preserve"> + Office Pro Plus</w:t>
            </w:r>
            <w:r w:rsidRPr="004B208C">
              <w:rPr>
                <w:rFonts w:eastAsia="Calibri" w:cs="Tahoma"/>
                <w:color w:val="000000"/>
                <w:szCs w:val="18"/>
                <w:vertAlign w:val="superscript"/>
              </w:rPr>
              <w:t>1</w:t>
            </w:r>
          </w:p>
        </w:tc>
        <w:tc>
          <w:tcPr>
            <w:tcW w:w="4590" w:type="dxa"/>
            <w:shd w:val="clear" w:color="auto" w:fill="auto"/>
          </w:tcPr>
          <w:p w:rsidR="00B26237" w:rsidRPr="004B208C" w:rsidRDefault="00B26237" w:rsidP="00BD7DCA">
            <w:pPr>
              <w:rPr>
                <w:rFonts w:eastAsia="Calibri" w:cs="Tahoma"/>
                <w:color w:val="000000"/>
                <w:szCs w:val="18"/>
              </w:rPr>
            </w:pPr>
            <w:r w:rsidRPr="004B208C">
              <w:rPr>
                <w:rFonts w:eastAsia="Calibri" w:cs="Tahoma"/>
                <w:color w:val="000000"/>
                <w:szCs w:val="18"/>
              </w:rPr>
              <w:t>USL Complementar do Office 365 Education A4 para CAL Principal ou CAL Empresarial + Office Pro</w:t>
            </w:r>
            <w:r w:rsidR="00BD7DCA">
              <w:rPr>
                <w:rFonts w:eastAsia="Calibri" w:cs="Tahoma"/>
                <w:color w:val="000000"/>
                <w:szCs w:val="18"/>
              </w:rPr>
              <w:t> </w:t>
            </w:r>
            <w:r w:rsidRPr="004B208C">
              <w:rPr>
                <w:rFonts w:eastAsia="Calibri" w:cs="Tahoma"/>
                <w:color w:val="000000"/>
                <w:szCs w:val="18"/>
              </w:rPr>
              <w:t>Plus</w:t>
            </w:r>
          </w:p>
        </w:tc>
      </w:tr>
    </w:tbl>
    <w:p w:rsidR="00B26237" w:rsidRPr="004B208C" w:rsidRDefault="00B26237" w:rsidP="00B26237">
      <w:pPr>
        <w:ind w:left="900"/>
        <w:rPr>
          <w:rFonts w:cs="Tahoma"/>
        </w:rPr>
      </w:pPr>
      <w:r w:rsidRPr="004B208C">
        <w:rPr>
          <w:rFonts w:eastAsia="Calibri" w:cs="Tahoma"/>
          <w:i/>
          <w:color w:val="000000"/>
          <w:sz w:val="16"/>
          <w:szCs w:val="18"/>
          <w:vertAlign w:val="superscript"/>
        </w:rPr>
        <w:t>1</w:t>
      </w:r>
      <w:r w:rsidRPr="004B208C">
        <w:rPr>
          <w:rFonts w:eastAsia="Calibri" w:cs="Tahoma"/>
          <w:i/>
          <w:color w:val="000000"/>
          <w:sz w:val="16"/>
          <w:szCs w:val="18"/>
        </w:rPr>
        <w:t>Com Software Assurance Ativo</w:t>
      </w:r>
    </w:p>
    <w:p w:rsidR="00B26237" w:rsidRPr="004B208C" w:rsidRDefault="00B26237" w:rsidP="00B26237">
      <w:pPr>
        <w:ind w:left="720"/>
        <w:rPr>
          <w:rFonts w:cs="Tahoma"/>
        </w:rPr>
      </w:pPr>
    </w:p>
    <w:p w:rsidR="00B26237" w:rsidRPr="004B208C" w:rsidRDefault="00B26237" w:rsidP="00B26237">
      <w:pPr>
        <w:ind w:left="720"/>
        <w:rPr>
          <w:rFonts w:cs="Tahoma"/>
        </w:rPr>
      </w:pPr>
      <w:r w:rsidRPr="004B208C">
        <w:rPr>
          <w:rFonts w:eastAsia="Calibri" w:cs="Tahoma"/>
          <w:iCs/>
          <w:color w:val="000000"/>
          <w:szCs w:val="18"/>
        </w:rPr>
        <w:t>As Instituições com USLs do Office 365 Education A3 ou Office Education A4 cedidas para todo o corpo docente e funcionários poderão instalar o software Office Professional Plus 2013 em qualquer laboratório de</w:t>
      </w:r>
      <w:r w:rsidR="00BD7DCA">
        <w:rPr>
          <w:rFonts w:eastAsia="Calibri" w:cs="Tahoma"/>
          <w:iCs/>
          <w:color w:val="000000"/>
          <w:szCs w:val="18"/>
        </w:rPr>
        <w:t> </w:t>
      </w:r>
      <w:r w:rsidRPr="004B208C">
        <w:rPr>
          <w:rFonts w:eastAsia="Calibri" w:cs="Tahoma"/>
          <w:iCs/>
          <w:color w:val="000000"/>
          <w:szCs w:val="18"/>
        </w:rPr>
        <w:t>acesso aberto ou biblioteca da Organização da Instituição.</w:t>
      </w:r>
      <w:r w:rsidR="00172F11">
        <w:rPr>
          <w:rFonts w:eastAsia="Calibri" w:cs="Tahoma"/>
          <w:iCs/>
          <w:color w:val="000000"/>
          <w:szCs w:val="18"/>
        </w:rPr>
        <w:t xml:space="preserve"> </w:t>
      </w:r>
      <w:r w:rsidRPr="004B208C">
        <w:rPr>
          <w:rFonts w:eastAsia="Calibri" w:cs="Tahoma"/>
          <w:iCs/>
          <w:color w:val="000000"/>
          <w:szCs w:val="18"/>
        </w:rPr>
        <w:t>O uso do software está sujeito aos termos de</w:t>
      </w:r>
      <w:r w:rsidR="00BD7DCA">
        <w:rPr>
          <w:rFonts w:eastAsia="Calibri" w:cs="Tahoma"/>
          <w:iCs/>
          <w:color w:val="000000"/>
          <w:szCs w:val="18"/>
        </w:rPr>
        <w:t> </w:t>
      </w:r>
      <w:r w:rsidRPr="004B208C">
        <w:rPr>
          <w:rFonts w:eastAsia="Calibri" w:cs="Tahoma"/>
          <w:iCs/>
          <w:color w:val="000000"/>
          <w:szCs w:val="18"/>
        </w:rPr>
        <w:t xml:space="preserve">licença para o Office Professional Plus 2013. </w:t>
      </w:r>
    </w:p>
    <w:p w:rsidR="00B26237" w:rsidRPr="004B208C" w:rsidRDefault="00B26237" w:rsidP="00B26237">
      <w:pPr>
        <w:ind w:left="720"/>
        <w:rPr>
          <w:rFonts w:cs="Tahoma"/>
        </w:rPr>
      </w:pPr>
    </w:p>
    <w:p w:rsidR="00B26237" w:rsidRPr="00BD7DCA" w:rsidRDefault="00B26237" w:rsidP="00810479">
      <w:pPr>
        <w:pStyle w:val="FootnoteBulletLevel2"/>
        <w:tabs>
          <w:tab w:val="clear" w:pos="1260"/>
        </w:tabs>
        <w:spacing w:before="0"/>
        <w:ind w:left="720" w:firstLine="0"/>
        <w:rPr>
          <w:rFonts w:ascii="Tahoma" w:hAnsi="Tahoma" w:cs="Tahoma"/>
          <w:sz w:val="18"/>
          <w:szCs w:val="18"/>
        </w:rPr>
      </w:pPr>
      <w:r w:rsidRPr="00BD7DCA">
        <w:rPr>
          <w:rFonts w:ascii="Tahoma" w:eastAsia="Calibri" w:hAnsi="Tahoma" w:cs="Tahoma"/>
          <w:color w:val="000000"/>
          <w:sz w:val="18"/>
          <w:szCs w:val="18"/>
        </w:rPr>
        <w:t>O Lync Online Plano 1A e Plano 2A exigem a compra e instalação separada do Microsoft Lync 2013 (ou</w:t>
      </w:r>
      <w:r w:rsidR="00BD7DCA" w:rsidRPr="00BD7DCA">
        <w:rPr>
          <w:rFonts w:ascii="Tahoma" w:eastAsia="Calibri" w:hAnsi="Tahoma" w:cs="Tahoma"/>
          <w:color w:val="000000"/>
          <w:sz w:val="18"/>
          <w:szCs w:val="18"/>
        </w:rPr>
        <w:t> </w:t>
      </w:r>
      <w:r w:rsidRPr="00BD7DCA">
        <w:rPr>
          <w:rFonts w:ascii="Tahoma" w:eastAsia="Calibri" w:hAnsi="Tahoma" w:cs="Tahoma"/>
          <w:color w:val="000000"/>
          <w:sz w:val="18"/>
          <w:szCs w:val="18"/>
        </w:rPr>
        <w:t>Lync</w:t>
      </w:r>
      <w:r w:rsidR="00BD7DCA" w:rsidRPr="00BD7DCA">
        <w:rPr>
          <w:rFonts w:ascii="Tahoma" w:eastAsia="Calibri" w:hAnsi="Tahoma" w:cs="Tahoma"/>
          <w:color w:val="000000"/>
          <w:sz w:val="18"/>
          <w:szCs w:val="18"/>
        </w:rPr>
        <w:t> </w:t>
      </w:r>
      <w:r w:rsidRPr="00BD7DCA">
        <w:rPr>
          <w:rFonts w:ascii="Tahoma" w:eastAsia="Calibri" w:hAnsi="Tahoma" w:cs="Tahoma"/>
          <w:color w:val="000000"/>
          <w:sz w:val="18"/>
          <w:szCs w:val="18"/>
        </w:rPr>
        <w:t>for Mac 2011) para acessar o conjunto completo de recursos do Lync Online Plano 1A e Plano 2A. Como oferta por tempo limitado, os clientes licenciados para o Lync Online receberão uma cópia licenciada gratuita do Lync para Mac 2011) com cada licença de assinatura paga do Lync Online. O software só poderá ser usado com o Lync Online, e todos os direitos de uso do software se encerrarão ao término da licença de</w:t>
      </w:r>
      <w:r w:rsidR="00BD7DCA">
        <w:rPr>
          <w:rFonts w:ascii="Tahoma" w:eastAsia="Calibri" w:hAnsi="Tahoma" w:cs="Tahoma"/>
          <w:color w:val="000000"/>
          <w:sz w:val="18"/>
          <w:szCs w:val="18"/>
        </w:rPr>
        <w:t> </w:t>
      </w:r>
      <w:r w:rsidRPr="00BD7DCA">
        <w:rPr>
          <w:rFonts w:ascii="Tahoma" w:eastAsia="Calibri" w:hAnsi="Tahoma" w:cs="Tahoma"/>
          <w:color w:val="000000"/>
          <w:sz w:val="18"/>
          <w:szCs w:val="18"/>
        </w:rPr>
        <w:t>assinatura básica ou da migração para a próxima nova versão principal do Lync Online, o que ocorrer primeiro.</w:t>
      </w:r>
      <w:r w:rsidR="00172F11" w:rsidRPr="00BD7DCA">
        <w:rPr>
          <w:rFonts w:ascii="Tahoma" w:eastAsia="Calibri" w:hAnsi="Tahoma" w:cs="Tahoma"/>
          <w:color w:val="000000"/>
          <w:sz w:val="18"/>
          <w:szCs w:val="18"/>
        </w:rPr>
        <w:t xml:space="preserve"> </w:t>
      </w:r>
      <w:r w:rsidRPr="00BD7DCA">
        <w:rPr>
          <w:rFonts w:ascii="Tahoma" w:eastAsia="Calibri" w:hAnsi="Tahoma" w:cs="Tahoma"/>
          <w:color w:val="000000"/>
          <w:sz w:val="18"/>
          <w:szCs w:val="18"/>
        </w:rPr>
        <w:t>Os clientes podem usar o cliente gratuito Lync Basic 2013 para seus usuários finais com base em</w:t>
      </w:r>
      <w:r w:rsidR="00BD7DCA">
        <w:rPr>
          <w:rFonts w:ascii="Tahoma" w:eastAsia="Calibri" w:hAnsi="Tahoma" w:cs="Tahoma"/>
          <w:color w:val="000000"/>
          <w:sz w:val="18"/>
          <w:szCs w:val="18"/>
        </w:rPr>
        <w:t> </w:t>
      </w:r>
      <w:r w:rsidRPr="00BD7DCA">
        <w:rPr>
          <w:rFonts w:ascii="Tahoma" w:eastAsia="Calibri" w:hAnsi="Tahoma" w:cs="Tahoma"/>
          <w:color w:val="000000"/>
          <w:sz w:val="18"/>
          <w:szCs w:val="18"/>
        </w:rPr>
        <w:t>Windows.</w:t>
      </w:r>
    </w:p>
    <w:p w:rsidR="00B26237" w:rsidRPr="00BD7DCA" w:rsidRDefault="00B26237" w:rsidP="00E03856">
      <w:pPr>
        <w:pStyle w:val="FootnoteBulletLevel2"/>
        <w:tabs>
          <w:tab w:val="clear" w:pos="1260"/>
        </w:tabs>
        <w:spacing w:before="0"/>
        <w:ind w:left="0" w:firstLine="0"/>
        <w:rPr>
          <w:rFonts w:ascii="Tahoma" w:hAnsi="Tahoma" w:cs="Tahoma"/>
          <w:sz w:val="18"/>
          <w:szCs w:val="18"/>
        </w:rPr>
      </w:pPr>
    </w:p>
    <w:p w:rsidR="00B26237" w:rsidRPr="00BD7DCA" w:rsidRDefault="00B26237" w:rsidP="00D16EA8">
      <w:pPr>
        <w:pStyle w:val="FootnoteBulletLevel2"/>
        <w:tabs>
          <w:tab w:val="clear" w:pos="1260"/>
        </w:tabs>
        <w:spacing w:before="0"/>
        <w:ind w:left="0" w:firstLine="0"/>
        <w:rPr>
          <w:rFonts w:ascii="Tahoma" w:hAnsi="Tahoma" w:cs="Tahoma"/>
          <w:sz w:val="18"/>
          <w:szCs w:val="18"/>
        </w:rPr>
      </w:pPr>
    </w:p>
    <w:p w:rsidR="00996781" w:rsidRPr="004B208C" w:rsidRDefault="00A13C98" w:rsidP="00B26237">
      <w:pPr>
        <w:pStyle w:val="Heading2"/>
        <w:ind w:left="0"/>
        <w:rPr>
          <w:rFonts w:ascii="Tahoma" w:hAnsi="Tahoma" w:cs="Tahoma"/>
        </w:rPr>
      </w:pPr>
      <w:bookmarkStart w:id="968" w:name="_7_Office_365"/>
      <w:bookmarkStart w:id="969" w:name="_65_Office_365"/>
      <w:bookmarkStart w:id="970" w:name="_5_Office_365"/>
      <w:bookmarkStart w:id="971" w:name="_Toc336338263"/>
      <w:bookmarkStart w:id="972" w:name="_Toc370981378"/>
      <w:bookmarkEnd w:id="968"/>
      <w:bookmarkEnd w:id="969"/>
      <w:bookmarkEnd w:id="970"/>
      <w:r w:rsidRPr="004B208C">
        <w:rPr>
          <w:rFonts w:ascii="Tahoma" w:hAnsi="Tahoma" w:cs="Tahoma"/>
          <w:caps/>
          <w:color w:val="FF6600"/>
          <w:sz w:val="22"/>
          <w:szCs w:val="22"/>
          <w:vertAlign w:val="superscript"/>
        </w:rPr>
        <w:t>6</w:t>
      </w:r>
      <w:r w:rsidRPr="004B208C">
        <w:rPr>
          <w:rFonts w:ascii="Tahoma" w:hAnsi="Tahoma" w:cs="Tahoma"/>
          <w:color w:val="FF6600"/>
        </w:rPr>
        <w:t xml:space="preserve"> </w:t>
      </w:r>
      <w:r w:rsidRPr="004B208C">
        <w:rPr>
          <w:rFonts w:ascii="Tahoma" w:hAnsi="Tahoma" w:cs="Tahoma"/>
          <w:color w:val="FF6600"/>
          <w:sz w:val="22"/>
          <w:szCs w:val="22"/>
        </w:rPr>
        <w:t>Office 365 Midsize Business</w:t>
      </w:r>
      <w:bookmarkEnd w:id="972"/>
    </w:p>
    <w:p w:rsidR="00996781" w:rsidRPr="004B208C" w:rsidRDefault="00996781" w:rsidP="00996781">
      <w:pPr>
        <w:ind w:left="720"/>
        <w:rPr>
          <w:rFonts w:cs="Tahoma"/>
        </w:rPr>
      </w:pPr>
    </w:p>
    <w:p w:rsidR="00996781" w:rsidRPr="004B208C" w:rsidRDefault="00996781" w:rsidP="00996781">
      <w:pPr>
        <w:ind w:left="720"/>
        <w:rPr>
          <w:rFonts w:cs="Tahoma"/>
        </w:rPr>
      </w:pPr>
      <w:r w:rsidRPr="004B208C">
        <w:rPr>
          <w:rFonts w:cs="Tahoma"/>
          <w:color w:val="000000"/>
        </w:rPr>
        <w:t>O Office 365 Midsized Business é direcionado a clientes com um tamanho de organização de 10 a 250 posições.</w:t>
      </w:r>
      <w:r w:rsidR="00172F11">
        <w:rPr>
          <w:rFonts w:cs="Tahoma"/>
          <w:color w:val="000000"/>
        </w:rPr>
        <w:t xml:space="preserve"> </w:t>
      </w:r>
      <w:r w:rsidRPr="004B208C">
        <w:rPr>
          <w:rFonts w:cs="Tahoma"/>
          <w:color w:val="000000"/>
        </w:rPr>
        <w:t>Ele é vendido apenas nos Programas Licença Open, Open Value e Open Value Subscription.</w:t>
      </w:r>
      <w:r w:rsidR="00172F11">
        <w:rPr>
          <w:rFonts w:cs="Tahoma"/>
          <w:color w:val="000000"/>
        </w:rPr>
        <w:t xml:space="preserve"> </w:t>
      </w:r>
      <w:r w:rsidRPr="004B208C">
        <w:rPr>
          <w:rFonts w:cs="Tahoma"/>
          <w:color w:val="000000"/>
        </w:rPr>
        <w:t>Mediante a compra do Office 365 Midsized Business, uma chave de produto será emitida permitindo a</w:t>
      </w:r>
      <w:r w:rsidR="00BD7DCA">
        <w:rPr>
          <w:rFonts w:cs="Tahoma"/>
          <w:color w:val="000000"/>
        </w:rPr>
        <w:t> </w:t>
      </w:r>
      <w:r w:rsidRPr="004B208C">
        <w:rPr>
          <w:rFonts w:cs="Tahoma"/>
          <w:color w:val="000000"/>
        </w:rPr>
        <w:t xml:space="preserve">ativação do serviço. </w:t>
      </w:r>
    </w:p>
    <w:p w:rsidR="00996781" w:rsidRPr="004B208C" w:rsidRDefault="00996781" w:rsidP="00996781">
      <w:pPr>
        <w:ind w:left="720"/>
        <w:rPr>
          <w:rFonts w:cs="Tahoma"/>
        </w:rPr>
      </w:pPr>
    </w:p>
    <w:p w:rsidR="00996781" w:rsidRPr="004B208C" w:rsidRDefault="00996781" w:rsidP="00996781">
      <w:pPr>
        <w:ind w:left="720"/>
        <w:rPr>
          <w:rFonts w:cs="Tahoma"/>
        </w:rPr>
      </w:pPr>
      <w:r w:rsidRPr="004B208C">
        <w:rPr>
          <w:rFonts w:cs="Tahoma"/>
          <w:color w:val="000000"/>
        </w:rPr>
        <w:t>O Office 365 Midsized Business é vendido como um método de pagamento adiantado de um ano.</w:t>
      </w:r>
      <w:r w:rsidR="00172F11">
        <w:rPr>
          <w:rFonts w:cs="Tahoma"/>
          <w:color w:val="000000"/>
        </w:rPr>
        <w:t xml:space="preserve"> </w:t>
      </w:r>
      <w:r w:rsidRPr="004B208C">
        <w:rPr>
          <w:rFonts w:cs="Tahoma"/>
          <w:color w:val="000000"/>
        </w:rPr>
        <w:t>A data de</w:t>
      </w:r>
      <w:r w:rsidR="00BD7DCA">
        <w:rPr>
          <w:rFonts w:cs="Tahoma"/>
          <w:color w:val="000000"/>
        </w:rPr>
        <w:t> </w:t>
      </w:r>
      <w:r w:rsidRPr="004B208C">
        <w:rPr>
          <w:rFonts w:cs="Tahoma"/>
          <w:color w:val="000000"/>
        </w:rPr>
        <w:t>início e término da assinatura de serviço é independente do prazo do contrato de Licenciamento por Volume.</w:t>
      </w:r>
      <w:r w:rsidR="00172F11">
        <w:rPr>
          <w:rFonts w:cs="Tahoma"/>
          <w:color w:val="000000"/>
        </w:rPr>
        <w:t xml:space="preserve"> </w:t>
      </w:r>
      <w:r w:rsidRPr="004B208C">
        <w:rPr>
          <w:rFonts w:cs="Tahoma"/>
          <w:color w:val="000000"/>
        </w:rPr>
        <w:t>O período de assinatura começa na hora da ativação da chave do produto e não na hora do pedido.</w:t>
      </w:r>
      <w:r w:rsidR="00172F11">
        <w:rPr>
          <w:rFonts w:cs="Tahoma"/>
          <w:color w:val="000000"/>
        </w:rPr>
        <w:t xml:space="preserve"> </w:t>
      </w:r>
      <w:r w:rsidRPr="004B208C">
        <w:rPr>
          <w:rFonts w:cs="Tahoma"/>
          <w:color w:val="000000"/>
        </w:rPr>
        <w:t>Assim que a Chave do Produto do Office 365 for ativada, a Microsoft não aceitará solicitações de</w:t>
      </w:r>
      <w:r w:rsidR="00BD7DCA">
        <w:rPr>
          <w:rFonts w:cs="Tahoma"/>
          <w:color w:val="000000"/>
        </w:rPr>
        <w:t> </w:t>
      </w:r>
      <w:r w:rsidRPr="004B208C">
        <w:rPr>
          <w:rFonts w:cs="Tahoma"/>
          <w:color w:val="000000"/>
        </w:rPr>
        <w:t xml:space="preserve">devolução enviadas por nossos parceiros. </w:t>
      </w:r>
    </w:p>
    <w:p w:rsidR="00996781" w:rsidRPr="004B208C" w:rsidRDefault="00996781" w:rsidP="00996781">
      <w:pPr>
        <w:ind w:left="720"/>
        <w:rPr>
          <w:rFonts w:cs="Tahoma"/>
        </w:rPr>
      </w:pPr>
    </w:p>
    <w:p w:rsidR="00996781" w:rsidRPr="004B208C" w:rsidRDefault="00996781" w:rsidP="00996781">
      <w:pPr>
        <w:ind w:left="720"/>
        <w:rPr>
          <w:rFonts w:cs="Tahoma"/>
        </w:rPr>
      </w:pPr>
      <w:r w:rsidRPr="004B208C">
        <w:rPr>
          <w:rFonts w:cs="Tahoma"/>
          <w:color w:val="000000"/>
        </w:rPr>
        <w:t>Clientes Finais que possuem um Contrato Open Value/Open Value Subscription ativo com um compromisso em toda a organização para o Office Pro Plus e/ou Pacote de Licenças de Acesso para Cliente por um preço reduzido do Office 365 Midsized Business.</w:t>
      </w:r>
      <w:r w:rsidR="00172F11">
        <w:rPr>
          <w:rFonts w:cs="Tahoma"/>
          <w:color w:val="000000"/>
        </w:rPr>
        <w:t xml:space="preserve"> </w:t>
      </w:r>
      <w:r w:rsidRPr="004B208C">
        <w:rPr>
          <w:rFonts w:cs="Tahoma"/>
          <w:color w:val="000000"/>
        </w:rPr>
        <w:t>Esta oferta é chamada de Oferta Open Value do Office 365, e</w:t>
      </w:r>
      <w:r w:rsidR="00BD7DCA">
        <w:rPr>
          <w:rFonts w:cs="Tahoma"/>
          <w:color w:val="000000"/>
        </w:rPr>
        <w:t> </w:t>
      </w:r>
      <w:r w:rsidRPr="004B208C">
        <w:rPr>
          <w:rFonts w:cs="Tahoma"/>
          <w:color w:val="000000"/>
        </w:rPr>
        <w:t>o</w:t>
      </w:r>
      <w:r w:rsidR="00BD7DCA">
        <w:rPr>
          <w:rFonts w:cs="Tahoma"/>
          <w:color w:val="000000"/>
        </w:rPr>
        <w:t> </w:t>
      </w:r>
      <w:r w:rsidRPr="004B208C">
        <w:rPr>
          <w:rFonts w:cs="Tahoma"/>
          <w:color w:val="000000"/>
        </w:rPr>
        <w:t xml:space="preserve">cliente pode entrar em contato com seu revendedor para obter detalhes adicionais. </w:t>
      </w:r>
    </w:p>
    <w:p w:rsidR="00996781" w:rsidRPr="004B208C" w:rsidRDefault="00996781" w:rsidP="00996781">
      <w:pPr>
        <w:ind w:left="720"/>
        <w:rPr>
          <w:rFonts w:cs="Tahoma"/>
        </w:rPr>
      </w:pPr>
    </w:p>
    <w:p w:rsidR="00996781" w:rsidRPr="004B208C" w:rsidRDefault="00996781" w:rsidP="00996781">
      <w:pPr>
        <w:ind w:left="720"/>
        <w:rPr>
          <w:rFonts w:cs="Tahoma"/>
        </w:rPr>
      </w:pPr>
      <w:r w:rsidRPr="004B208C">
        <w:rPr>
          <w:rFonts w:cs="Tahoma"/>
          <w:color w:val="000000"/>
        </w:rPr>
        <w:t>Os Direitos de Uso de Produto atuais prevalecerão caso haja conflitos entre os termos da licença do Office 365 Midsized Business e esta observação.</w:t>
      </w:r>
    </w:p>
    <w:p w:rsidR="000A0D35" w:rsidRPr="004B208C" w:rsidRDefault="000A0D35" w:rsidP="00996781">
      <w:pPr>
        <w:ind w:left="720"/>
        <w:rPr>
          <w:rFonts w:cs="Tahoma"/>
        </w:rPr>
      </w:pPr>
    </w:p>
    <w:p w:rsidR="00D824E9" w:rsidRPr="004B208C" w:rsidRDefault="00D824E9" w:rsidP="00996781">
      <w:pPr>
        <w:ind w:left="720"/>
        <w:rPr>
          <w:rFonts w:cs="Tahoma"/>
        </w:rPr>
      </w:pPr>
    </w:p>
    <w:p w:rsidR="000A0D35" w:rsidRPr="004B208C" w:rsidRDefault="000A0D35" w:rsidP="00BD7DCA">
      <w:pPr>
        <w:pStyle w:val="Heading2"/>
        <w:ind w:left="144" w:hanging="144"/>
        <w:rPr>
          <w:rFonts w:ascii="Tahoma" w:hAnsi="Tahoma" w:cs="Tahoma"/>
        </w:rPr>
      </w:pPr>
      <w:bookmarkStart w:id="973" w:name="_7_Add-on_User"/>
      <w:bookmarkStart w:id="974" w:name="_Toc370981379"/>
      <w:bookmarkEnd w:id="973"/>
      <w:r w:rsidRPr="004B208C">
        <w:rPr>
          <w:rFonts w:ascii="Tahoma" w:hAnsi="Tahoma" w:cs="Tahoma"/>
          <w:caps/>
          <w:color w:val="FF6600"/>
          <w:sz w:val="22"/>
          <w:szCs w:val="22"/>
          <w:vertAlign w:val="superscript"/>
        </w:rPr>
        <w:t xml:space="preserve">7 </w:t>
      </w:r>
      <w:r w:rsidRPr="004B208C">
        <w:rPr>
          <w:rFonts w:ascii="Tahoma" w:hAnsi="Tahoma" w:cs="Tahoma"/>
          <w:color w:val="FF6600"/>
          <w:sz w:val="22"/>
          <w:szCs w:val="22"/>
        </w:rPr>
        <w:t>Licenças de Assinatura de Usuário Complementares para Office 365 e Enterprise Workloads</w:t>
      </w:r>
      <w:bookmarkEnd w:id="974"/>
    </w:p>
    <w:p w:rsidR="000A0D35" w:rsidRPr="004B208C" w:rsidRDefault="000A0D35" w:rsidP="000A0D35">
      <w:pPr>
        <w:spacing w:after="60"/>
        <w:ind w:left="720"/>
        <w:rPr>
          <w:rFonts w:cs="Tahoma"/>
        </w:rPr>
      </w:pPr>
    </w:p>
    <w:p w:rsidR="000A0D35" w:rsidRPr="004B208C" w:rsidRDefault="000A0D35" w:rsidP="000A0D35">
      <w:pPr>
        <w:spacing w:after="60"/>
        <w:ind w:left="720"/>
        <w:rPr>
          <w:rFonts w:cs="Tahoma"/>
        </w:rPr>
      </w:pPr>
      <w:r w:rsidRPr="004B208C">
        <w:rPr>
          <w:rFonts w:cs="Tahoma"/>
        </w:rPr>
        <w:t xml:space="preserve">Uma Licença de Assinatura de Usuário Complementar (SL de Usuário Complementar) é uma Licença de Assinatura (SL) de usuário que é comprada além de (e associada a) uma Licença Qualificada (ou conjunto de Licenças Qualificadas) e fornece acesso e direitos de uso a Serviços Online para uma SL de Usuário de Serviço Online Correspondente. </w:t>
      </w:r>
    </w:p>
    <w:p w:rsidR="000A0D35" w:rsidRPr="004B208C" w:rsidRDefault="000A0D35" w:rsidP="000A0D35">
      <w:pPr>
        <w:spacing w:after="60"/>
        <w:ind w:left="720"/>
        <w:rPr>
          <w:rFonts w:cs="Tahoma"/>
        </w:rPr>
      </w:pPr>
      <w:r w:rsidRPr="004B208C">
        <w:rPr>
          <w:rFonts w:cs="Tahoma"/>
        </w:rPr>
        <w:t>A tabela a seguir realça as Licenças Qualificadas e a SL de Usuário de Serviço Online Correspondente para cada SL de Usuário Complementar disponível.</w:t>
      </w: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8"/>
        <w:gridCol w:w="3285"/>
        <w:gridCol w:w="3930"/>
      </w:tblGrid>
      <w:tr w:rsidR="000A0D35" w:rsidRPr="004B208C" w:rsidTr="00BD7DCA">
        <w:tc>
          <w:tcPr>
            <w:tcW w:w="1638" w:type="dxa"/>
            <w:shd w:val="clear" w:color="auto" w:fill="FABF8F"/>
          </w:tcPr>
          <w:p w:rsidR="000A0D35" w:rsidRPr="004B208C" w:rsidRDefault="000A0D35" w:rsidP="00DB3ECB">
            <w:pPr>
              <w:jc w:val="center"/>
              <w:rPr>
                <w:rFonts w:cs="Tahoma"/>
                <w:b/>
                <w:szCs w:val="24"/>
              </w:rPr>
            </w:pPr>
            <w:r w:rsidRPr="004B208C">
              <w:rPr>
                <w:rFonts w:cs="Tahoma"/>
                <w:b/>
                <w:szCs w:val="24"/>
              </w:rPr>
              <w:lastRenderedPageBreak/>
              <w:t>Licença(s) Qualificada(s)</w:t>
            </w:r>
          </w:p>
        </w:tc>
        <w:tc>
          <w:tcPr>
            <w:tcW w:w="3285" w:type="dxa"/>
            <w:shd w:val="clear" w:color="auto" w:fill="FABF8F"/>
            <w:vAlign w:val="center"/>
          </w:tcPr>
          <w:p w:rsidR="000A0D35" w:rsidRPr="004B208C" w:rsidRDefault="000A0D35" w:rsidP="00DB3ECB">
            <w:pPr>
              <w:jc w:val="center"/>
              <w:rPr>
                <w:rFonts w:cs="Tahoma"/>
                <w:b/>
                <w:szCs w:val="24"/>
                <w:vertAlign w:val="superscript"/>
              </w:rPr>
            </w:pPr>
            <w:r w:rsidRPr="004B208C">
              <w:rPr>
                <w:rFonts w:cs="Tahoma"/>
                <w:b/>
                <w:szCs w:val="24"/>
              </w:rPr>
              <w:t>SL de Usuário Complementar</w:t>
            </w:r>
            <w:r w:rsidRPr="004B208C">
              <w:rPr>
                <w:rFonts w:cs="Tahoma"/>
                <w:b/>
                <w:szCs w:val="24"/>
                <w:vertAlign w:val="superscript"/>
              </w:rPr>
              <w:t>1</w:t>
            </w:r>
          </w:p>
        </w:tc>
        <w:tc>
          <w:tcPr>
            <w:tcW w:w="3930" w:type="dxa"/>
            <w:shd w:val="clear" w:color="auto" w:fill="FABF8F"/>
            <w:vAlign w:val="center"/>
          </w:tcPr>
          <w:p w:rsidR="000A0D35" w:rsidRPr="004B208C" w:rsidRDefault="000A0D35" w:rsidP="00DB3ECB">
            <w:pPr>
              <w:jc w:val="center"/>
              <w:rPr>
                <w:rFonts w:cs="Tahoma"/>
                <w:b/>
                <w:szCs w:val="24"/>
              </w:rPr>
            </w:pPr>
            <w:r w:rsidRPr="004B208C">
              <w:rPr>
                <w:rFonts w:cs="Tahoma"/>
                <w:b/>
                <w:szCs w:val="24"/>
              </w:rPr>
              <w:t>SL(s) de Usuário de Serviços Online Correspondentes</w:t>
            </w:r>
            <w:r w:rsidRPr="004B208C">
              <w:rPr>
                <w:rFonts w:cs="Tahoma"/>
                <w:b/>
                <w:szCs w:val="24"/>
                <w:vertAlign w:val="superscript"/>
              </w:rPr>
              <w:t>1</w:t>
            </w:r>
          </w:p>
        </w:tc>
      </w:tr>
      <w:tr w:rsidR="000A0D35" w:rsidRPr="004B208C" w:rsidTr="00BD7DCA">
        <w:tc>
          <w:tcPr>
            <w:tcW w:w="1638" w:type="dxa"/>
            <w:vMerge w:val="restart"/>
            <w:vAlign w:val="center"/>
          </w:tcPr>
          <w:p w:rsidR="000A0D35" w:rsidRPr="004B208C" w:rsidRDefault="000A0D35" w:rsidP="00DB3ECB">
            <w:pPr>
              <w:jc w:val="center"/>
              <w:rPr>
                <w:rFonts w:cs="Tahoma"/>
                <w:szCs w:val="18"/>
              </w:rPr>
            </w:pPr>
            <w:r w:rsidRPr="004B208C">
              <w:rPr>
                <w:rFonts w:cs="Tahoma"/>
                <w:szCs w:val="18"/>
              </w:rPr>
              <w:t>CAL Principal</w:t>
            </w:r>
          </w:p>
        </w:tc>
        <w:tc>
          <w:tcPr>
            <w:tcW w:w="3285" w:type="dxa"/>
            <w:vAlign w:val="center"/>
          </w:tcPr>
          <w:p w:rsidR="000A0D35" w:rsidRPr="004B208C" w:rsidRDefault="000A0D35" w:rsidP="00DB3ECB">
            <w:pPr>
              <w:rPr>
                <w:rFonts w:cs="Tahoma"/>
                <w:szCs w:val="18"/>
              </w:rPr>
            </w:pPr>
            <w:r w:rsidRPr="004B208C">
              <w:rPr>
                <w:rFonts w:cs="Tahoma"/>
                <w:szCs w:val="18"/>
              </w:rPr>
              <w:t xml:space="preserve">Complemento do Office 365 E1/G1 </w:t>
            </w:r>
          </w:p>
        </w:tc>
        <w:tc>
          <w:tcPr>
            <w:tcW w:w="3930" w:type="dxa"/>
            <w:vAlign w:val="center"/>
          </w:tcPr>
          <w:p w:rsidR="000A0D35" w:rsidRPr="004B208C" w:rsidRDefault="000A0D35" w:rsidP="00DB3ECB">
            <w:pPr>
              <w:rPr>
                <w:rFonts w:cs="Tahoma"/>
                <w:szCs w:val="18"/>
              </w:rPr>
            </w:pPr>
            <w:r w:rsidRPr="004B208C">
              <w:rPr>
                <w:rFonts w:cs="Tahoma"/>
                <w:szCs w:val="18"/>
              </w:rPr>
              <w:t>Office 365 E1/G1</w:t>
            </w:r>
          </w:p>
        </w:tc>
      </w:tr>
      <w:tr w:rsidR="000A0D35" w:rsidRPr="004B208C" w:rsidTr="00BD7DCA">
        <w:tc>
          <w:tcPr>
            <w:tcW w:w="1638" w:type="dxa"/>
            <w:vMerge/>
            <w:vAlign w:val="center"/>
          </w:tcPr>
          <w:p w:rsidR="000A0D35" w:rsidRPr="004B208C" w:rsidRDefault="000A0D35" w:rsidP="00DB3ECB">
            <w:pPr>
              <w:jc w:val="center"/>
              <w:rPr>
                <w:rFonts w:cs="Tahoma"/>
                <w:szCs w:val="18"/>
              </w:rPr>
            </w:pPr>
          </w:p>
        </w:tc>
        <w:tc>
          <w:tcPr>
            <w:tcW w:w="3285" w:type="dxa"/>
            <w:vAlign w:val="center"/>
          </w:tcPr>
          <w:p w:rsidR="000A0D35" w:rsidRPr="004B208C" w:rsidRDefault="000A0D35" w:rsidP="00947901">
            <w:pPr>
              <w:rPr>
                <w:rFonts w:cs="Tahoma"/>
                <w:szCs w:val="18"/>
              </w:rPr>
            </w:pPr>
            <w:r w:rsidRPr="004B208C">
              <w:rPr>
                <w:rFonts w:cs="Tahoma"/>
                <w:szCs w:val="18"/>
              </w:rPr>
              <w:t>Office 365 E3/G3 sem Complemento ProPlus</w:t>
            </w:r>
          </w:p>
        </w:tc>
        <w:tc>
          <w:tcPr>
            <w:tcW w:w="3930" w:type="dxa"/>
            <w:vAlign w:val="center"/>
          </w:tcPr>
          <w:p w:rsidR="000A0D35" w:rsidRPr="004B208C" w:rsidRDefault="000A0D35" w:rsidP="00947901">
            <w:pPr>
              <w:rPr>
                <w:rFonts w:cs="Tahoma"/>
                <w:szCs w:val="18"/>
              </w:rPr>
            </w:pPr>
            <w:r w:rsidRPr="004B208C">
              <w:rPr>
                <w:rFonts w:cs="Tahoma"/>
                <w:szCs w:val="18"/>
              </w:rPr>
              <w:t>Office 365 E3/G3 sem ProPlus</w:t>
            </w:r>
          </w:p>
        </w:tc>
      </w:tr>
      <w:tr w:rsidR="000A0D35" w:rsidRPr="004B208C" w:rsidTr="00BD7DCA">
        <w:tc>
          <w:tcPr>
            <w:tcW w:w="1638" w:type="dxa"/>
            <w:vMerge/>
            <w:vAlign w:val="center"/>
          </w:tcPr>
          <w:p w:rsidR="000A0D35" w:rsidRPr="004B208C" w:rsidRDefault="000A0D35" w:rsidP="00DB3ECB">
            <w:pPr>
              <w:jc w:val="center"/>
              <w:rPr>
                <w:rFonts w:cs="Tahoma"/>
                <w:szCs w:val="18"/>
              </w:rPr>
            </w:pPr>
          </w:p>
        </w:tc>
        <w:tc>
          <w:tcPr>
            <w:tcW w:w="3285" w:type="dxa"/>
            <w:vAlign w:val="center"/>
          </w:tcPr>
          <w:p w:rsidR="000A0D35" w:rsidRPr="004B208C" w:rsidRDefault="000A0D35" w:rsidP="00947901">
            <w:pPr>
              <w:rPr>
                <w:rFonts w:cs="Tahoma"/>
                <w:szCs w:val="18"/>
              </w:rPr>
            </w:pPr>
            <w:r w:rsidRPr="004B208C">
              <w:rPr>
                <w:rFonts w:cs="Tahoma"/>
                <w:szCs w:val="18"/>
              </w:rPr>
              <w:t>Office 365 E4/G4 sem Complemento ProPlus</w:t>
            </w:r>
          </w:p>
        </w:tc>
        <w:tc>
          <w:tcPr>
            <w:tcW w:w="3930" w:type="dxa"/>
            <w:vAlign w:val="center"/>
          </w:tcPr>
          <w:p w:rsidR="000A0D35" w:rsidRPr="004B208C" w:rsidRDefault="000A0D35" w:rsidP="00DB3ECB">
            <w:pPr>
              <w:rPr>
                <w:rFonts w:cs="Tahoma"/>
                <w:szCs w:val="18"/>
              </w:rPr>
            </w:pPr>
            <w:r w:rsidRPr="004B208C">
              <w:rPr>
                <w:rFonts w:cs="Tahoma"/>
                <w:szCs w:val="18"/>
              </w:rPr>
              <w:t>Office 365 E4/G4 sem ProPlus</w:t>
            </w:r>
          </w:p>
        </w:tc>
      </w:tr>
      <w:tr w:rsidR="000A0D35" w:rsidRPr="004B208C" w:rsidTr="00BD7DCA">
        <w:tc>
          <w:tcPr>
            <w:tcW w:w="1638" w:type="dxa"/>
            <w:vMerge/>
            <w:vAlign w:val="center"/>
          </w:tcPr>
          <w:p w:rsidR="000A0D35" w:rsidRPr="004B208C" w:rsidRDefault="000A0D35" w:rsidP="00DB3ECB">
            <w:pPr>
              <w:jc w:val="center"/>
              <w:rPr>
                <w:rFonts w:cs="Tahoma"/>
                <w:szCs w:val="18"/>
              </w:rPr>
            </w:pPr>
          </w:p>
        </w:tc>
        <w:tc>
          <w:tcPr>
            <w:tcW w:w="3285" w:type="dxa"/>
            <w:vAlign w:val="center"/>
          </w:tcPr>
          <w:p w:rsidR="000A0D35" w:rsidRPr="004B208C" w:rsidRDefault="000A0D35" w:rsidP="00DB3ECB">
            <w:pPr>
              <w:rPr>
                <w:rFonts w:cs="Tahoma"/>
                <w:szCs w:val="18"/>
              </w:rPr>
            </w:pPr>
            <w:r w:rsidRPr="004B208C">
              <w:rPr>
                <w:rFonts w:cs="Tahoma"/>
                <w:szCs w:val="18"/>
              </w:rPr>
              <w:t>Complemento do Exchange Online Plano 1</w:t>
            </w:r>
          </w:p>
        </w:tc>
        <w:tc>
          <w:tcPr>
            <w:tcW w:w="3930" w:type="dxa"/>
            <w:vAlign w:val="center"/>
          </w:tcPr>
          <w:p w:rsidR="000A0D35" w:rsidRPr="004B208C" w:rsidRDefault="000A0D35" w:rsidP="00DB3ECB">
            <w:pPr>
              <w:rPr>
                <w:rFonts w:cs="Tahoma"/>
                <w:szCs w:val="18"/>
              </w:rPr>
            </w:pPr>
            <w:r w:rsidRPr="004B208C">
              <w:rPr>
                <w:rFonts w:cs="Tahoma"/>
                <w:szCs w:val="18"/>
              </w:rPr>
              <w:t>Exchange Online Plano 1</w:t>
            </w:r>
          </w:p>
        </w:tc>
      </w:tr>
      <w:tr w:rsidR="000A0D35" w:rsidRPr="004B208C" w:rsidTr="00BD7DCA">
        <w:tc>
          <w:tcPr>
            <w:tcW w:w="1638" w:type="dxa"/>
            <w:vMerge/>
            <w:vAlign w:val="center"/>
          </w:tcPr>
          <w:p w:rsidR="000A0D35" w:rsidRPr="004B208C" w:rsidRDefault="000A0D35" w:rsidP="00DB3ECB">
            <w:pPr>
              <w:jc w:val="center"/>
              <w:rPr>
                <w:rFonts w:cs="Tahoma"/>
                <w:szCs w:val="18"/>
              </w:rPr>
            </w:pPr>
          </w:p>
        </w:tc>
        <w:tc>
          <w:tcPr>
            <w:tcW w:w="3285" w:type="dxa"/>
            <w:vAlign w:val="center"/>
          </w:tcPr>
          <w:p w:rsidR="000A0D35" w:rsidRPr="004B208C" w:rsidRDefault="000A0D35" w:rsidP="00DB3ECB">
            <w:pPr>
              <w:rPr>
                <w:rFonts w:cs="Tahoma"/>
                <w:szCs w:val="18"/>
              </w:rPr>
            </w:pPr>
          </w:p>
        </w:tc>
        <w:tc>
          <w:tcPr>
            <w:tcW w:w="3930" w:type="dxa"/>
            <w:vAlign w:val="center"/>
          </w:tcPr>
          <w:p w:rsidR="000A0D35" w:rsidRPr="004B208C" w:rsidRDefault="000A0D35" w:rsidP="00DB3ECB">
            <w:pPr>
              <w:rPr>
                <w:rFonts w:cs="Tahoma"/>
                <w:szCs w:val="18"/>
              </w:rPr>
            </w:pPr>
          </w:p>
        </w:tc>
      </w:tr>
      <w:tr w:rsidR="000A0D35" w:rsidRPr="004B208C" w:rsidTr="00BD7DCA">
        <w:tc>
          <w:tcPr>
            <w:tcW w:w="1638" w:type="dxa"/>
            <w:vMerge/>
            <w:vAlign w:val="center"/>
          </w:tcPr>
          <w:p w:rsidR="000A0D35" w:rsidRPr="004B208C" w:rsidRDefault="000A0D35" w:rsidP="00DB3ECB">
            <w:pPr>
              <w:jc w:val="center"/>
              <w:rPr>
                <w:rFonts w:cs="Tahoma"/>
                <w:szCs w:val="18"/>
              </w:rPr>
            </w:pPr>
          </w:p>
        </w:tc>
        <w:tc>
          <w:tcPr>
            <w:tcW w:w="3285" w:type="dxa"/>
            <w:vAlign w:val="center"/>
          </w:tcPr>
          <w:p w:rsidR="000A0D35" w:rsidRPr="004B208C" w:rsidRDefault="000A0D35" w:rsidP="00DB3ECB">
            <w:pPr>
              <w:rPr>
                <w:rFonts w:cs="Tahoma"/>
                <w:szCs w:val="18"/>
              </w:rPr>
            </w:pPr>
            <w:r w:rsidRPr="004B208C">
              <w:rPr>
                <w:rFonts w:cs="Tahoma"/>
                <w:szCs w:val="18"/>
              </w:rPr>
              <w:t>Complemento do Lync Online Plano 1</w:t>
            </w:r>
          </w:p>
        </w:tc>
        <w:tc>
          <w:tcPr>
            <w:tcW w:w="3930" w:type="dxa"/>
            <w:vAlign w:val="center"/>
          </w:tcPr>
          <w:p w:rsidR="000A0D35" w:rsidRPr="004B208C" w:rsidRDefault="000A0D35" w:rsidP="00DB3ECB">
            <w:pPr>
              <w:rPr>
                <w:rFonts w:cs="Tahoma"/>
                <w:szCs w:val="18"/>
              </w:rPr>
            </w:pPr>
            <w:r w:rsidRPr="004B208C">
              <w:rPr>
                <w:rFonts w:cs="Tahoma"/>
                <w:szCs w:val="18"/>
              </w:rPr>
              <w:t>Lync Online Plano 1</w:t>
            </w:r>
          </w:p>
        </w:tc>
      </w:tr>
      <w:tr w:rsidR="000A0D35" w:rsidRPr="004B208C" w:rsidTr="00BD7DCA">
        <w:tc>
          <w:tcPr>
            <w:tcW w:w="1638" w:type="dxa"/>
            <w:vMerge/>
            <w:vAlign w:val="center"/>
          </w:tcPr>
          <w:p w:rsidR="000A0D35" w:rsidRPr="004B208C" w:rsidRDefault="000A0D35" w:rsidP="00DB3ECB">
            <w:pPr>
              <w:jc w:val="center"/>
              <w:rPr>
                <w:rFonts w:cs="Tahoma"/>
                <w:szCs w:val="18"/>
              </w:rPr>
            </w:pPr>
          </w:p>
        </w:tc>
        <w:tc>
          <w:tcPr>
            <w:tcW w:w="3285" w:type="dxa"/>
            <w:vAlign w:val="center"/>
          </w:tcPr>
          <w:p w:rsidR="000A0D35" w:rsidRPr="004B208C" w:rsidRDefault="000A0D35" w:rsidP="00DB3ECB">
            <w:pPr>
              <w:rPr>
                <w:rFonts w:cs="Tahoma"/>
                <w:szCs w:val="18"/>
              </w:rPr>
            </w:pPr>
            <w:r w:rsidRPr="004B208C">
              <w:rPr>
                <w:rFonts w:cs="Tahoma"/>
                <w:szCs w:val="18"/>
              </w:rPr>
              <w:t>SharePoint Online Plano 1 com Complemento Yammer</w:t>
            </w:r>
          </w:p>
        </w:tc>
        <w:tc>
          <w:tcPr>
            <w:tcW w:w="3930" w:type="dxa"/>
            <w:vAlign w:val="center"/>
          </w:tcPr>
          <w:p w:rsidR="000A0D35" w:rsidRPr="004B208C" w:rsidRDefault="000A0D35" w:rsidP="00541ED5">
            <w:pPr>
              <w:rPr>
                <w:rFonts w:cs="Tahoma"/>
                <w:szCs w:val="18"/>
              </w:rPr>
            </w:pPr>
            <w:r w:rsidRPr="004B208C">
              <w:rPr>
                <w:rFonts w:cs="Tahoma"/>
                <w:szCs w:val="18"/>
              </w:rPr>
              <w:t>SharePoint Online Plan 1 e Yammer Enterprise</w:t>
            </w:r>
          </w:p>
        </w:tc>
      </w:tr>
      <w:tr w:rsidR="000A0D35" w:rsidRPr="004B208C" w:rsidTr="00BD7DCA">
        <w:tc>
          <w:tcPr>
            <w:tcW w:w="1638" w:type="dxa"/>
            <w:vMerge w:val="restart"/>
            <w:vAlign w:val="center"/>
          </w:tcPr>
          <w:p w:rsidR="000A0D35" w:rsidRPr="004B208C" w:rsidRDefault="000A0D35" w:rsidP="00DB3ECB">
            <w:pPr>
              <w:jc w:val="center"/>
              <w:rPr>
                <w:rFonts w:cs="Tahoma"/>
              </w:rPr>
            </w:pPr>
            <w:r w:rsidRPr="004B208C">
              <w:rPr>
                <w:rFonts w:cs="Tahoma"/>
                <w:szCs w:val="18"/>
              </w:rPr>
              <w:t>Pacote de CALs Principais +</w:t>
            </w:r>
          </w:p>
          <w:p w:rsidR="000A0D35" w:rsidRPr="004B208C" w:rsidRDefault="000A0D35" w:rsidP="00DB3ECB">
            <w:pPr>
              <w:jc w:val="center"/>
              <w:rPr>
                <w:rFonts w:cs="Tahoma"/>
                <w:szCs w:val="18"/>
              </w:rPr>
            </w:pPr>
            <w:r w:rsidRPr="004B208C">
              <w:rPr>
                <w:rFonts w:cs="Tahoma"/>
                <w:szCs w:val="18"/>
              </w:rPr>
              <w:t>Office Professional Plus</w:t>
            </w:r>
          </w:p>
        </w:tc>
        <w:tc>
          <w:tcPr>
            <w:tcW w:w="3285" w:type="dxa"/>
            <w:vAlign w:val="center"/>
          </w:tcPr>
          <w:p w:rsidR="000A0D35" w:rsidRPr="004B208C" w:rsidRDefault="000A0D35" w:rsidP="00DB3ECB">
            <w:pPr>
              <w:rPr>
                <w:rFonts w:cs="Tahoma"/>
                <w:szCs w:val="18"/>
              </w:rPr>
            </w:pPr>
            <w:r w:rsidRPr="004B208C">
              <w:rPr>
                <w:rFonts w:cs="Tahoma"/>
                <w:szCs w:val="18"/>
              </w:rPr>
              <w:t xml:space="preserve">Complemento do Office 365 E1/G1 </w:t>
            </w:r>
          </w:p>
        </w:tc>
        <w:tc>
          <w:tcPr>
            <w:tcW w:w="3930" w:type="dxa"/>
            <w:vAlign w:val="center"/>
          </w:tcPr>
          <w:p w:rsidR="000A0D35" w:rsidRPr="004B208C" w:rsidRDefault="000A0D35" w:rsidP="00DB3ECB">
            <w:pPr>
              <w:rPr>
                <w:rFonts w:cs="Tahoma"/>
                <w:szCs w:val="18"/>
              </w:rPr>
            </w:pPr>
            <w:r w:rsidRPr="004B208C">
              <w:rPr>
                <w:rFonts w:cs="Tahoma"/>
                <w:szCs w:val="18"/>
              </w:rPr>
              <w:t>Office 365 E1/G1</w:t>
            </w:r>
          </w:p>
        </w:tc>
      </w:tr>
      <w:tr w:rsidR="000A0D35" w:rsidRPr="004B208C" w:rsidTr="00BD7DCA">
        <w:tc>
          <w:tcPr>
            <w:tcW w:w="1638" w:type="dxa"/>
            <w:vMerge/>
          </w:tcPr>
          <w:p w:rsidR="000A0D35" w:rsidRPr="004B208C" w:rsidRDefault="000A0D35" w:rsidP="00DB3ECB">
            <w:pPr>
              <w:rPr>
                <w:rFonts w:cs="Tahoma"/>
                <w:szCs w:val="18"/>
              </w:rPr>
            </w:pPr>
          </w:p>
        </w:tc>
        <w:tc>
          <w:tcPr>
            <w:tcW w:w="3285" w:type="dxa"/>
            <w:vAlign w:val="center"/>
          </w:tcPr>
          <w:p w:rsidR="000A0D35" w:rsidRPr="004B208C" w:rsidRDefault="000A0D35" w:rsidP="00947901">
            <w:pPr>
              <w:rPr>
                <w:rFonts w:cs="Tahoma"/>
                <w:szCs w:val="18"/>
              </w:rPr>
            </w:pPr>
            <w:r w:rsidRPr="004B208C">
              <w:rPr>
                <w:rFonts w:cs="Tahoma"/>
                <w:szCs w:val="18"/>
              </w:rPr>
              <w:t>Office 365 E3/G3 sem Complemento ProPlus</w:t>
            </w:r>
          </w:p>
        </w:tc>
        <w:tc>
          <w:tcPr>
            <w:tcW w:w="3930" w:type="dxa"/>
            <w:vAlign w:val="center"/>
          </w:tcPr>
          <w:p w:rsidR="000A0D35" w:rsidRPr="004B208C" w:rsidRDefault="000A0D35" w:rsidP="00947901">
            <w:pPr>
              <w:rPr>
                <w:rFonts w:cs="Tahoma"/>
                <w:szCs w:val="18"/>
              </w:rPr>
            </w:pPr>
            <w:r w:rsidRPr="004B208C">
              <w:rPr>
                <w:rFonts w:cs="Tahoma"/>
                <w:szCs w:val="18"/>
              </w:rPr>
              <w:t>Office 365 E3/G3 sem ProPlus</w:t>
            </w:r>
            <w:r w:rsidRPr="004B208C">
              <w:rPr>
                <w:rFonts w:cs="Tahoma"/>
                <w:szCs w:val="18"/>
                <w:vertAlign w:val="superscript"/>
              </w:rPr>
              <w:t>2</w:t>
            </w:r>
          </w:p>
        </w:tc>
      </w:tr>
      <w:tr w:rsidR="000A0D35" w:rsidRPr="004B208C" w:rsidTr="00BD7DCA">
        <w:tc>
          <w:tcPr>
            <w:tcW w:w="1638" w:type="dxa"/>
            <w:vMerge/>
          </w:tcPr>
          <w:p w:rsidR="000A0D35" w:rsidRPr="004B208C" w:rsidRDefault="000A0D35" w:rsidP="00DB3ECB">
            <w:pPr>
              <w:rPr>
                <w:rFonts w:cs="Tahoma"/>
                <w:szCs w:val="18"/>
              </w:rPr>
            </w:pPr>
          </w:p>
        </w:tc>
        <w:tc>
          <w:tcPr>
            <w:tcW w:w="3285" w:type="dxa"/>
            <w:vAlign w:val="center"/>
          </w:tcPr>
          <w:p w:rsidR="000A0D35" w:rsidRPr="004B208C" w:rsidRDefault="000A0D35" w:rsidP="00DB3ECB">
            <w:pPr>
              <w:rPr>
                <w:rFonts w:cs="Tahoma"/>
                <w:szCs w:val="18"/>
              </w:rPr>
            </w:pPr>
            <w:r w:rsidRPr="004B208C">
              <w:rPr>
                <w:rFonts w:cs="Tahoma"/>
                <w:szCs w:val="18"/>
              </w:rPr>
              <w:t>Complemento do Office 365 E3/G3</w:t>
            </w:r>
          </w:p>
        </w:tc>
        <w:tc>
          <w:tcPr>
            <w:tcW w:w="3930" w:type="dxa"/>
            <w:vAlign w:val="center"/>
          </w:tcPr>
          <w:p w:rsidR="000A0D35" w:rsidRPr="004B208C" w:rsidRDefault="000A0D35" w:rsidP="00DB3ECB">
            <w:pPr>
              <w:rPr>
                <w:rFonts w:cs="Tahoma"/>
                <w:szCs w:val="18"/>
              </w:rPr>
            </w:pPr>
            <w:r w:rsidRPr="004B208C">
              <w:rPr>
                <w:rFonts w:cs="Tahoma"/>
                <w:szCs w:val="18"/>
              </w:rPr>
              <w:t>Office 365 E3/G3</w:t>
            </w:r>
          </w:p>
        </w:tc>
      </w:tr>
      <w:tr w:rsidR="000A0D35" w:rsidRPr="004B208C" w:rsidTr="00BD7DCA">
        <w:tc>
          <w:tcPr>
            <w:tcW w:w="1638" w:type="dxa"/>
            <w:vMerge/>
          </w:tcPr>
          <w:p w:rsidR="000A0D35" w:rsidRPr="004B208C" w:rsidRDefault="000A0D35" w:rsidP="00DB3ECB">
            <w:pPr>
              <w:rPr>
                <w:rFonts w:cs="Tahoma"/>
                <w:szCs w:val="18"/>
              </w:rPr>
            </w:pPr>
          </w:p>
        </w:tc>
        <w:tc>
          <w:tcPr>
            <w:tcW w:w="3285" w:type="dxa"/>
            <w:vAlign w:val="center"/>
          </w:tcPr>
          <w:p w:rsidR="000A0D35" w:rsidRPr="004B208C" w:rsidRDefault="000A0D35" w:rsidP="00947901">
            <w:pPr>
              <w:rPr>
                <w:rFonts w:cs="Tahoma"/>
                <w:szCs w:val="18"/>
              </w:rPr>
            </w:pPr>
            <w:r w:rsidRPr="004B208C">
              <w:rPr>
                <w:rFonts w:cs="Tahoma"/>
                <w:szCs w:val="18"/>
              </w:rPr>
              <w:t>Office 365 E4/G4 sem Complemento ProPlus</w:t>
            </w:r>
          </w:p>
        </w:tc>
        <w:tc>
          <w:tcPr>
            <w:tcW w:w="3930" w:type="dxa"/>
            <w:vAlign w:val="center"/>
          </w:tcPr>
          <w:p w:rsidR="000A0D35" w:rsidRPr="004B208C" w:rsidRDefault="000A0D35" w:rsidP="00DB3ECB">
            <w:pPr>
              <w:rPr>
                <w:rFonts w:cs="Tahoma"/>
                <w:szCs w:val="18"/>
              </w:rPr>
            </w:pPr>
            <w:r w:rsidRPr="004B208C">
              <w:rPr>
                <w:rFonts w:cs="Tahoma"/>
                <w:szCs w:val="18"/>
              </w:rPr>
              <w:t>Office 365 E4/G4 sem ProPlus</w:t>
            </w:r>
            <w:r w:rsidRPr="004B208C">
              <w:rPr>
                <w:rFonts w:cs="Tahoma"/>
                <w:szCs w:val="18"/>
                <w:vertAlign w:val="superscript"/>
              </w:rPr>
              <w:t>2</w:t>
            </w:r>
          </w:p>
        </w:tc>
      </w:tr>
      <w:tr w:rsidR="000A0D35" w:rsidRPr="004B208C" w:rsidTr="00BD7DCA">
        <w:tc>
          <w:tcPr>
            <w:tcW w:w="1638" w:type="dxa"/>
            <w:vMerge/>
          </w:tcPr>
          <w:p w:rsidR="000A0D35" w:rsidRPr="004B208C" w:rsidRDefault="000A0D35" w:rsidP="00DB3ECB">
            <w:pPr>
              <w:rPr>
                <w:rFonts w:cs="Tahoma"/>
                <w:szCs w:val="18"/>
              </w:rPr>
            </w:pPr>
          </w:p>
        </w:tc>
        <w:tc>
          <w:tcPr>
            <w:tcW w:w="3285" w:type="dxa"/>
            <w:vAlign w:val="center"/>
          </w:tcPr>
          <w:p w:rsidR="000A0D35" w:rsidRPr="004B208C" w:rsidRDefault="000A0D35" w:rsidP="00DB3ECB">
            <w:pPr>
              <w:rPr>
                <w:rFonts w:cs="Tahoma"/>
                <w:szCs w:val="18"/>
              </w:rPr>
            </w:pPr>
            <w:r w:rsidRPr="004B208C">
              <w:rPr>
                <w:rFonts w:cs="Tahoma"/>
                <w:szCs w:val="18"/>
              </w:rPr>
              <w:t>Complemento do Office 365 E4/G4</w:t>
            </w:r>
          </w:p>
        </w:tc>
        <w:tc>
          <w:tcPr>
            <w:tcW w:w="3930" w:type="dxa"/>
            <w:vAlign w:val="center"/>
          </w:tcPr>
          <w:p w:rsidR="000A0D35" w:rsidRPr="004B208C" w:rsidRDefault="000A0D35" w:rsidP="00DB3ECB">
            <w:pPr>
              <w:rPr>
                <w:rFonts w:cs="Tahoma"/>
                <w:szCs w:val="18"/>
              </w:rPr>
            </w:pPr>
            <w:r w:rsidRPr="004B208C">
              <w:rPr>
                <w:rFonts w:cs="Tahoma"/>
                <w:szCs w:val="18"/>
              </w:rPr>
              <w:t>Office 365 E4/G4</w:t>
            </w:r>
          </w:p>
        </w:tc>
      </w:tr>
      <w:tr w:rsidR="000A0D35" w:rsidRPr="004B208C" w:rsidTr="00BD7DCA">
        <w:tc>
          <w:tcPr>
            <w:tcW w:w="1638" w:type="dxa"/>
            <w:vMerge/>
          </w:tcPr>
          <w:p w:rsidR="000A0D35" w:rsidRPr="004B208C" w:rsidRDefault="000A0D35" w:rsidP="00DB3ECB">
            <w:pPr>
              <w:rPr>
                <w:rFonts w:cs="Tahoma"/>
                <w:szCs w:val="18"/>
              </w:rPr>
            </w:pPr>
          </w:p>
        </w:tc>
        <w:tc>
          <w:tcPr>
            <w:tcW w:w="3285" w:type="dxa"/>
            <w:vAlign w:val="center"/>
          </w:tcPr>
          <w:p w:rsidR="000A0D35" w:rsidRPr="004B208C" w:rsidRDefault="000A0D35" w:rsidP="00DB3ECB">
            <w:pPr>
              <w:rPr>
                <w:rFonts w:cs="Tahoma"/>
                <w:szCs w:val="18"/>
              </w:rPr>
            </w:pPr>
            <w:r w:rsidRPr="004B208C">
              <w:rPr>
                <w:rFonts w:cs="Tahoma"/>
                <w:szCs w:val="18"/>
              </w:rPr>
              <w:t>Complemento do Exchange Online Plano 1</w:t>
            </w:r>
          </w:p>
        </w:tc>
        <w:tc>
          <w:tcPr>
            <w:tcW w:w="3930" w:type="dxa"/>
            <w:vAlign w:val="center"/>
          </w:tcPr>
          <w:p w:rsidR="000A0D35" w:rsidRPr="004B208C" w:rsidRDefault="000A0D35" w:rsidP="00DB3ECB">
            <w:pPr>
              <w:rPr>
                <w:rFonts w:cs="Tahoma"/>
                <w:szCs w:val="18"/>
              </w:rPr>
            </w:pPr>
            <w:r w:rsidRPr="004B208C">
              <w:rPr>
                <w:rFonts w:cs="Tahoma"/>
                <w:szCs w:val="18"/>
              </w:rPr>
              <w:t>Exchange Online Plano 1</w:t>
            </w:r>
          </w:p>
        </w:tc>
      </w:tr>
      <w:tr w:rsidR="00A42F94" w:rsidRPr="004B208C" w:rsidTr="00BD7DCA">
        <w:tc>
          <w:tcPr>
            <w:tcW w:w="1638" w:type="dxa"/>
            <w:vMerge/>
          </w:tcPr>
          <w:p w:rsidR="00A42F94" w:rsidRPr="004B208C" w:rsidRDefault="00A42F94" w:rsidP="00A42F94">
            <w:pPr>
              <w:rPr>
                <w:rFonts w:cs="Tahoma"/>
                <w:szCs w:val="18"/>
              </w:rPr>
            </w:pPr>
          </w:p>
        </w:tc>
        <w:tc>
          <w:tcPr>
            <w:tcW w:w="3285" w:type="dxa"/>
            <w:vAlign w:val="center"/>
          </w:tcPr>
          <w:p w:rsidR="00A42F94" w:rsidRPr="004B208C" w:rsidRDefault="00A42F94" w:rsidP="00A42F94">
            <w:pPr>
              <w:rPr>
                <w:rFonts w:cs="Tahoma"/>
                <w:szCs w:val="18"/>
              </w:rPr>
            </w:pPr>
            <w:r w:rsidRPr="004B208C">
              <w:rPr>
                <w:rFonts w:cs="Tahoma"/>
                <w:szCs w:val="18"/>
              </w:rPr>
              <w:t>Complemento do Lync Online Plano 1</w:t>
            </w:r>
          </w:p>
        </w:tc>
        <w:tc>
          <w:tcPr>
            <w:tcW w:w="3930" w:type="dxa"/>
            <w:vAlign w:val="center"/>
          </w:tcPr>
          <w:p w:rsidR="00A42F94" w:rsidRPr="004B208C" w:rsidRDefault="00A42F94" w:rsidP="00A42F94">
            <w:pPr>
              <w:rPr>
                <w:rFonts w:cs="Tahoma"/>
                <w:szCs w:val="18"/>
              </w:rPr>
            </w:pPr>
            <w:r w:rsidRPr="004B208C">
              <w:rPr>
                <w:rFonts w:cs="Tahoma"/>
                <w:szCs w:val="18"/>
              </w:rPr>
              <w:t>Lync Online Plano 1</w:t>
            </w:r>
          </w:p>
        </w:tc>
      </w:tr>
      <w:tr w:rsidR="00A42F94" w:rsidRPr="004B208C" w:rsidTr="00BD7DCA">
        <w:tc>
          <w:tcPr>
            <w:tcW w:w="1638" w:type="dxa"/>
            <w:vMerge/>
          </w:tcPr>
          <w:p w:rsidR="00A42F94" w:rsidRPr="004B208C" w:rsidRDefault="00A42F94" w:rsidP="00A42F94">
            <w:pPr>
              <w:rPr>
                <w:rFonts w:cs="Tahoma"/>
                <w:szCs w:val="18"/>
              </w:rPr>
            </w:pPr>
          </w:p>
        </w:tc>
        <w:tc>
          <w:tcPr>
            <w:tcW w:w="3285" w:type="dxa"/>
            <w:vAlign w:val="center"/>
          </w:tcPr>
          <w:p w:rsidR="00A42F94" w:rsidRPr="004B208C" w:rsidRDefault="00A42F94" w:rsidP="00A42F94">
            <w:pPr>
              <w:rPr>
                <w:rFonts w:cs="Tahoma"/>
                <w:szCs w:val="18"/>
              </w:rPr>
            </w:pPr>
            <w:r w:rsidRPr="004B208C">
              <w:rPr>
                <w:rFonts w:cs="Tahoma"/>
                <w:szCs w:val="18"/>
              </w:rPr>
              <w:t>SharePoint Online Plano 1 com Complemento Yammer</w:t>
            </w:r>
          </w:p>
        </w:tc>
        <w:tc>
          <w:tcPr>
            <w:tcW w:w="3930" w:type="dxa"/>
            <w:vAlign w:val="center"/>
          </w:tcPr>
          <w:p w:rsidR="00A42F94" w:rsidRPr="004B208C" w:rsidRDefault="00A42F94" w:rsidP="00A42F94">
            <w:pPr>
              <w:rPr>
                <w:rFonts w:cs="Tahoma"/>
                <w:szCs w:val="18"/>
              </w:rPr>
            </w:pPr>
            <w:r w:rsidRPr="004B208C">
              <w:rPr>
                <w:rFonts w:cs="Tahoma"/>
                <w:szCs w:val="18"/>
              </w:rPr>
              <w:t xml:space="preserve">SharePoint Online Plan 1 e Yammer Enterprise </w:t>
            </w:r>
          </w:p>
        </w:tc>
      </w:tr>
      <w:tr w:rsidR="00343766" w:rsidRPr="004B208C" w:rsidTr="00BD7DCA">
        <w:tc>
          <w:tcPr>
            <w:tcW w:w="1638" w:type="dxa"/>
            <w:vMerge w:val="restart"/>
            <w:vAlign w:val="center"/>
          </w:tcPr>
          <w:p w:rsidR="00343766" w:rsidRPr="004B208C" w:rsidRDefault="00343766" w:rsidP="00DB3ECB">
            <w:pPr>
              <w:jc w:val="center"/>
              <w:rPr>
                <w:rFonts w:cs="Tahoma"/>
                <w:szCs w:val="18"/>
              </w:rPr>
            </w:pPr>
            <w:r w:rsidRPr="004B208C">
              <w:rPr>
                <w:rFonts w:cs="Tahoma"/>
                <w:szCs w:val="18"/>
              </w:rPr>
              <w:t>Enterprise CAL Suite</w:t>
            </w:r>
          </w:p>
        </w:tc>
        <w:tc>
          <w:tcPr>
            <w:tcW w:w="3285" w:type="dxa"/>
            <w:vAlign w:val="center"/>
          </w:tcPr>
          <w:p w:rsidR="00343766" w:rsidRPr="004B208C" w:rsidRDefault="00343766" w:rsidP="009917CD">
            <w:pPr>
              <w:rPr>
                <w:rFonts w:cs="Tahoma"/>
                <w:szCs w:val="18"/>
              </w:rPr>
            </w:pPr>
            <w:r w:rsidRPr="004B208C">
              <w:rPr>
                <w:rFonts w:cs="Tahoma"/>
                <w:szCs w:val="18"/>
              </w:rPr>
              <w:t>Office 365 E3/G3 sem Complemento ProPlus</w:t>
            </w:r>
          </w:p>
        </w:tc>
        <w:tc>
          <w:tcPr>
            <w:tcW w:w="3930" w:type="dxa"/>
            <w:vAlign w:val="center"/>
          </w:tcPr>
          <w:p w:rsidR="00343766" w:rsidRPr="004B208C" w:rsidRDefault="00343766" w:rsidP="009917CD">
            <w:pPr>
              <w:rPr>
                <w:rFonts w:cs="Tahoma"/>
                <w:szCs w:val="18"/>
              </w:rPr>
            </w:pPr>
            <w:r w:rsidRPr="004B208C">
              <w:rPr>
                <w:rFonts w:cs="Tahoma"/>
                <w:szCs w:val="18"/>
              </w:rPr>
              <w:t>Office 365 E3/G3 sem ProPlus</w:t>
            </w:r>
            <w:r w:rsidRPr="004B208C">
              <w:rPr>
                <w:rFonts w:cs="Tahoma"/>
                <w:szCs w:val="18"/>
                <w:vertAlign w:val="superscript"/>
              </w:rPr>
              <w:t>2</w:t>
            </w:r>
          </w:p>
        </w:tc>
      </w:tr>
      <w:tr w:rsidR="00343766" w:rsidRPr="004B208C" w:rsidTr="00BD7DCA">
        <w:tc>
          <w:tcPr>
            <w:tcW w:w="1638" w:type="dxa"/>
            <w:vMerge/>
          </w:tcPr>
          <w:p w:rsidR="00343766" w:rsidRPr="004B208C" w:rsidRDefault="00343766" w:rsidP="00DB3ECB">
            <w:pPr>
              <w:jc w:val="center"/>
              <w:rPr>
                <w:rFonts w:cs="Tahoma"/>
                <w:szCs w:val="18"/>
              </w:rPr>
            </w:pPr>
          </w:p>
        </w:tc>
        <w:tc>
          <w:tcPr>
            <w:tcW w:w="3285" w:type="dxa"/>
            <w:vAlign w:val="center"/>
          </w:tcPr>
          <w:p w:rsidR="00343766" w:rsidRPr="004B208C" w:rsidRDefault="00343766" w:rsidP="009917CD">
            <w:pPr>
              <w:rPr>
                <w:rFonts w:cs="Tahoma"/>
                <w:szCs w:val="18"/>
              </w:rPr>
            </w:pPr>
            <w:r w:rsidRPr="004B208C">
              <w:rPr>
                <w:rFonts w:cs="Tahoma"/>
                <w:szCs w:val="18"/>
              </w:rPr>
              <w:t>Office 365 E4/G4 sem Complemento ProPlus</w:t>
            </w:r>
          </w:p>
        </w:tc>
        <w:tc>
          <w:tcPr>
            <w:tcW w:w="3930" w:type="dxa"/>
            <w:vAlign w:val="center"/>
          </w:tcPr>
          <w:p w:rsidR="00343766" w:rsidRPr="004B208C" w:rsidRDefault="00343766" w:rsidP="00DB3ECB">
            <w:pPr>
              <w:rPr>
                <w:rFonts w:cs="Tahoma"/>
                <w:szCs w:val="18"/>
              </w:rPr>
            </w:pPr>
            <w:r w:rsidRPr="004B208C">
              <w:rPr>
                <w:rFonts w:cs="Tahoma"/>
                <w:szCs w:val="18"/>
              </w:rPr>
              <w:t>Office 365 E4/G4 sem ProPlus</w:t>
            </w:r>
            <w:r w:rsidRPr="004B208C">
              <w:rPr>
                <w:rFonts w:cs="Tahoma"/>
                <w:szCs w:val="18"/>
                <w:vertAlign w:val="superscript"/>
              </w:rPr>
              <w:t>2</w:t>
            </w:r>
          </w:p>
        </w:tc>
      </w:tr>
      <w:tr w:rsidR="00343766" w:rsidRPr="004B208C" w:rsidTr="00BD7DCA">
        <w:tc>
          <w:tcPr>
            <w:tcW w:w="1638" w:type="dxa"/>
            <w:vMerge/>
          </w:tcPr>
          <w:p w:rsidR="00343766" w:rsidRPr="004B208C" w:rsidRDefault="00343766" w:rsidP="00DB3ECB">
            <w:pPr>
              <w:jc w:val="center"/>
              <w:rPr>
                <w:rFonts w:cs="Tahoma"/>
                <w:szCs w:val="18"/>
              </w:rPr>
            </w:pPr>
          </w:p>
        </w:tc>
        <w:tc>
          <w:tcPr>
            <w:tcW w:w="3285" w:type="dxa"/>
            <w:vAlign w:val="center"/>
          </w:tcPr>
          <w:p w:rsidR="00343766" w:rsidRPr="004B208C" w:rsidRDefault="00343766" w:rsidP="009917CD">
            <w:pPr>
              <w:rPr>
                <w:rFonts w:cs="Tahoma"/>
                <w:szCs w:val="18"/>
              </w:rPr>
            </w:pPr>
            <w:r w:rsidRPr="004B208C">
              <w:rPr>
                <w:rFonts w:cs="Tahoma"/>
                <w:szCs w:val="18"/>
              </w:rPr>
              <w:t>Complemento de Gerenciamento de Direitos do Active Directory do Windows Azure</w:t>
            </w:r>
          </w:p>
        </w:tc>
        <w:tc>
          <w:tcPr>
            <w:tcW w:w="3930" w:type="dxa"/>
            <w:vAlign w:val="center"/>
          </w:tcPr>
          <w:p w:rsidR="00343766" w:rsidRPr="004B208C" w:rsidRDefault="00343766" w:rsidP="00DB3ECB">
            <w:pPr>
              <w:rPr>
                <w:rFonts w:cs="Tahoma"/>
                <w:szCs w:val="18"/>
              </w:rPr>
            </w:pPr>
            <w:r w:rsidRPr="004B208C">
              <w:rPr>
                <w:rFonts w:cs="Tahoma"/>
                <w:szCs w:val="18"/>
              </w:rPr>
              <w:t>Gerenciamento de Direitos do Active Directory do Windows Azure</w:t>
            </w:r>
          </w:p>
        </w:tc>
      </w:tr>
      <w:tr w:rsidR="00343766" w:rsidRPr="004B208C" w:rsidTr="00BD7DCA">
        <w:tc>
          <w:tcPr>
            <w:tcW w:w="1638" w:type="dxa"/>
            <w:vMerge w:val="restart"/>
            <w:vAlign w:val="center"/>
          </w:tcPr>
          <w:p w:rsidR="00343766" w:rsidRPr="004B208C" w:rsidRDefault="00343766" w:rsidP="00DB3ECB">
            <w:pPr>
              <w:jc w:val="center"/>
              <w:rPr>
                <w:rFonts w:cs="Tahoma"/>
              </w:rPr>
            </w:pPr>
            <w:r w:rsidRPr="004B208C">
              <w:rPr>
                <w:rFonts w:cs="Tahoma"/>
                <w:szCs w:val="18"/>
              </w:rPr>
              <w:t xml:space="preserve">Pacote de CALs Empresariais + </w:t>
            </w:r>
          </w:p>
          <w:p w:rsidR="00343766" w:rsidRPr="004B208C" w:rsidRDefault="00343766" w:rsidP="00DB3ECB">
            <w:pPr>
              <w:jc w:val="center"/>
              <w:rPr>
                <w:rFonts w:cs="Tahoma"/>
                <w:szCs w:val="18"/>
              </w:rPr>
            </w:pPr>
            <w:r w:rsidRPr="004B208C">
              <w:rPr>
                <w:rFonts w:cs="Tahoma"/>
                <w:szCs w:val="18"/>
              </w:rPr>
              <w:t>Office Professional Plus</w:t>
            </w:r>
          </w:p>
        </w:tc>
        <w:tc>
          <w:tcPr>
            <w:tcW w:w="3285" w:type="dxa"/>
            <w:vAlign w:val="center"/>
          </w:tcPr>
          <w:p w:rsidR="00343766" w:rsidRPr="004B208C" w:rsidRDefault="00343766" w:rsidP="009917CD">
            <w:pPr>
              <w:rPr>
                <w:rFonts w:cs="Tahoma"/>
                <w:szCs w:val="18"/>
              </w:rPr>
            </w:pPr>
            <w:r w:rsidRPr="004B208C">
              <w:rPr>
                <w:rFonts w:cs="Tahoma"/>
                <w:szCs w:val="18"/>
              </w:rPr>
              <w:t>Office 365 E3/G3 sem Complemento ProPlus</w:t>
            </w:r>
          </w:p>
        </w:tc>
        <w:tc>
          <w:tcPr>
            <w:tcW w:w="3930" w:type="dxa"/>
            <w:vAlign w:val="center"/>
          </w:tcPr>
          <w:p w:rsidR="00343766" w:rsidRPr="004B208C" w:rsidRDefault="00343766" w:rsidP="009917CD">
            <w:pPr>
              <w:rPr>
                <w:rFonts w:cs="Tahoma"/>
                <w:szCs w:val="18"/>
              </w:rPr>
            </w:pPr>
            <w:r w:rsidRPr="004B208C">
              <w:rPr>
                <w:rFonts w:cs="Tahoma"/>
                <w:szCs w:val="18"/>
              </w:rPr>
              <w:t>Office 365 E3/G3 sem ProPlus</w:t>
            </w:r>
            <w:r w:rsidRPr="004B208C">
              <w:rPr>
                <w:rFonts w:cs="Tahoma"/>
                <w:szCs w:val="18"/>
                <w:vertAlign w:val="superscript"/>
              </w:rPr>
              <w:t>2</w:t>
            </w:r>
          </w:p>
        </w:tc>
      </w:tr>
      <w:tr w:rsidR="00343766" w:rsidRPr="004B208C" w:rsidTr="00BD7DCA">
        <w:tc>
          <w:tcPr>
            <w:tcW w:w="1638" w:type="dxa"/>
            <w:vMerge/>
          </w:tcPr>
          <w:p w:rsidR="00343766" w:rsidRPr="004B208C" w:rsidRDefault="00343766" w:rsidP="00DB3ECB">
            <w:pPr>
              <w:jc w:val="center"/>
              <w:rPr>
                <w:rFonts w:cs="Tahoma"/>
                <w:szCs w:val="18"/>
              </w:rPr>
            </w:pPr>
          </w:p>
        </w:tc>
        <w:tc>
          <w:tcPr>
            <w:tcW w:w="3285" w:type="dxa"/>
            <w:vAlign w:val="center"/>
          </w:tcPr>
          <w:p w:rsidR="00343766" w:rsidRPr="004B208C" w:rsidRDefault="00343766" w:rsidP="00DB3ECB">
            <w:pPr>
              <w:rPr>
                <w:rFonts w:cs="Tahoma"/>
                <w:szCs w:val="18"/>
              </w:rPr>
            </w:pPr>
            <w:r w:rsidRPr="004B208C">
              <w:rPr>
                <w:rFonts w:cs="Tahoma"/>
                <w:szCs w:val="18"/>
              </w:rPr>
              <w:t>Complemento do Office 365 E3/G3</w:t>
            </w:r>
          </w:p>
        </w:tc>
        <w:tc>
          <w:tcPr>
            <w:tcW w:w="3930" w:type="dxa"/>
            <w:vAlign w:val="center"/>
          </w:tcPr>
          <w:p w:rsidR="00343766" w:rsidRPr="004B208C" w:rsidRDefault="00343766" w:rsidP="00DB3ECB">
            <w:pPr>
              <w:rPr>
                <w:rFonts w:cs="Tahoma"/>
                <w:szCs w:val="18"/>
              </w:rPr>
            </w:pPr>
            <w:r w:rsidRPr="004B208C">
              <w:rPr>
                <w:rFonts w:cs="Tahoma"/>
                <w:szCs w:val="18"/>
              </w:rPr>
              <w:t>Complemento do Office 365 E3/G3</w:t>
            </w:r>
          </w:p>
        </w:tc>
      </w:tr>
      <w:tr w:rsidR="00343766" w:rsidRPr="004B208C" w:rsidTr="00BD7DCA">
        <w:tc>
          <w:tcPr>
            <w:tcW w:w="1638" w:type="dxa"/>
            <w:vMerge/>
          </w:tcPr>
          <w:p w:rsidR="00343766" w:rsidRPr="004B208C" w:rsidRDefault="00343766" w:rsidP="00DB3ECB">
            <w:pPr>
              <w:jc w:val="center"/>
              <w:rPr>
                <w:rFonts w:cs="Tahoma"/>
                <w:szCs w:val="18"/>
              </w:rPr>
            </w:pPr>
          </w:p>
        </w:tc>
        <w:tc>
          <w:tcPr>
            <w:tcW w:w="3285" w:type="dxa"/>
            <w:vAlign w:val="center"/>
          </w:tcPr>
          <w:p w:rsidR="00343766" w:rsidRPr="004B208C" w:rsidRDefault="00343766" w:rsidP="009917CD">
            <w:pPr>
              <w:rPr>
                <w:rFonts w:cs="Tahoma"/>
                <w:szCs w:val="18"/>
              </w:rPr>
            </w:pPr>
            <w:r w:rsidRPr="004B208C">
              <w:rPr>
                <w:rFonts w:cs="Tahoma"/>
                <w:szCs w:val="18"/>
              </w:rPr>
              <w:t>Office 365 E4/G4 sem Complemento ProPlus</w:t>
            </w:r>
          </w:p>
        </w:tc>
        <w:tc>
          <w:tcPr>
            <w:tcW w:w="3930" w:type="dxa"/>
            <w:vAlign w:val="center"/>
          </w:tcPr>
          <w:p w:rsidR="00343766" w:rsidRPr="004B208C" w:rsidRDefault="00343766" w:rsidP="009917CD">
            <w:pPr>
              <w:rPr>
                <w:rFonts w:cs="Tahoma"/>
                <w:szCs w:val="18"/>
              </w:rPr>
            </w:pPr>
            <w:r w:rsidRPr="004B208C">
              <w:rPr>
                <w:rFonts w:cs="Tahoma"/>
                <w:szCs w:val="18"/>
              </w:rPr>
              <w:t>Office 365 E4/G4 sem ProPlus</w:t>
            </w:r>
            <w:r w:rsidRPr="004B208C">
              <w:rPr>
                <w:rFonts w:cs="Tahoma"/>
                <w:szCs w:val="18"/>
                <w:vertAlign w:val="superscript"/>
              </w:rPr>
              <w:t>2</w:t>
            </w:r>
          </w:p>
        </w:tc>
      </w:tr>
      <w:tr w:rsidR="00343766" w:rsidRPr="004B208C" w:rsidTr="00BD7DCA">
        <w:tc>
          <w:tcPr>
            <w:tcW w:w="1638" w:type="dxa"/>
            <w:vMerge/>
          </w:tcPr>
          <w:p w:rsidR="00343766" w:rsidRPr="004B208C" w:rsidRDefault="00343766" w:rsidP="00DB3ECB">
            <w:pPr>
              <w:jc w:val="center"/>
              <w:rPr>
                <w:rFonts w:cs="Tahoma"/>
                <w:szCs w:val="18"/>
              </w:rPr>
            </w:pPr>
          </w:p>
        </w:tc>
        <w:tc>
          <w:tcPr>
            <w:tcW w:w="3285" w:type="dxa"/>
            <w:vAlign w:val="center"/>
          </w:tcPr>
          <w:p w:rsidR="00343766" w:rsidRPr="004B208C" w:rsidRDefault="00343766" w:rsidP="00DB3ECB">
            <w:pPr>
              <w:rPr>
                <w:rFonts w:cs="Tahoma"/>
                <w:szCs w:val="18"/>
              </w:rPr>
            </w:pPr>
            <w:r w:rsidRPr="004B208C">
              <w:rPr>
                <w:rFonts w:cs="Tahoma"/>
                <w:szCs w:val="18"/>
              </w:rPr>
              <w:t>Complemento do Office 365 E4/G4</w:t>
            </w:r>
          </w:p>
        </w:tc>
        <w:tc>
          <w:tcPr>
            <w:tcW w:w="3930" w:type="dxa"/>
            <w:vAlign w:val="center"/>
          </w:tcPr>
          <w:p w:rsidR="00343766" w:rsidRPr="004B208C" w:rsidRDefault="00343766" w:rsidP="00DB3ECB">
            <w:pPr>
              <w:rPr>
                <w:rFonts w:cs="Tahoma"/>
                <w:szCs w:val="18"/>
              </w:rPr>
            </w:pPr>
            <w:r w:rsidRPr="004B208C">
              <w:rPr>
                <w:rFonts w:cs="Tahoma"/>
                <w:szCs w:val="18"/>
              </w:rPr>
              <w:t>Office 365 E4/G4</w:t>
            </w:r>
          </w:p>
        </w:tc>
      </w:tr>
      <w:tr w:rsidR="00343766" w:rsidRPr="004B208C" w:rsidTr="00BD7DCA">
        <w:tc>
          <w:tcPr>
            <w:tcW w:w="1638" w:type="dxa"/>
            <w:vMerge/>
          </w:tcPr>
          <w:p w:rsidR="00343766" w:rsidRPr="004B208C" w:rsidRDefault="00343766" w:rsidP="00DB3ECB">
            <w:pPr>
              <w:jc w:val="center"/>
              <w:rPr>
                <w:rFonts w:cs="Tahoma"/>
                <w:szCs w:val="18"/>
              </w:rPr>
            </w:pPr>
          </w:p>
        </w:tc>
        <w:tc>
          <w:tcPr>
            <w:tcW w:w="3285" w:type="dxa"/>
            <w:vAlign w:val="center"/>
          </w:tcPr>
          <w:p w:rsidR="00343766" w:rsidRPr="004B208C" w:rsidRDefault="00343766" w:rsidP="00DB3ECB">
            <w:pPr>
              <w:rPr>
                <w:rFonts w:cs="Tahoma"/>
                <w:szCs w:val="18"/>
              </w:rPr>
            </w:pPr>
            <w:r w:rsidRPr="004B208C">
              <w:rPr>
                <w:rFonts w:cs="Tahoma"/>
                <w:szCs w:val="18"/>
              </w:rPr>
              <w:t>Complemento de Gerenciamento de Direitos do Active Directory do Windows Azure</w:t>
            </w:r>
          </w:p>
        </w:tc>
        <w:tc>
          <w:tcPr>
            <w:tcW w:w="3930" w:type="dxa"/>
            <w:vAlign w:val="center"/>
          </w:tcPr>
          <w:p w:rsidR="00343766" w:rsidRPr="004B208C" w:rsidRDefault="00343766" w:rsidP="00DB3ECB">
            <w:pPr>
              <w:rPr>
                <w:rFonts w:cs="Tahoma"/>
                <w:szCs w:val="18"/>
              </w:rPr>
            </w:pPr>
            <w:r w:rsidRPr="004B208C">
              <w:rPr>
                <w:rFonts w:cs="Tahoma"/>
                <w:szCs w:val="18"/>
              </w:rPr>
              <w:t>Gerenciamento de Direitos do Active Directory do Windows Azure</w:t>
            </w:r>
          </w:p>
        </w:tc>
      </w:tr>
    </w:tbl>
    <w:p w:rsidR="00BD7DCA" w:rsidRDefault="00BD7DCA" w:rsidP="00BD7DCA">
      <w:pPr>
        <w:ind w:left="720"/>
        <w:rPr>
          <w:rFonts w:cs="Tahoma"/>
          <w:szCs w:val="24"/>
          <w:vertAlign w:val="superscript"/>
        </w:rPr>
      </w:pPr>
    </w:p>
    <w:p w:rsidR="000A0D35" w:rsidRPr="004B208C" w:rsidRDefault="000A0D35" w:rsidP="000A0D35">
      <w:pPr>
        <w:ind w:left="720"/>
        <w:rPr>
          <w:rFonts w:cs="Tahoma"/>
        </w:rPr>
      </w:pPr>
      <w:r w:rsidRPr="004B208C">
        <w:rPr>
          <w:rFonts w:cs="Tahoma"/>
          <w:szCs w:val="24"/>
          <w:vertAlign w:val="superscript"/>
        </w:rPr>
        <w:t>1</w:t>
      </w:r>
      <w:r w:rsidRPr="004B208C">
        <w:rPr>
          <w:rFonts w:cs="Tahoma"/>
          <w:sz w:val="16"/>
          <w:szCs w:val="24"/>
        </w:rPr>
        <w:t>Na tabela acima, o uso de “E” nos nomes de SLs de Usuário Complementares e SLs de Usuário de Serviços Online Correspondentes não indica que esses produtos sejam oferecidos como Produtos Empresariais.</w:t>
      </w:r>
      <w:r w:rsidR="00172F11">
        <w:rPr>
          <w:rFonts w:cs="Tahoma"/>
          <w:sz w:val="16"/>
          <w:szCs w:val="24"/>
        </w:rPr>
        <w:t xml:space="preserve"> </w:t>
      </w:r>
      <w:r w:rsidRPr="004B208C">
        <w:rPr>
          <w:rFonts w:cs="Tahoma"/>
          <w:sz w:val="16"/>
          <w:szCs w:val="24"/>
        </w:rPr>
        <w:t>Ao contrário, é uma abreviação dos nomes dos produtos Office 365, sendo que “E” significa a palavra Enterprise e “G” significa Government.</w:t>
      </w:r>
    </w:p>
    <w:p w:rsidR="00FB1E38" w:rsidRPr="004B208C" w:rsidRDefault="00FB1E38" w:rsidP="00FB1E38">
      <w:pPr>
        <w:ind w:left="720"/>
        <w:rPr>
          <w:rFonts w:cs="Tahoma"/>
        </w:rPr>
      </w:pPr>
      <w:r w:rsidRPr="004B208C">
        <w:rPr>
          <w:rFonts w:cs="Tahoma"/>
          <w:sz w:val="16"/>
          <w:szCs w:val="24"/>
          <w:vertAlign w:val="superscript"/>
        </w:rPr>
        <w:t>2</w:t>
      </w:r>
      <w:r w:rsidRPr="004B208C">
        <w:rPr>
          <w:rFonts w:cs="Tahoma"/>
          <w:sz w:val="16"/>
          <w:szCs w:val="24"/>
        </w:rPr>
        <w:t>Os pacotes Office 365 sem ProPlus só estão disponíveis por meio de uma SL de Usuário Complementar</w:t>
      </w:r>
      <w:r w:rsidRPr="004B208C">
        <w:rPr>
          <w:rFonts w:cs="Tahoma"/>
          <w:szCs w:val="24"/>
        </w:rPr>
        <w:t>.</w:t>
      </w:r>
    </w:p>
    <w:p w:rsidR="000A0D35" w:rsidRPr="004B208C" w:rsidRDefault="000A0D35" w:rsidP="000A0D35">
      <w:pPr>
        <w:ind w:left="720"/>
        <w:rPr>
          <w:rFonts w:cs="Tahoma"/>
        </w:rPr>
      </w:pPr>
    </w:p>
    <w:p w:rsidR="000A0D35" w:rsidRPr="004B208C" w:rsidRDefault="000A0D35" w:rsidP="000A0D35">
      <w:pPr>
        <w:ind w:left="720"/>
        <w:rPr>
          <w:rFonts w:cs="Tahoma"/>
        </w:rPr>
      </w:pPr>
      <w:r w:rsidRPr="004B208C">
        <w:rPr>
          <w:rFonts w:cs="Tahoma"/>
          <w:szCs w:val="24"/>
        </w:rPr>
        <w:t xml:space="preserve">Os seguintes termos e condições aplicam-se a SLs de Usuário Complementares na tabela acima. </w:t>
      </w:r>
    </w:p>
    <w:p w:rsidR="000A0D35" w:rsidRPr="004B208C" w:rsidRDefault="000A0D35" w:rsidP="000A0D35">
      <w:pPr>
        <w:ind w:left="900"/>
        <w:rPr>
          <w:rFonts w:cs="Tahoma"/>
        </w:rPr>
      </w:pPr>
    </w:p>
    <w:p w:rsidR="000A0D35" w:rsidRPr="004B208C" w:rsidRDefault="000A0D35" w:rsidP="000A0D35">
      <w:pPr>
        <w:keepNext/>
        <w:spacing w:after="60"/>
        <w:ind w:left="720"/>
        <w:rPr>
          <w:rFonts w:cs="Tahoma"/>
        </w:rPr>
      </w:pPr>
      <w:r w:rsidRPr="004B208C">
        <w:rPr>
          <w:rFonts w:eastAsia="Calibri" w:cs="Tahoma"/>
          <w:b/>
          <w:color w:val="000000"/>
          <w:szCs w:val="18"/>
        </w:rPr>
        <w:t>Qualificação para Compra</w:t>
      </w:r>
    </w:p>
    <w:p w:rsidR="000A0D35" w:rsidRPr="004B208C" w:rsidRDefault="000A0D35" w:rsidP="000A0D35">
      <w:pPr>
        <w:spacing w:after="60"/>
        <w:ind w:left="720"/>
        <w:rPr>
          <w:rFonts w:cs="Tahoma"/>
        </w:rPr>
      </w:pPr>
      <w:r w:rsidRPr="004B208C">
        <w:rPr>
          <w:rFonts w:cs="Tahoma"/>
          <w:szCs w:val="24"/>
        </w:rPr>
        <w:t xml:space="preserve">Para comprar uma SL de Usuário Complementar: </w:t>
      </w:r>
    </w:p>
    <w:p w:rsidR="000A0D35" w:rsidRPr="00BD7DCA" w:rsidRDefault="000A0D35" w:rsidP="00A1385C">
      <w:pPr>
        <w:pStyle w:val="ListParagraph"/>
        <w:numPr>
          <w:ilvl w:val="0"/>
          <w:numId w:val="126"/>
        </w:numPr>
        <w:spacing w:after="60"/>
        <w:rPr>
          <w:rFonts w:ascii="Tahoma" w:hAnsi="Tahoma" w:cs="Tahoma"/>
          <w:sz w:val="18"/>
          <w:szCs w:val="18"/>
        </w:rPr>
      </w:pPr>
      <w:r w:rsidRPr="00BD7DCA">
        <w:rPr>
          <w:rFonts w:ascii="Tahoma" w:hAnsi="Tahoma" w:cs="Tahoma"/>
          <w:sz w:val="18"/>
          <w:szCs w:val="18"/>
        </w:rPr>
        <w:t xml:space="preserve">Os Clientes devem ter um Registro Enterprise ativo sem Software Assurance ativo para as Licenças Qualificadas correspondentes. As Licenças Qualificadas podem ser baseadas em usuário ou dispositivo. </w:t>
      </w:r>
    </w:p>
    <w:p w:rsidR="000A0D35" w:rsidRPr="00BD7DCA" w:rsidRDefault="000A0D35" w:rsidP="00A1385C">
      <w:pPr>
        <w:pStyle w:val="ListParagraph"/>
        <w:numPr>
          <w:ilvl w:val="0"/>
          <w:numId w:val="126"/>
        </w:numPr>
        <w:spacing w:after="60"/>
        <w:rPr>
          <w:rFonts w:ascii="Tahoma" w:hAnsi="Tahoma" w:cs="Tahoma"/>
          <w:sz w:val="18"/>
          <w:szCs w:val="18"/>
        </w:rPr>
      </w:pPr>
      <w:r w:rsidRPr="00BD7DCA">
        <w:rPr>
          <w:rFonts w:ascii="Tahoma" w:hAnsi="Tahoma" w:cs="Tahoma"/>
          <w:sz w:val="18"/>
          <w:szCs w:val="18"/>
        </w:rPr>
        <w:t>Clientes com uma versão anterior à versão 2010 do MBSA devem assinar os Termos e Condições Complementares de Serviços Online.</w:t>
      </w:r>
    </w:p>
    <w:p w:rsidR="000A0D35" w:rsidRPr="004B208C" w:rsidRDefault="000A0D35" w:rsidP="000A0D35">
      <w:pPr>
        <w:pStyle w:val="ListParagraph"/>
        <w:tabs>
          <w:tab w:val="left" w:pos="1440"/>
        </w:tabs>
        <w:spacing w:after="60"/>
        <w:ind w:left="1800"/>
        <w:rPr>
          <w:rFonts w:ascii="Tahoma" w:hAnsi="Tahoma" w:cs="Tahoma"/>
        </w:rPr>
      </w:pPr>
    </w:p>
    <w:p w:rsidR="000A0D35" w:rsidRPr="004B208C" w:rsidRDefault="000A0D35" w:rsidP="000A0D35">
      <w:pPr>
        <w:keepNext/>
        <w:spacing w:after="60"/>
        <w:ind w:left="720"/>
        <w:rPr>
          <w:rFonts w:cs="Tahoma"/>
        </w:rPr>
      </w:pPr>
      <w:r w:rsidRPr="004B208C">
        <w:rPr>
          <w:rFonts w:eastAsia="Calibri" w:cs="Tahoma"/>
          <w:b/>
          <w:color w:val="000000"/>
          <w:szCs w:val="18"/>
        </w:rPr>
        <w:lastRenderedPageBreak/>
        <w:t>Restrições de Compra</w:t>
      </w:r>
    </w:p>
    <w:p w:rsidR="000A0D35" w:rsidRPr="004B208C" w:rsidRDefault="000A0D35" w:rsidP="00FC515F">
      <w:pPr>
        <w:spacing w:after="40"/>
        <w:ind w:left="720"/>
        <w:rPr>
          <w:rFonts w:cs="Tahoma"/>
        </w:rPr>
      </w:pPr>
      <w:r w:rsidRPr="004B208C">
        <w:rPr>
          <w:rFonts w:cs="Tahoma"/>
          <w:szCs w:val="24"/>
        </w:rPr>
        <w:t>Apenas uma SL de Usuário Complementar pode ser adquirida para cada Licença Qualificada (ou conjunto de</w:t>
      </w:r>
      <w:r w:rsidR="00BD7DCA">
        <w:rPr>
          <w:rFonts w:cs="Tahoma"/>
          <w:szCs w:val="24"/>
        </w:rPr>
        <w:t> </w:t>
      </w:r>
      <w:r w:rsidRPr="004B208C">
        <w:rPr>
          <w:rFonts w:cs="Tahoma"/>
          <w:szCs w:val="24"/>
        </w:rPr>
        <w:t>Licenças Qualificadas).</w:t>
      </w:r>
    </w:p>
    <w:p w:rsidR="00343766" w:rsidRPr="00FC515F" w:rsidRDefault="00343766" w:rsidP="000A0D35">
      <w:pPr>
        <w:spacing w:after="60"/>
        <w:ind w:left="720"/>
        <w:rPr>
          <w:rFonts w:cs="Tahoma"/>
          <w:sz w:val="16"/>
          <w:szCs w:val="16"/>
        </w:rPr>
      </w:pPr>
    </w:p>
    <w:p w:rsidR="00343766" w:rsidRPr="004B208C" w:rsidRDefault="00343766" w:rsidP="0085774C">
      <w:pPr>
        <w:ind w:left="720"/>
        <w:rPr>
          <w:rFonts w:cs="Tahoma"/>
        </w:rPr>
      </w:pPr>
      <w:r w:rsidRPr="004B208C">
        <w:rPr>
          <w:rFonts w:cs="Tahoma"/>
        </w:rPr>
        <w:t>Os clientes podem adquirir SLs de Usuário Complementares para usuários ou usuários de dispositivos adicionados a uma contagem de dispositivos ou usuário do Registro Enterprise entre datas de adequação (</w:t>
      </w:r>
      <w:r w:rsidR="00172F11">
        <w:rPr>
          <w:rFonts w:cs="Tahoma"/>
        </w:rPr>
        <w:t>“</w:t>
      </w:r>
      <w:r w:rsidRPr="004B208C">
        <w:rPr>
          <w:rFonts w:cs="Tahoma"/>
        </w:rPr>
        <w:t>true-up</w:t>
      </w:r>
      <w:r w:rsidR="00172F11">
        <w:rPr>
          <w:rFonts w:cs="Tahoma"/>
        </w:rPr>
        <w:t>”</w:t>
      </w:r>
      <w:r w:rsidRPr="004B208C">
        <w:rPr>
          <w:rFonts w:cs="Tahoma"/>
        </w:rPr>
        <w:t>) (ou seja, antes da aquisição das licenças de qualificação), sujeito à mesma limitação de uma SL</w:t>
      </w:r>
      <w:r w:rsidR="00BD7DCA">
        <w:rPr>
          <w:rFonts w:cs="Tahoma"/>
        </w:rPr>
        <w:t> </w:t>
      </w:r>
      <w:r w:rsidRPr="004B208C">
        <w:rPr>
          <w:rFonts w:cs="Tahoma"/>
        </w:rPr>
        <w:t>de Usuário Complementar por licença de qualificação (ou conjunto de Licenças de Qualificação).</w:t>
      </w:r>
    </w:p>
    <w:p w:rsidR="000A0D35" w:rsidRPr="00FC515F" w:rsidRDefault="000A0D35" w:rsidP="000A0D35">
      <w:pPr>
        <w:spacing w:after="60"/>
        <w:ind w:left="720"/>
        <w:rPr>
          <w:rFonts w:cs="Tahoma"/>
          <w:sz w:val="16"/>
          <w:szCs w:val="16"/>
        </w:rPr>
      </w:pPr>
    </w:p>
    <w:p w:rsidR="000A0D35" w:rsidRPr="004B208C" w:rsidRDefault="000A0D35" w:rsidP="000A0D35">
      <w:pPr>
        <w:keepNext/>
        <w:spacing w:after="60"/>
        <w:ind w:left="720"/>
        <w:rPr>
          <w:rFonts w:cs="Tahoma"/>
        </w:rPr>
      </w:pPr>
      <w:r w:rsidRPr="004B208C">
        <w:rPr>
          <w:rFonts w:eastAsia="Calibri" w:cs="Tahoma"/>
          <w:b/>
          <w:color w:val="000000"/>
          <w:szCs w:val="18"/>
        </w:rPr>
        <w:t>Cessão da Licença</w:t>
      </w:r>
    </w:p>
    <w:p w:rsidR="000A0D35" w:rsidRPr="004B208C" w:rsidRDefault="000A0D35" w:rsidP="00D824E9">
      <w:pPr>
        <w:ind w:left="720"/>
        <w:rPr>
          <w:rFonts w:cs="Tahoma"/>
        </w:rPr>
      </w:pPr>
      <w:r w:rsidRPr="004B208C">
        <w:rPr>
          <w:rFonts w:cs="Tahoma"/>
          <w:szCs w:val="24"/>
        </w:rPr>
        <w:t xml:space="preserve">Cada SL de Usuário Complementar deve ser atribuída a um único Usuário Qualificado (conforme definido no Registro Enterprise do Cliente). SLs de Usuário Complementares podem ser reatribuídas a outros Usuários Qualificados de acordo com os Termos da Licença Universal (PUR) dos Direitos de Uso de Produto de Licenciamento por Volume da Microsoft que regem a reatribuição de licenças de SLs de usuário. </w:t>
      </w:r>
    </w:p>
    <w:p w:rsidR="000A0D35" w:rsidRPr="00FC515F" w:rsidRDefault="000A0D35" w:rsidP="000A0D35">
      <w:pPr>
        <w:spacing w:after="60"/>
        <w:ind w:left="720"/>
        <w:rPr>
          <w:rFonts w:cs="Tahoma"/>
          <w:sz w:val="16"/>
          <w:szCs w:val="16"/>
        </w:rPr>
      </w:pPr>
    </w:p>
    <w:p w:rsidR="000A0D35" w:rsidRPr="004B208C" w:rsidRDefault="000A0D35" w:rsidP="000A0D35">
      <w:pPr>
        <w:keepNext/>
        <w:spacing w:after="60"/>
        <w:ind w:left="720"/>
        <w:rPr>
          <w:rFonts w:cs="Tahoma"/>
        </w:rPr>
      </w:pPr>
      <w:r w:rsidRPr="004B208C">
        <w:rPr>
          <w:rFonts w:eastAsia="Calibri" w:cs="Tahoma"/>
          <w:b/>
          <w:color w:val="000000"/>
          <w:szCs w:val="18"/>
        </w:rPr>
        <w:t>Direitos de Uso</w:t>
      </w:r>
    </w:p>
    <w:p w:rsidR="000A0D35" w:rsidRPr="004B208C" w:rsidRDefault="000A0D35" w:rsidP="00D824E9">
      <w:pPr>
        <w:ind w:left="720"/>
        <w:rPr>
          <w:rFonts w:cs="Tahoma"/>
        </w:rPr>
      </w:pPr>
      <w:r w:rsidRPr="004B208C">
        <w:rPr>
          <w:rFonts w:eastAsia="Calibri" w:cs="Tahoma"/>
          <w:color w:val="000000"/>
          <w:szCs w:val="18"/>
        </w:rPr>
        <w:t>Cada SL de Usuário Complementar fornece direitos de uso equivalentes à SL de Usuário de Serviço Online Correspondente. Os</w:t>
      </w:r>
      <w:r w:rsidRPr="004B208C">
        <w:rPr>
          <w:rFonts w:cs="Tahoma"/>
          <w:szCs w:val="24"/>
        </w:rPr>
        <w:t xml:space="preserve"> direitos de uso para cada SL de Usuário de Serviço Online Correspondente são definidos no PUR. Os direitos de uso adquiridos pela compra dessas SLs de Usuário Complementares expiram com no</w:t>
      </w:r>
      <w:r w:rsidR="00BD7DCA">
        <w:rPr>
          <w:rFonts w:cs="Tahoma"/>
          <w:szCs w:val="24"/>
        </w:rPr>
        <w:t> </w:t>
      </w:r>
      <w:r w:rsidRPr="004B208C">
        <w:rPr>
          <w:rFonts w:cs="Tahoma"/>
          <w:szCs w:val="24"/>
        </w:rPr>
        <w:t xml:space="preserve">término da cobertura de Software Assurance para as Licenças Qualificadas ou no final do prazo de assinatura da SL de Usuário Complementar, o que ocorrer primeiro. A compra dessas SLs de Usuário Complementar não causa impacto nos direitos de uso das Licenças Qualificadas. </w:t>
      </w:r>
    </w:p>
    <w:p w:rsidR="000A0D35" w:rsidRPr="00FC515F" w:rsidRDefault="000A0D35" w:rsidP="000A0D35">
      <w:pPr>
        <w:spacing w:after="60"/>
        <w:ind w:left="720"/>
        <w:rPr>
          <w:rFonts w:cs="Tahoma"/>
          <w:sz w:val="16"/>
          <w:szCs w:val="16"/>
        </w:rPr>
      </w:pPr>
    </w:p>
    <w:p w:rsidR="000A0D35" w:rsidRPr="004B208C" w:rsidRDefault="000A0D35" w:rsidP="000A0D35">
      <w:pPr>
        <w:keepNext/>
        <w:spacing w:after="60"/>
        <w:ind w:left="720"/>
        <w:rPr>
          <w:rFonts w:cs="Tahoma"/>
        </w:rPr>
      </w:pPr>
      <w:r w:rsidRPr="004B208C">
        <w:rPr>
          <w:rFonts w:eastAsia="Calibri" w:cs="Tahoma"/>
          <w:b/>
          <w:color w:val="000000"/>
          <w:szCs w:val="18"/>
        </w:rPr>
        <w:t>Adequações (“true-ups”)</w:t>
      </w:r>
    </w:p>
    <w:p w:rsidR="000A0D35" w:rsidRPr="004B208C" w:rsidRDefault="000A0D35" w:rsidP="00FC515F">
      <w:pPr>
        <w:spacing w:after="40"/>
        <w:ind w:left="720"/>
        <w:rPr>
          <w:rFonts w:cs="Tahoma"/>
        </w:rPr>
      </w:pPr>
      <w:r w:rsidRPr="004B208C">
        <w:rPr>
          <w:rFonts w:eastAsia="Calibri" w:cs="Tahoma"/>
          <w:color w:val="000000"/>
          <w:szCs w:val="18"/>
        </w:rPr>
        <w:t>SLs de Usuário Complementares não são Produtos Empresariais nem Serviços Online Empresariais. Eles não</w:t>
      </w:r>
      <w:r w:rsidR="00BD7DCA">
        <w:rPr>
          <w:rFonts w:eastAsia="Calibri" w:cs="Tahoma"/>
          <w:color w:val="000000"/>
          <w:szCs w:val="18"/>
        </w:rPr>
        <w:t> </w:t>
      </w:r>
      <w:r w:rsidRPr="004B208C">
        <w:rPr>
          <w:rFonts w:eastAsia="Calibri" w:cs="Tahoma"/>
          <w:color w:val="000000"/>
          <w:szCs w:val="18"/>
        </w:rPr>
        <w:t>podem ser usados para atender aos requisitos contidos no Registro Enterprise para toda a Empresa. Por</w:t>
      </w:r>
      <w:r w:rsidR="00BD7DCA">
        <w:rPr>
          <w:rFonts w:eastAsia="Calibri" w:cs="Tahoma"/>
          <w:color w:val="000000"/>
          <w:szCs w:val="18"/>
        </w:rPr>
        <w:t> </w:t>
      </w:r>
      <w:r w:rsidRPr="004B208C">
        <w:rPr>
          <w:rFonts w:eastAsia="Calibri" w:cs="Tahoma"/>
          <w:color w:val="000000"/>
          <w:szCs w:val="18"/>
        </w:rPr>
        <w:t>exemplo, se um cliente selecionar Office Professional Plus como um Produto Empresarial em seu Registro Enterprise e usar uma SL de Usuário Complementar para instalar o Office 365 Pro Plus em um Dispositivo Qualificado sem Office Professional Plus, eles ainda deverão enviar um Pedido de adequação (</w:t>
      </w:r>
      <w:r w:rsidR="00172F11">
        <w:rPr>
          <w:rFonts w:eastAsia="Calibri" w:cs="Tahoma"/>
          <w:color w:val="000000"/>
          <w:szCs w:val="18"/>
        </w:rPr>
        <w:t>“</w:t>
      </w:r>
      <w:r w:rsidRPr="004B208C">
        <w:rPr>
          <w:rFonts w:eastAsia="Calibri" w:cs="Tahoma"/>
          <w:color w:val="000000"/>
          <w:szCs w:val="18"/>
        </w:rPr>
        <w:t>true-up</w:t>
      </w:r>
      <w:r w:rsidR="00172F11">
        <w:rPr>
          <w:rFonts w:eastAsia="Calibri" w:cs="Tahoma"/>
          <w:color w:val="000000"/>
          <w:szCs w:val="18"/>
        </w:rPr>
        <w:t>”</w:t>
      </w:r>
      <w:r w:rsidRPr="004B208C">
        <w:rPr>
          <w:rFonts w:eastAsia="Calibri" w:cs="Tahoma"/>
          <w:color w:val="000000"/>
          <w:szCs w:val="18"/>
        </w:rPr>
        <w:t>) para Office Professional Plus no Dispositivo Qualificado—junto com qualquer outro Produto Empresarial exigido para aquele Dispositivo Qualificado.</w:t>
      </w:r>
    </w:p>
    <w:p w:rsidR="00FB1E38" w:rsidRPr="00FC515F" w:rsidRDefault="00FB1E38" w:rsidP="00FB1E38">
      <w:pPr>
        <w:spacing w:after="60"/>
        <w:ind w:left="720"/>
        <w:rPr>
          <w:rFonts w:cs="Tahoma"/>
          <w:sz w:val="16"/>
          <w:szCs w:val="16"/>
        </w:rPr>
      </w:pPr>
    </w:p>
    <w:p w:rsidR="00FB1E38" w:rsidRPr="004B208C" w:rsidRDefault="00FB1E38" w:rsidP="00FB1E38">
      <w:pPr>
        <w:spacing w:after="60"/>
        <w:ind w:left="720"/>
        <w:rPr>
          <w:rFonts w:cs="Tahoma"/>
        </w:rPr>
      </w:pPr>
      <w:r w:rsidRPr="004B208C">
        <w:rPr>
          <w:rFonts w:eastAsia="Calibri" w:cs="Tahoma"/>
          <w:b/>
          <w:color w:val="000000"/>
          <w:szCs w:val="18"/>
        </w:rPr>
        <w:t>Termos do Programa de Licenciamento por Volume</w:t>
      </w:r>
    </w:p>
    <w:p w:rsidR="00FB1E38" w:rsidRPr="004B208C" w:rsidRDefault="00343766" w:rsidP="00FC515F">
      <w:pPr>
        <w:spacing w:after="40"/>
        <w:ind w:left="720"/>
        <w:rPr>
          <w:rFonts w:cs="Tahoma"/>
        </w:rPr>
      </w:pPr>
      <w:r w:rsidRPr="004B208C">
        <w:rPr>
          <w:rFonts w:eastAsia="Calibri" w:cs="Tahoma"/>
          <w:color w:val="000000"/>
          <w:szCs w:val="18"/>
        </w:rPr>
        <w:t xml:space="preserve">Com exceção dos direitos de Transição, os Termos dos Programas aplicáveis à SL de Serviço Online Correspondente também se aplicam a SLs de Usuário Complementares. </w:t>
      </w:r>
    </w:p>
    <w:p w:rsidR="00FB1E38" w:rsidRPr="00FC515F" w:rsidRDefault="00FB1E38" w:rsidP="00FB1E38">
      <w:pPr>
        <w:spacing w:after="60"/>
        <w:ind w:left="720"/>
        <w:rPr>
          <w:rFonts w:cs="Tahoma"/>
          <w:sz w:val="16"/>
          <w:szCs w:val="16"/>
        </w:rPr>
      </w:pPr>
    </w:p>
    <w:p w:rsidR="00FB1E38" w:rsidRPr="004B208C" w:rsidRDefault="00FB1E38" w:rsidP="00FB1E38">
      <w:pPr>
        <w:spacing w:after="60"/>
        <w:ind w:left="720"/>
        <w:rPr>
          <w:rFonts w:cs="Tahoma"/>
        </w:rPr>
      </w:pPr>
      <w:r w:rsidRPr="004B208C">
        <w:rPr>
          <w:rFonts w:eastAsia="Calibri" w:cs="Tahoma"/>
          <w:b/>
          <w:color w:val="000000"/>
          <w:szCs w:val="18"/>
        </w:rPr>
        <w:t>Termos de pagamento e preços de Serviços Online</w:t>
      </w:r>
    </w:p>
    <w:p w:rsidR="00FB1E38" w:rsidRPr="004B208C" w:rsidRDefault="00FB1E38" w:rsidP="00FC515F">
      <w:pPr>
        <w:spacing w:after="40"/>
        <w:ind w:left="720"/>
        <w:rPr>
          <w:rFonts w:cs="Tahoma"/>
        </w:rPr>
      </w:pPr>
      <w:r w:rsidRPr="004B208C">
        <w:rPr>
          <w:rFonts w:eastAsia="Calibri" w:cs="Tahoma"/>
          <w:color w:val="000000"/>
          <w:szCs w:val="18"/>
        </w:rPr>
        <w:t xml:space="preserve">Os Termos de Pagamento e Preços de Serviços Online aplicáveis à SL de Usuário de Serviço Online Correspondente também se aplicam a SLs de Usuário Complementares. </w:t>
      </w:r>
    </w:p>
    <w:p w:rsidR="00996781" w:rsidRDefault="00996781" w:rsidP="00B26237">
      <w:pPr>
        <w:pStyle w:val="Heading2"/>
        <w:ind w:left="0"/>
        <w:rPr>
          <w:rFonts w:ascii="Tahoma" w:hAnsi="Tahoma" w:cs="Tahoma"/>
          <w:b w:val="0"/>
          <w:sz w:val="18"/>
          <w:szCs w:val="18"/>
        </w:rPr>
      </w:pPr>
    </w:p>
    <w:p w:rsidR="009078BB" w:rsidRDefault="009078BB" w:rsidP="009078BB"/>
    <w:p w:rsidR="00B26237" w:rsidRPr="004B208C" w:rsidRDefault="00A560B6" w:rsidP="00B26237">
      <w:pPr>
        <w:pStyle w:val="Heading2"/>
        <w:ind w:left="0"/>
        <w:rPr>
          <w:rFonts w:ascii="Tahoma" w:hAnsi="Tahoma" w:cs="Tahoma"/>
        </w:rPr>
      </w:pPr>
      <w:bookmarkStart w:id="975" w:name="_7_Office_365_1"/>
      <w:bookmarkStart w:id="976" w:name="_8_Office_365"/>
      <w:bookmarkStart w:id="977" w:name="_Toc370981380"/>
      <w:bookmarkEnd w:id="975"/>
      <w:bookmarkEnd w:id="976"/>
      <w:r w:rsidRPr="004B208C">
        <w:rPr>
          <w:rFonts w:ascii="Tahoma" w:hAnsi="Tahoma" w:cs="Tahoma"/>
          <w:caps/>
          <w:color w:val="FF6600"/>
          <w:sz w:val="22"/>
          <w:szCs w:val="22"/>
          <w:vertAlign w:val="superscript"/>
        </w:rPr>
        <w:t xml:space="preserve">8 </w:t>
      </w:r>
      <w:r w:rsidRPr="004B208C">
        <w:rPr>
          <w:rFonts w:ascii="Tahoma" w:hAnsi="Tahoma" w:cs="Tahoma"/>
          <w:color w:val="FF6600"/>
          <w:sz w:val="22"/>
          <w:szCs w:val="22"/>
        </w:rPr>
        <w:t>Office 365 Enterprise E3-E4</w:t>
      </w:r>
      <w:bookmarkEnd w:id="971"/>
      <w:bookmarkEnd w:id="977"/>
    </w:p>
    <w:p w:rsidR="00B26237" w:rsidRPr="004B208C" w:rsidRDefault="00B26237" w:rsidP="00AE5A9F">
      <w:pPr>
        <w:rPr>
          <w:rFonts w:cs="Tahoma"/>
        </w:rPr>
      </w:pPr>
    </w:p>
    <w:p w:rsidR="00B26237" w:rsidRPr="004B208C" w:rsidRDefault="00B26237" w:rsidP="00B26237">
      <w:pPr>
        <w:ind w:left="720"/>
        <w:rPr>
          <w:rFonts w:cs="Tahoma"/>
        </w:rPr>
      </w:pPr>
      <w:r w:rsidRPr="004B208C">
        <w:rPr>
          <w:rFonts w:cs="Tahoma"/>
          <w:color w:val="000000"/>
        </w:rPr>
        <w:t>O Office 365 Planos E3-E4 permite acesso aos seguintes Serviços Online:</w:t>
      </w:r>
    </w:p>
    <w:p w:rsidR="00B26237" w:rsidRPr="004B208C"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4B208C" w:rsidTr="000C6C07">
        <w:tc>
          <w:tcPr>
            <w:tcW w:w="3977" w:type="dxa"/>
            <w:shd w:val="clear" w:color="auto" w:fill="FABF8F"/>
          </w:tcPr>
          <w:p w:rsidR="000C6C07" w:rsidRPr="004B208C" w:rsidRDefault="000C6C07" w:rsidP="009B3FA2">
            <w:pPr>
              <w:jc w:val="center"/>
              <w:rPr>
                <w:rFonts w:eastAsia="Calibri" w:cs="Tahoma"/>
                <w:b/>
                <w:color w:val="000000"/>
                <w:sz w:val="20"/>
              </w:rPr>
            </w:pPr>
            <w:r w:rsidRPr="004B208C">
              <w:rPr>
                <w:rFonts w:eastAsia="Calibri" w:cs="Tahoma"/>
                <w:b/>
                <w:color w:val="000000"/>
                <w:sz w:val="20"/>
              </w:rPr>
              <w:t>Office 365 Enterprise E3</w:t>
            </w:r>
          </w:p>
        </w:tc>
        <w:tc>
          <w:tcPr>
            <w:tcW w:w="4230" w:type="dxa"/>
            <w:shd w:val="clear" w:color="auto" w:fill="FABF8F"/>
          </w:tcPr>
          <w:p w:rsidR="000C6C07" w:rsidRPr="004B208C" w:rsidRDefault="000C6C07" w:rsidP="009B3FA2">
            <w:pPr>
              <w:jc w:val="center"/>
              <w:rPr>
                <w:rFonts w:eastAsia="Calibri" w:cs="Tahoma"/>
                <w:b/>
                <w:color w:val="000000"/>
                <w:sz w:val="20"/>
              </w:rPr>
            </w:pPr>
            <w:r w:rsidRPr="004B208C">
              <w:rPr>
                <w:rFonts w:eastAsia="Calibri" w:cs="Tahoma"/>
                <w:b/>
                <w:color w:val="000000"/>
                <w:sz w:val="20"/>
              </w:rPr>
              <w:t>Office 365 Enterprise E4</w:t>
            </w:r>
          </w:p>
        </w:tc>
      </w:tr>
      <w:tr w:rsidR="000C6C07" w:rsidRPr="004B208C" w:rsidTr="000C6C07">
        <w:tc>
          <w:tcPr>
            <w:tcW w:w="3977" w:type="dxa"/>
            <w:shd w:val="clear" w:color="auto" w:fill="auto"/>
          </w:tcPr>
          <w:p w:rsidR="000C6C07" w:rsidRPr="004B208C" w:rsidRDefault="000C6C07" w:rsidP="00B42A20">
            <w:pPr>
              <w:ind w:left="138" w:right="138"/>
              <w:rPr>
                <w:rFonts w:eastAsia="Calibri" w:cs="Tahoma"/>
                <w:color w:val="000000"/>
              </w:rPr>
            </w:pPr>
            <w:r w:rsidRPr="004B208C">
              <w:rPr>
                <w:rFonts w:eastAsia="Calibri" w:cs="Tahoma"/>
                <w:color w:val="000000"/>
              </w:rPr>
              <w:t>Exchange Online Plano 2</w:t>
            </w:r>
          </w:p>
        </w:tc>
        <w:tc>
          <w:tcPr>
            <w:tcW w:w="4230" w:type="dxa"/>
            <w:shd w:val="clear" w:color="auto" w:fill="auto"/>
          </w:tcPr>
          <w:p w:rsidR="000C6C07" w:rsidRPr="004B208C" w:rsidRDefault="000C6C07" w:rsidP="00B42A20">
            <w:pPr>
              <w:ind w:left="186" w:right="180"/>
              <w:rPr>
                <w:rFonts w:eastAsia="Calibri" w:cs="Tahoma"/>
                <w:color w:val="000000"/>
              </w:rPr>
            </w:pPr>
            <w:r w:rsidRPr="004B208C">
              <w:rPr>
                <w:rFonts w:eastAsia="Calibri" w:cs="Tahoma"/>
                <w:color w:val="000000"/>
              </w:rPr>
              <w:t>Exchange Online Plano 2</w:t>
            </w:r>
          </w:p>
        </w:tc>
      </w:tr>
      <w:tr w:rsidR="000C6C07" w:rsidRPr="004B208C" w:rsidTr="000C6C07">
        <w:tc>
          <w:tcPr>
            <w:tcW w:w="3977" w:type="dxa"/>
            <w:shd w:val="clear" w:color="auto" w:fill="auto"/>
          </w:tcPr>
          <w:p w:rsidR="000C6C07" w:rsidRPr="004B208C" w:rsidRDefault="000C6C07" w:rsidP="00B42A20">
            <w:pPr>
              <w:ind w:left="138" w:right="138"/>
              <w:rPr>
                <w:rFonts w:eastAsia="Calibri" w:cs="Tahoma"/>
                <w:color w:val="000000"/>
              </w:rPr>
            </w:pPr>
            <w:r w:rsidRPr="004B208C">
              <w:rPr>
                <w:rFonts w:eastAsia="Calibri" w:cs="Tahoma"/>
                <w:color w:val="000000"/>
              </w:rPr>
              <w:t>SharePoint Online Plano 2</w:t>
            </w:r>
          </w:p>
        </w:tc>
        <w:tc>
          <w:tcPr>
            <w:tcW w:w="4230" w:type="dxa"/>
            <w:shd w:val="clear" w:color="auto" w:fill="auto"/>
          </w:tcPr>
          <w:p w:rsidR="000C6C07" w:rsidRPr="004B208C" w:rsidRDefault="000C6C07" w:rsidP="00B42A20">
            <w:pPr>
              <w:ind w:left="186" w:right="180"/>
              <w:rPr>
                <w:rFonts w:eastAsia="Calibri" w:cs="Tahoma"/>
                <w:color w:val="000000"/>
              </w:rPr>
            </w:pPr>
            <w:r w:rsidRPr="004B208C">
              <w:rPr>
                <w:rFonts w:eastAsia="Calibri" w:cs="Tahoma"/>
                <w:color w:val="000000"/>
              </w:rPr>
              <w:t>SharePoint Online Plano 2</w:t>
            </w:r>
          </w:p>
        </w:tc>
      </w:tr>
      <w:tr w:rsidR="000C6C07" w:rsidRPr="004B208C" w:rsidTr="000C6C07">
        <w:tc>
          <w:tcPr>
            <w:tcW w:w="3977" w:type="dxa"/>
            <w:shd w:val="clear" w:color="auto" w:fill="auto"/>
          </w:tcPr>
          <w:p w:rsidR="000C6C07" w:rsidRPr="004B208C" w:rsidRDefault="000C6C07" w:rsidP="00B42A20">
            <w:pPr>
              <w:ind w:left="138" w:right="138"/>
              <w:rPr>
                <w:rFonts w:eastAsia="Calibri" w:cs="Tahoma"/>
                <w:color w:val="000000"/>
              </w:rPr>
            </w:pPr>
            <w:r w:rsidRPr="004B208C">
              <w:rPr>
                <w:rFonts w:eastAsia="Calibri" w:cs="Tahoma"/>
                <w:color w:val="000000"/>
              </w:rPr>
              <w:t>Lync Online Plano 2</w:t>
            </w:r>
          </w:p>
        </w:tc>
        <w:tc>
          <w:tcPr>
            <w:tcW w:w="4230" w:type="dxa"/>
            <w:shd w:val="clear" w:color="auto" w:fill="auto"/>
          </w:tcPr>
          <w:p w:rsidR="000C6C07" w:rsidRPr="004B208C" w:rsidRDefault="007F6051" w:rsidP="00B42A20">
            <w:pPr>
              <w:ind w:left="186" w:right="180"/>
              <w:rPr>
                <w:rFonts w:eastAsia="Calibri" w:cs="Tahoma"/>
                <w:color w:val="000000"/>
              </w:rPr>
            </w:pPr>
            <w:r>
              <w:rPr>
                <w:rFonts w:eastAsia="Calibri" w:cs="Tahoma"/>
                <w:color w:val="000000"/>
              </w:rPr>
              <w:t>Lync Online Plano 3</w:t>
            </w:r>
          </w:p>
        </w:tc>
      </w:tr>
      <w:tr w:rsidR="000C6C07" w:rsidRPr="004B208C" w:rsidTr="000C6C07">
        <w:tc>
          <w:tcPr>
            <w:tcW w:w="3977" w:type="dxa"/>
            <w:shd w:val="clear" w:color="auto" w:fill="auto"/>
          </w:tcPr>
          <w:p w:rsidR="000C6C07" w:rsidRPr="004B208C" w:rsidRDefault="000C6C07" w:rsidP="00B42A20">
            <w:pPr>
              <w:ind w:left="138" w:right="138"/>
              <w:rPr>
                <w:rFonts w:eastAsia="Calibri" w:cs="Tahoma"/>
                <w:color w:val="000000"/>
              </w:rPr>
            </w:pPr>
            <w:r w:rsidRPr="004B208C">
              <w:rPr>
                <w:rFonts w:eastAsia="Calibri" w:cs="Tahoma"/>
                <w:color w:val="000000"/>
              </w:rPr>
              <w:t>Aplicativos da Web do Office (Hospedados pela Microsoft)</w:t>
            </w:r>
          </w:p>
        </w:tc>
        <w:tc>
          <w:tcPr>
            <w:tcW w:w="4230" w:type="dxa"/>
            <w:shd w:val="clear" w:color="auto" w:fill="auto"/>
          </w:tcPr>
          <w:p w:rsidR="000C6C07" w:rsidRPr="004B208C" w:rsidRDefault="000C6C07" w:rsidP="00B42A20">
            <w:pPr>
              <w:ind w:left="186" w:right="180"/>
              <w:rPr>
                <w:rFonts w:eastAsia="Calibri" w:cs="Tahoma"/>
                <w:color w:val="000000"/>
              </w:rPr>
            </w:pPr>
            <w:r w:rsidRPr="004B208C">
              <w:rPr>
                <w:rFonts w:eastAsia="Calibri" w:cs="Tahoma"/>
                <w:color w:val="000000"/>
              </w:rPr>
              <w:t>Aplicativos da Web do Office (Hospedados pela Microsoft)</w:t>
            </w:r>
          </w:p>
        </w:tc>
      </w:tr>
      <w:tr w:rsidR="000C6C07" w:rsidRPr="004B208C" w:rsidTr="000C6C07">
        <w:tc>
          <w:tcPr>
            <w:tcW w:w="3977" w:type="dxa"/>
            <w:shd w:val="clear" w:color="auto" w:fill="auto"/>
          </w:tcPr>
          <w:p w:rsidR="000C6C07" w:rsidRPr="004B208C" w:rsidRDefault="000C6C07" w:rsidP="00B42A20">
            <w:pPr>
              <w:ind w:left="138" w:right="138"/>
              <w:rPr>
                <w:rFonts w:eastAsia="Calibri" w:cs="Tahoma"/>
                <w:color w:val="000000"/>
              </w:rPr>
            </w:pPr>
            <w:r w:rsidRPr="004B208C">
              <w:rPr>
                <w:rFonts w:eastAsia="Calibri" w:cs="Tahoma"/>
                <w:color w:val="000000"/>
              </w:rPr>
              <w:t>Office 365 ProPlus</w:t>
            </w:r>
          </w:p>
        </w:tc>
        <w:tc>
          <w:tcPr>
            <w:tcW w:w="4230" w:type="dxa"/>
            <w:shd w:val="clear" w:color="auto" w:fill="auto"/>
          </w:tcPr>
          <w:p w:rsidR="000C6C07" w:rsidRPr="004B208C" w:rsidRDefault="000C6C07" w:rsidP="008368B4">
            <w:pPr>
              <w:ind w:left="186" w:right="180"/>
              <w:rPr>
                <w:rFonts w:eastAsia="Calibri" w:cs="Tahoma"/>
                <w:color w:val="000000"/>
              </w:rPr>
            </w:pPr>
            <w:r w:rsidRPr="004B208C">
              <w:rPr>
                <w:rFonts w:eastAsia="Calibri" w:cs="Tahoma"/>
                <w:color w:val="000000"/>
              </w:rPr>
              <w:t>Office 365 ProPlus</w:t>
            </w:r>
          </w:p>
        </w:tc>
      </w:tr>
      <w:tr w:rsidR="000C6C07" w:rsidRPr="004B208C" w:rsidTr="000C6C07">
        <w:tc>
          <w:tcPr>
            <w:tcW w:w="3977" w:type="dxa"/>
            <w:shd w:val="clear" w:color="auto" w:fill="auto"/>
          </w:tcPr>
          <w:p w:rsidR="000C6C07" w:rsidRPr="004B208C" w:rsidRDefault="000C6C07" w:rsidP="00FC515F">
            <w:pPr>
              <w:keepNext/>
              <w:ind w:left="138" w:right="138"/>
              <w:rPr>
                <w:rFonts w:eastAsia="Calibri" w:cs="Tahoma"/>
                <w:color w:val="000000"/>
              </w:rPr>
            </w:pPr>
            <w:r w:rsidRPr="004B208C">
              <w:rPr>
                <w:rFonts w:eastAsia="Calibri" w:cs="Tahoma"/>
                <w:color w:val="000000"/>
              </w:rPr>
              <w:lastRenderedPageBreak/>
              <w:t>Gerenciamento de Direitos do Active Directory do Windows Azure</w:t>
            </w:r>
          </w:p>
        </w:tc>
        <w:tc>
          <w:tcPr>
            <w:tcW w:w="4230" w:type="dxa"/>
            <w:shd w:val="clear" w:color="auto" w:fill="auto"/>
          </w:tcPr>
          <w:p w:rsidR="000C6C07" w:rsidRPr="004B208C" w:rsidRDefault="000C6C07" w:rsidP="00FC515F">
            <w:pPr>
              <w:keepNext/>
              <w:ind w:left="186" w:right="180"/>
              <w:rPr>
                <w:rFonts w:eastAsia="Calibri" w:cs="Tahoma"/>
                <w:color w:val="000000"/>
              </w:rPr>
            </w:pPr>
            <w:r w:rsidRPr="004B208C">
              <w:rPr>
                <w:rFonts w:eastAsia="Calibri" w:cs="Tahoma"/>
                <w:color w:val="000000"/>
              </w:rPr>
              <w:t>Gerenciamento de Direitos do Active Directory do Windows Azure</w:t>
            </w:r>
          </w:p>
        </w:tc>
      </w:tr>
      <w:tr w:rsidR="000C6C07" w:rsidRPr="004B208C" w:rsidTr="000C6C07">
        <w:tc>
          <w:tcPr>
            <w:tcW w:w="3977" w:type="dxa"/>
            <w:shd w:val="clear" w:color="auto" w:fill="auto"/>
          </w:tcPr>
          <w:p w:rsidR="000C6C07" w:rsidRPr="004B208C" w:rsidRDefault="000C6C07" w:rsidP="00FC515F">
            <w:pPr>
              <w:keepNext/>
              <w:ind w:left="138" w:right="138"/>
              <w:rPr>
                <w:rFonts w:eastAsia="Calibri" w:cs="Tahoma"/>
                <w:color w:val="000000"/>
              </w:rPr>
            </w:pPr>
            <w:r w:rsidRPr="004B208C">
              <w:rPr>
                <w:rFonts w:eastAsia="Calibri" w:cs="Tahoma"/>
                <w:color w:val="000000"/>
              </w:rPr>
              <w:t>Yammer Enterprise</w:t>
            </w:r>
          </w:p>
        </w:tc>
        <w:tc>
          <w:tcPr>
            <w:tcW w:w="4230" w:type="dxa"/>
            <w:shd w:val="clear" w:color="auto" w:fill="auto"/>
          </w:tcPr>
          <w:p w:rsidR="000C6C07" w:rsidRPr="004B208C" w:rsidRDefault="000C6C07" w:rsidP="00FC515F">
            <w:pPr>
              <w:keepNext/>
              <w:ind w:left="186" w:right="180"/>
              <w:rPr>
                <w:rFonts w:eastAsia="Calibri" w:cs="Tahoma"/>
                <w:color w:val="000000"/>
              </w:rPr>
            </w:pPr>
            <w:r w:rsidRPr="004B208C">
              <w:rPr>
                <w:rFonts w:eastAsia="Calibri" w:cs="Tahoma"/>
                <w:color w:val="000000"/>
              </w:rPr>
              <w:t>Yammer Enterprise</w:t>
            </w:r>
          </w:p>
        </w:tc>
      </w:tr>
    </w:tbl>
    <w:p w:rsidR="00B26237" w:rsidRPr="004B208C" w:rsidRDefault="00B26237" w:rsidP="00FC515F">
      <w:pPr>
        <w:ind w:left="720"/>
        <w:rPr>
          <w:rFonts w:cs="Tahoma"/>
        </w:rPr>
      </w:pPr>
      <w:r w:rsidRPr="004B208C">
        <w:rPr>
          <w:rFonts w:cs="Tahoma"/>
          <w:color w:val="000000"/>
        </w:rPr>
        <w:br/>
      </w:r>
      <w:r w:rsidRPr="004B208C">
        <w:rPr>
          <w:rFonts w:cs="Tahoma"/>
          <w:color w:val="000000"/>
          <w:szCs w:val="18"/>
        </w:rPr>
        <w:t>Essa lista está sujeita a alterações.</w:t>
      </w:r>
      <w:r w:rsidR="00172F11">
        <w:rPr>
          <w:rFonts w:cs="Tahoma"/>
          <w:color w:val="000000"/>
          <w:szCs w:val="18"/>
        </w:rPr>
        <w:t xml:space="preserve"> </w:t>
      </w:r>
      <w:r w:rsidRPr="004B208C">
        <w:rPr>
          <w:rFonts w:cs="Tahoma"/>
          <w:color w:val="000000"/>
          <w:szCs w:val="18"/>
        </w:rPr>
        <w:t>Os Direitos de Uso de Produto atuais prevalecerão caso haja conflitos entre os termos da licença do Office 365 Enterprise E3 - E4 e esta observação.</w:t>
      </w:r>
      <w:r w:rsidR="00172F11">
        <w:rPr>
          <w:rFonts w:cs="Tahoma"/>
          <w:color w:val="000000"/>
          <w:szCs w:val="18"/>
        </w:rPr>
        <w:t xml:space="preserve"> </w:t>
      </w:r>
      <w:r w:rsidRPr="004B208C">
        <w:rPr>
          <w:rFonts w:cs="Tahoma"/>
          <w:color w:val="000000"/>
          <w:szCs w:val="18"/>
        </w:rPr>
        <w:t>Os direitos de acesso adicionais, se houver, a softwares locais licenciados separadamente estão especificados nos Direitos de Uso</w:t>
      </w:r>
      <w:r w:rsidR="00FC515F">
        <w:rPr>
          <w:rFonts w:cs="Tahoma"/>
          <w:color w:val="000000"/>
          <w:szCs w:val="18"/>
        </w:rPr>
        <w:t> </w:t>
      </w:r>
      <w:r w:rsidRPr="004B208C">
        <w:rPr>
          <w:rFonts w:cs="Tahoma"/>
          <w:color w:val="000000"/>
          <w:szCs w:val="18"/>
        </w:rPr>
        <w:t>de Produto.</w:t>
      </w:r>
      <w:r w:rsidR="00172F11">
        <w:rPr>
          <w:rFonts w:cs="Tahoma"/>
          <w:color w:val="000000"/>
          <w:szCs w:val="18"/>
        </w:rPr>
        <w:t xml:space="preserve"> </w:t>
      </w:r>
    </w:p>
    <w:p w:rsidR="00B26237" w:rsidRPr="004B208C" w:rsidRDefault="00B26237" w:rsidP="00D16EA8">
      <w:pPr>
        <w:ind w:left="720"/>
        <w:rPr>
          <w:rFonts w:cs="Tahoma"/>
        </w:rPr>
      </w:pPr>
    </w:p>
    <w:p w:rsidR="00DC2291" w:rsidRPr="009078BB" w:rsidRDefault="00B26237" w:rsidP="00D16EA8">
      <w:pPr>
        <w:pStyle w:val="FootnoteBulletLevel1"/>
        <w:tabs>
          <w:tab w:val="clear" w:pos="900"/>
        </w:tabs>
        <w:spacing w:before="0" w:after="0"/>
        <w:ind w:left="720" w:firstLine="0"/>
        <w:rPr>
          <w:rFonts w:ascii="Tahoma" w:hAnsi="Tahoma" w:cs="Tahoma"/>
          <w:sz w:val="18"/>
          <w:szCs w:val="18"/>
        </w:rPr>
      </w:pPr>
      <w:r w:rsidRPr="009078BB">
        <w:rPr>
          <w:rFonts w:ascii="Tahoma" w:hAnsi="Tahoma" w:cs="Tahoma"/>
          <w:color w:val="000000"/>
          <w:sz w:val="18"/>
          <w:szCs w:val="18"/>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9078BB">
        <w:rPr>
          <w:rFonts w:ascii="Tahoma" w:hAnsi="Tahoma" w:cs="Tahoma"/>
          <w:color w:val="000000"/>
          <w:sz w:val="18"/>
          <w:szCs w:val="18"/>
        </w:rPr>
        <w:t> </w:t>
      </w:r>
      <w:r w:rsidRPr="009078BB">
        <w:rPr>
          <w:rFonts w:ascii="Tahoma" w:hAnsi="Tahoma" w:cs="Tahoma"/>
          <w:color w:val="000000"/>
          <w:sz w:val="18"/>
          <w:szCs w:val="18"/>
        </w:rPr>
        <w:t>Lync 2010 (ou Lync para Mac 2011) a nenhum custo com cada licença de assinatura de teste ou paga do Lync Online. O software só poderá ser usado com o Lync Online, e todos os direitos de uso do software se encerrarão ao término da licença de assinatura básica ou da migração para a próxima nova versão principal do Lync Online, o que ocorrer primeiro. Os clientes podem usar o cliente gratuito Lync Basic 2013 para seus usuários finais com base em Windows.</w:t>
      </w:r>
    </w:p>
    <w:p w:rsidR="00B26237" w:rsidRPr="009078BB" w:rsidRDefault="00B26237" w:rsidP="00D16EA8">
      <w:pPr>
        <w:pStyle w:val="FootnoteBulletLevel1"/>
        <w:tabs>
          <w:tab w:val="clear" w:pos="900"/>
          <w:tab w:val="num" w:pos="1080"/>
        </w:tabs>
        <w:spacing w:before="0" w:after="0"/>
        <w:ind w:left="0" w:firstLine="0"/>
        <w:rPr>
          <w:rFonts w:ascii="Tahoma" w:hAnsi="Tahoma" w:cs="Tahoma"/>
          <w:sz w:val="18"/>
          <w:szCs w:val="18"/>
        </w:rPr>
      </w:pPr>
    </w:p>
    <w:p w:rsidR="00D16EA8" w:rsidRPr="009078BB" w:rsidRDefault="00D16EA8" w:rsidP="00D16EA8">
      <w:pPr>
        <w:pStyle w:val="FootnoteBulletLevel1"/>
        <w:tabs>
          <w:tab w:val="clear" w:pos="900"/>
          <w:tab w:val="num" w:pos="1080"/>
        </w:tabs>
        <w:spacing w:before="0" w:after="0"/>
        <w:ind w:left="0" w:firstLine="0"/>
        <w:rPr>
          <w:rFonts w:ascii="Tahoma" w:hAnsi="Tahoma" w:cs="Tahoma"/>
          <w:sz w:val="18"/>
          <w:szCs w:val="18"/>
        </w:rPr>
      </w:pPr>
    </w:p>
    <w:p w:rsidR="00704723" w:rsidRPr="004B208C" w:rsidRDefault="00A560B6" w:rsidP="000429EF">
      <w:pPr>
        <w:pStyle w:val="Heading3"/>
        <w:rPr>
          <w:rFonts w:ascii="Tahoma" w:hAnsi="Tahoma" w:cs="Tahoma"/>
        </w:rPr>
      </w:pPr>
      <w:bookmarkStart w:id="978" w:name="_76_Office_for"/>
      <w:bookmarkStart w:id="979" w:name="_8_Office_for"/>
      <w:bookmarkStart w:id="980" w:name="_Toc336338264"/>
      <w:bookmarkStart w:id="981" w:name="Srv_4OfficeMacStandard2011"/>
      <w:bookmarkStart w:id="982" w:name="_Toc370981381"/>
      <w:bookmarkEnd w:id="950"/>
      <w:bookmarkEnd w:id="978"/>
      <w:bookmarkEnd w:id="979"/>
      <w:r w:rsidRPr="004B208C">
        <w:rPr>
          <w:rFonts w:ascii="Tahoma" w:hAnsi="Tahoma" w:cs="Tahoma"/>
          <w:caps/>
          <w:color w:val="F66400"/>
          <w:sz w:val="22"/>
          <w:vertAlign w:val="superscript"/>
        </w:rPr>
        <w:t xml:space="preserve">9 </w:t>
      </w:r>
      <w:r w:rsidRPr="004B208C">
        <w:rPr>
          <w:rFonts w:ascii="Tahoma" w:hAnsi="Tahoma" w:cs="Tahoma"/>
          <w:color w:val="F66400"/>
          <w:sz w:val="22"/>
        </w:rPr>
        <w:t>Office para Mac Standard 2011</w:t>
      </w:r>
      <w:bookmarkEnd w:id="980"/>
      <w:bookmarkEnd w:id="982"/>
      <w:r w:rsidRPr="004B208C">
        <w:rPr>
          <w:rFonts w:ascii="Tahoma" w:hAnsi="Tahoma" w:cs="Tahoma"/>
          <w:color w:val="F66400"/>
          <w:sz w:val="22"/>
        </w:rPr>
        <w:t xml:space="preserve"> </w:t>
      </w:r>
      <w:bookmarkEnd w:id="981"/>
    </w:p>
    <w:p w:rsidR="00FD5FBA" w:rsidRPr="004B208C" w:rsidRDefault="00FD5FBA" w:rsidP="00AE5A9F">
      <w:pPr>
        <w:rPr>
          <w:rFonts w:cs="Tahoma"/>
        </w:rPr>
      </w:pPr>
    </w:p>
    <w:p w:rsidR="00FD5FBA" w:rsidRPr="004B208C" w:rsidRDefault="00FD5FBA" w:rsidP="00A1385C">
      <w:pPr>
        <w:pStyle w:val="EndnoteText"/>
        <w:numPr>
          <w:ilvl w:val="0"/>
          <w:numId w:val="109"/>
        </w:numPr>
        <w:ind w:left="990"/>
        <w:rPr>
          <w:rFonts w:ascii="Tahoma" w:hAnsi="Tahoma" w:cs="Tahoma"/>
        </w:rPr>
      </w:pPr>
      <w:r w:rsidRPr="004B208C">
        <w:rPr>
          <w:rFonts w:ascii="Tahoma" w:hAnsi="Tahoma" w:cs="Tahoma"/>
          <w:sz w:val="18"/>
          <w:szCs w:val="20"/>
        </w:rPr>
        <w:t xml:space="preserve">Licença WAH (Work at Home) disponível para Clientes Select </w:t>
      </w:r>
      <w:r w:rsidRPr="004B208C">
        <w:rPr>
          <w:rFonts w:ascii="Tahoma" w:hAnsi="Tahoma" w:cs="Tahoma"/>
          <w:sz w:val="18"/>
          <w:szCs w:val="18"/>
        </w:rPr>
        <w:t>e Select Plus</w:t>
      </w:r>
      <w:r w:rsidRPr="004B208C">
        <w:rPr>
          <w:rFonts w:ascii="Tahoma" w:hAnsi="Tahoma" w:cs="Tahoma"/>
          <w:sz w:val="18"/>
          <w:szCs w:val="20"/>
        </w:rPr>
        <w:t xml:space="preserve"> </w:t>
      </w:r>
    </w:p>
    <w:p w:rsidR="00CA6122" w:rsidRPr="004B208C" w:rsidRDefault="00CA6122" w:rsidP="00CA6122">
      <w:pPr>
        <w:adjustRightInd w:val="0"/>
        <w:ind w:left="720"/>
        <w:textAlignment w:val="baseline"/>
        <w:rPr>
          <w:rFonts w:cs="Tahoma"/>
        </w:rPr>
      </w:pPr>
    </w:p>
    <w:p w:rsidR="00864B8A" w:rsidRPr="004B208C" w:rsidRDefault="00704723" w:rsidP="00864B8A">
      <w:pPr>
        <w:spacing w:after="60"/>
        <w:ind w:left="720"/>
        <w:rPr>
          <w:rFonts w:cs="Tahoma"/>
        </w:rPr>
      </w:pPr>
      <w:r w:rsidRPr="004B208C">
        <w:rPr>
          <w:rFonts w:cs="Tahoma"/>
          <w:b/>
          <w:szCs w:val="20"/>
        </w:rPr>
        <w:t>Office para Mac Standard 2011</w:t>
      </w:r>
    </w:p>
    <w:p w:rsidR="00704723" w:rsidRPr="004B208C" w:rsidRDefault="00704723" w:rsidP="00864B8A">
      <w:pPr>
        <w:spacing w:after="60"/>
        <w:ind w:left="720"/>
        <w:rPr>
          <w:rFonts w:cs="Tahoma"/>
        </w:rPr>
      </w:pPr>
      <w:r w:rsidRPr="004B208C">
        <w:rPr>
          <w:rFonts w:cs="Tahoma"/>
          <w:szCs w:val="20"/>
        </w:rPr>
        <w:t xml:space="preserve">A Licença do Office para Mac Standard 2011 consiste no seguinte: Lync para Mac 2011, Excel para Mac 2011, Outlook para Mac 2011, </w:t>
      </w:r>
      <w:r w:rsidRPr="004B208C">
        <w:rPr>
          <w:rFonts w:cs="Tahoma"/>
        </w:rPr>
        <w:t>Office Home and Student RT 2013 – Uso Comercial,</w:t>
      </w:r>
      <w:r w:rsidRPr="004B208C">
        <w:rPr>
          <w:rFonts w:cs="Tahoma"/>
          <w:szCs w:val="20"/>
        </w:rPr>
        <w:t xml:space="preserve"> Office Web Apps 2010, PowerPoint para Mac 2011 e Word para Mac 2011.</w:t>
      </w:r>
    </w:p>
    <w:p w:rsidR="00CA6122" w:rsidRPr="004B208C" w:rsidRDefault="00CA6122" w:rsidP="00CA6122">
      <w:pPr>
        <w:adjustRightInd w:val="0"/>
        <w:ind w:left="720"/>
        <w:textAlignment w:val="baseline"/>
        <w:rPr>
          <w:rFonts w:cs="Tahoma"/>
        </w:rPr>
      </w:pPr>
    </w:p>
    <w:p w:rsidR="00864B8A" w:rsidRPr="004B208C" w:rsidRDefault="00704723" w:rsidP="00864B8A">
      <w:pPr>
        <w:spacing w:after="60"/>
        <w:ind w:left="720"/>
        <w:rPr>
          <w:rFonts w:cs="Tahoma"/>
        </w:rPr>
      </w:pPr>
      <w:r w:rsidRPr="004B208C">
        <w:rPr>
          <w:rFonts w:cs="Tahoma"/>
          <w:b/>
          <w:szCs w:val="20"/>
        </w:rPr>
        <w:t>Incapacidade de Separar o Microsoft Office para Mac Standard 2011</w:t>
      </w:r>
    </w:p>
    <w:p w:rsidR="00704723" w:rsidRPr="004B208C" w:rsidRDefault="00704723" w:rsidP="00864B8A">
      <w:pPr>
        <w:spacing w:after="60"/>
        <w:ind w:left="720"/>
        <w:rPr>
          <w:rFonts w:cs="Tahoma"/>
        </w:rPr>
      </w:pPr>
      <w:r w:rsidRPr="004B208C">
        <w:rPr>
          <w:rFonts w:cs="Tahoma"/>
          <w:szCs w:val="20"/>
        </w:rPr>
        <w:t>O Office para Mac Standard 2011 consiste em mais de um produto oferecido sob uma única licença. O</w:t>
      </w:r>
      <w:r w:rsidR="009078BB">
        <w:rPr>
          <w:rFonts w:cs="Tahoma"/>
          <w:szCs w:val="20"/>
        </w:rPr>
        <w:t> </w:t>
      </w:r>
      <w:r w:rsidRPr="004B208C">
        <w:rPr>
          <w:rFonts w:cs="Tahoma"/>
          <w:szCs w:val="20"/>
        </w:rPr>
        <w:t>software não deverá ser separado para uso em mais de um computador.</w:t>
      </w:r>
    </w:p>
    <w:p w:rsidR="00CA6122" w:rsidRPr="004B208C" w:rsidRDefault="00CA6122" w:rsidP="00CA6122">
      <w:pPr>
        <w:adjustRightInd w:val="0"/>
        <w:ind w:left="720"/>
        <w:textAlignment w:val="baseline"/>
        <w:rPr>
          <w:rFonts w:cs="Tahoma"/>
        </w:rPr>
      </w:pPr>
    </w:p>
    <w:p w:rsidR="00704723" w:rsidRPr="004B208C" w:rsidRDefault="0035314F" w:rsidP="00864B8A">
      <w:pPr>
        <w:spacing w:after="60"/>
        <w:ind w:left="720"/>
        <w:rPr>
          <w:rFonts w:cs="Tahoma"/>
        </w:rPr>
      </w:pPr>
      <w:r w:rsidRPr="004B208C">
        <w:rPr>
          <w:rFonts w:cs="Tahoma"/>
          <w:b/>
          <w:szCs w:val="20"/>
        </w:rPr>
        <w:t>Direitos de Uso do Lync para Mac 2011</w:t>
      </w:r>
    </w:p>
    <w:p w:rsidR="00CA6122" w:rsidRPr="004B208C" w:rsidRDefault="00F14B59" w:rsidP="00737831">
      <w:pPr>
        <w:adjustRightInd w:val="0"/>
        <w:ind w:left="720"/>
        <w:textAlignment w:val="baseline"/>
        <w:rPr>
          <w:rFonts w:cs="Tahoma"/>
        </w:rPr>
      </w:pPr>
      <w:r w:rsidRPr="004B208C">
        <w:rPr>
          <w:rFonts w:cs="Tahoma"/>
          <w:szCs w:val="20"/>
        </w:rPr>
        <w:t xml:space="preserve">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 </w:t>
      </w:r>
    </w:p>
    <w:p w:rsidR="007631EF" w:rsidRPr="004B208C" w:rsidRDefault="007631EF">
      <w:pPr>
        <w:rPr>
          <w:rFonts w:cs="Tahoma"/>
        </w:rPr>
      </w:pPr>
    </w:p>
    <w:p w:rsidR="00697E59" w:rsidRDefault="00697E59">
      <w:pPr>
        <w:rPr>
          <w:rFonts w:cs="Tahoma"/>
        </w:rPr>
      </w:pPr>
      <w:bookmarkStart w:id="983" w:name="_Toc336338265"/>
    </w:p>
    <w:p w:rsidR="00023FE7" w:rsidRPr="004B208C" w:rsidRDefault="00A560B6">
      <w:pPr>
        <w:pStyle w:val="Heading3"/>
        <w:rPr>
          <w:rFonts w:ascii="Tahoma" w:hAnsi="Tahoma" w:cs="Tahoma"/>
        </w:rPr>
      </w:pPr>
      <w:bookmarkStart w:id="984" w:name="_5_Office_Multi-Language"/>
      <w:bookmarkStart w:id="985" w:name="_7_Office_Multi-Language"/>
      <w:bookmarkStart w:id="986" w:name="_87_Office_Multi-Language"/>
      <w:bookmarkStart w:id="987" w:name="_9_Office_Multi-Language"/>
      <w:bookmarkStart w:id="988" w:name="Aps_8OffMultiLangPack07"/>
      <w:bookmarkStart w:id="989" w:name="Aps_6OfficeMultiLangPack2010"/>
      <w:bookmarkStart w:id="990" w:name="Aps_5OfficeMultiLangPack2010"/>
      <w:bookmarkStart w:id="991" w:name="_Toc370981382"/>
      <w:bookmarkEnd w:id="984"/>
      <w:bookmarkEnd w:id="985"/>
      <w:bookmarkEnd w:id="986"/>
      <w:bookmarkEnd w:id="987"/>
      <w:r w:rsidRPr="004B208C">
        <w:rPr>
          <w:rFonts w:ascii="Tahoma" w:hAnsi="Tahoma" w:cs="Tahoma"/>
          <w:caps/>
          <w:color w:val="F66400"/>
          <w:sz w:val="22"/>
          <w:vertAlign w:val="superscript"/>
        </w:rPr>
        <w:t>10</w:t>
      </w:r>
      <w:r w:rsidRPr="004B208C">
        <w:rPr>
          <w:rFonts w:ascii="Tahoma" w:hAnsi="Tahoma" w:cs="Tahoma"/>
          <w:color w:val="F66400"/>
          <w:sz w:val="22"/>
        </w:rPr>
        <w:t xml:space="preserve"> Pacote Multilíngue do Office </w:t>
      </w:r>
      <w:bookmarkEnd w:id="983"/>
      <w:bookmarkEnd w:id="988"/>
      <w:bookmarkEnd w:id="989"/>
      <w:bookmarkEnd w:id="990"/>
      <w:r w:rsidRPr="004B208C">
        <w:rPr>
          <w:rFonts w:ascii="Tahoma" w:hAnsi="Tahoma" w:cs="Tahoma"/>
          <w:color w:val="F66400"/>
          <w:sz w:val="22"/>
        </w:rPr>
        <w:t>2013</w:t>
      </w:r>
      <w:bookmarkEnd w:id="991"/>
    </w:p>
    <w:p w:rsidR="00023FE7" w:rsidRPr="004B208C" w:rsidRDefault="00023FE7" w:rsidP="00AE5A9F">
      <w:pPr>
        <w:rPr>
          <w:rFonts w:cs="Tahoma"/>
        </w:rPr>
      </w:pPr>
    </w:p>
    <w:p w:rsidR="00223A77" w:rsidRPr="004B208C" w:rsidRDefault="0035314F" w:rsidP="00864B8A">
      <w:pPr>
        <w:spacing w:after="60"/>
        <w:ind w:left="720"/>
        <w:rPr>
          <w:rFonts w:cs="Tahoma"/>
        </w:rPr>
      </w:pPr>
      <w:r w:rsidRPr="004B208C">
        <w:rPr>
          <w:rFonts w:cs="Tahoma"/>
          <w:b/>
          <w:szCs w:val="20"/>
        </w:rPr>
        <w:t>Direito de Downgrade para o Pacote Multilíngue do Office 2013</w:t>
      </w:r>
    </w:p>
    <w:p w:rsidR="00223A77" w:rsidRPr="004B208C" w:rsidRDefault="00223A77" w:rsidP="00CA6122">
      <w:pPr>
        <w:ind w:left="720"/>
        <w:rPr>
          <w:rFonts w:cs="Tahoma"/>
        </w:rPr>
      </w:pPr>
      <w:r w:rsidRPr="004B208C">
        <w:rPr>
          <w:rFonts w:cs="Tahoma"/>
          <w:szCs w:val="18"/>
        </w:rPr>
        <w:t>Os clientes de Licenciamento por Volume com uma licença do Pacote Multilíngue do Office 2013 e uma licença de qualquer um dos seguintes:</w:t>
      </w:r>
    </w:p>
    <w:p w:rsidR="00C2130B" w:rsidRPr="004B208C" w:rsidRDefault="00C2130B" w:rsidP="00CA6122">
      <w:pPr>
        <w:ind w:left="900"/>
        <w:rPr>
          <w:rFonts w:cs="Tahoma"/>
        </w:rPr>
      </w:pPr>
    </w:p>
    <w:p w:rsidR="00223A77" w:rsidRPr="004B208C" w:rsidRDefault="00223A77" w:rsidP="00CA6122">
      <w:pPr>
        <w:numPr>
          <w:ilvl w:val="0"/>
          <w:numId w:val="9"/>
        </w:numPr>
        <w:spacing w:after="60"/>
        <w:ind w:left="1440"/>
        <w:rPr>
          <w:rFonts w:cs="Tahoma"/>
        </w:rPr>
      </w:pPr>
      <w:r w:rsidRPr="004B208C">
        <w:rPr>
          <w:rFonts w:cs="Tahoma"/>
          <w:szCs w:val="18"/>
        </w:rPr>
        <w:t>Office Standard 2013</w:t>
      </w:r>
    </w:p>
    <w:p w:rsidR="00223A77" w:rsidRPr="004B208C" w:rsidRDefault="00223A77" w:rsidP="00CA6122">
      <w:pPr>
        <w:numPr>
          <w:ilvl w:val="0"/>
          <w:numId w:val="9"/>
        </w:numPr>
        <w:spacing w:after="60"/>
        <w:ind w:left="1440"/>
        <w:rPr>
          <w:rFonts w:cs="Tahoma"/>
        </w:rPr>
      </w:pPr>
      <w:r w:rsidRPr="004B208C">
        <w:rPr>
          <w:rFonts w:cs="Tahoma"/>
          <w:szCs w:val="18"/>
        </w:rPr>
        <w:t>Office Professional Plus 2013</w:t>
      </w:r>
    </w:p>
    <w:p w:rsidR="00223A77" w:rsidRPr="004B208C" w:rsidRDefault="00223A77" w:rsidP="00CA6122">
      <w:pPr>
        <w:numPr>
          <w:ilvl w:val="0"/>
          <w:numId w:val="9"/>
        </w:numPr>
        <w:spacing w:after="60"/>
        <w:ind w:left="1440"/>
        <w:rPr>
          <w:rFonts w:cs="Tahoma"/>
        </w:rPr>
      </w:pPr>
      <w:r w:rsidRPr="004B208C">
        <w:rPr>
          <w:rFonts w:cs="Tahoma"/>
          <w:szCs w:val="18"/>
        </w:rPr>
        <w:t>Project Standard 2013</w:t>
      </w:r>
    </w:p>
    <w:p w:rsidR="00223A77" w:rsidRPr="004B208C" w:rsidRDefault="00223A77" w:rsidP="00CA6122">
      <w:pPr>
        <w:numPr>
          <w:ilvl w:val="0"/>
          <w:numId w:val="9"/>
        </w:numPr>
        <w:spacing w:after="60"/>
        <w:ind w:left="1440"/>
        <w:rPr>
          <w:rFonts w:cs="Tahoma"/>
        </w:rPr>
      </w:pPr>
      <w:r w:rsidRPr="004B208C">
        <w:rPr>
          <w:rFonts w:cs="Tahoma"/>
          <w:szCs w:val="18"/>
        </w:rPr>
        <w:t>Project Professional 2013</w:t>
      </w:r>
    </w:p>
    <w:p w:rsidR="00223A77" w:rsidRPr="004B208C" w:rsidRDefault="00223A77" w:rsidP="00CA6122">
      <w:pPr>
        <w:numPr>
          <w:ilvl w:val="0"/>
          <w:numId w:val="9"/>
        </w:numPr>
        <w:spacing w:after="60"/>
        <w:ind w:left="1440"/>
        <w:rPr>
          <w:rFonts w:cs="Tahoma"/>
        </w:rPr>
      </w:pPr>
      <w:r w:rsidRPr="004B208C">
        <w:rPr>
          <w:rFonts w:cs="Tahoma"/>
          <w:szCs w:val="18"/>
        </w:rPr>
        <w:t>Visio Standard 2013</w:t>
      </w:r>
    </w:p>
    <w:p w:rsidR="00223A77" w:rsidRPr="004B208C" w:rsidRDefault="00223A77" w:rsidP="00CA6122">
      <w:pPr>
        <w:numPr>
          <w:ilvl w:val="0"/>
          <w:numId w:val="9"/>
        </w:numPr>
        <w:spacing w:after="60"/>
        <w:ind w:left="1440"/>
        <w:rPr>
          <w:rFonts w:cs="Tahoma"/>
        </w:rPr>
      </w:pPr>
      <w:r w:rsidRPr="004B208C">
        <w:rPr>
          <w:rFonts w:cs="Tahoma"/>
          <w:szCs w:val="18"/>
        </w:rPr>
        <w:t>Visio Professional 2013</w:t>
      </w:r>
    </w:p>
    <w:p w:rsidR="00223A77" w:rsidRPr="004B208C" w:rsidRDefault="00223A77" w:rsidP="00CA6122">
      <w:pPr>
        <w:ind w:left="1260"/>
        <w:rPr>
          <w:rFonts w:cs="Tahoma"/>
        </w:rPr>
      </w:pPr>
    </w:p>
    <w:p w:rsidR="00223A77" w:rsidRPr="004B208C" w:rsidRDefault="00223A77" w:rsidP="00CA6122">
      <w:pPr>
        <w:ind w:left="720"/>
        <w:rPr>
          <w:rFonts w:cs="Tahoma"/>
        </w:rPr>
      </w:pPr>
      <w:r w:rsidRPr="004B208C">
        <w:rPr>
          <w:rFonts w:cs="Tahoma"/>
          <w:szCs w:val="18"/>
        </w:rPr>
        <w:t>estão qualificados a usar a versão em inglês/multilíngue de uma versão com downgrade do produto, em vez da versão licenciada</w:t>
      </w:r>
      <w:r w:rsidRPr="004B208C">
        <w:rPr>
          <w:rFonts w:cs="Tahoma"/>
          <w:i/>
          <w:iCs/>
          <w:szCs w:val="18"/>
        </w:rPr>
        <w:t>.</w:t>
      </w:r>
      <w:r w:rsidRPr="004B208C">
        <w:rPr>
          <w:rFonts w:cs="Tahoma"/>
          <w:szCs w:val="18"/>
        </w:rPr>
        <w:t xml:space="preserve"> O uso da versão com downgrade do produto está sujeito aos direitos de uso da versão </w:t>
      </w:r>
      <w:r w:rsidRPr="004B208C">
        <w:rPr>
          <w:rFonts w:cs="Tahoma"/>
          <w:szCs w:val="18"/>
        </w:rPr>
        <w:lastRenderedPageBreak/>
        <w:t>2013 do produto. Esses direitos terminam quando os direitos dos clientes para o Pacote Multilíngue do Office 2013 ou um dos produtos da versão 2013 listados acima terminarem.</w:t>
      </w:r>
    </w:p>
    <w:p w:rsidR="00CA6122" w:rsidRPr="009078BB" w:rsidRDefault="00CA6122">
      <w:pPr>
        <w:pStyle w:val="Heading3"/>
        <w:rPr>
          <w:rFonts w:ascii="Tahoma" w:hAnsi="Tahoma" w:cs="Tahoma"/>
          <w:b w:val="0"/>
          <w:sz w:val="18"/>
          <w:szCs w:val="18"/>
        </w:rPr>
      </w:pPr>
      <w:bookmarkStart w:id="992" w:name="_Toc336338266"/>
      <w:bookmarkStart w:id="993" w:name="Aps_9OffProPlus07forWin"/>
      <w:bookmarkStart w:id="994" w:name="Aps_7OfficeProPlus2010"/>
      <w:bookmarkStart w:id="995" w:name="Aps_6OfficeProPlus2010"/>
    </w:p>
    <w:p w:rsidR="00CA6122" w:rsidRPr="009078BB" w:rsidRDefault="00CA6122">
      <w:pPr>
        <w:pStyle w:val="Heading3"/>
        <w:rPr>
          <w:rFonts w:ascii="Tahoma" w:hAnsi="Tahoma" w:cs="Tahoma"/>
          <w:b w:val="0"/>
          <w:sz w:val="18"/>
          <w:szCs w:val="18"/>
        </w:rPr>
      </w:pPr>
    </w:p>
    <w:p w:rsidR="00023FE7" w:rsidRPr="004B208C" w:rsidRDefault="00A560B6">
      <w:pPr>
        <w:pStyle w:val="Heading3"/>
        <w:rPr>
          <w:rFonts w:ascii="Tahoma" w:hAnsi="Tahoma" w:cs="Tahoma"/>
        </w:rPr>
      </w:pPr>
      <w:bookmarkStart w:id="996" w:name="_98_Office_Professional"/>
      <w:bookmarkStart w:id="997" w:name="_10_Office_Professional"/>
      <w:bookmarkStart w:id="998" w:name="_Toc370981383"/>
      <w:bookmarkEnd w:id="996"/>
      <w:bookmarkEnd w:id="997"/>
      <w:r w:rsidRPr="004B208C">
        <w:rPr>
          <w:rFonts w:ascii="Tahoma" w:hAnsi="Tahoma" w:cs="Tahoma"/>
          <w:caps/>
          <w:color w:val="F66400"/>
          <w:sz w:val="22"/>
          <w:vertAlign w:val="superscript"/>
        </w:rPr>
        <w:t>11</w:t>
      </w:r>
      <w:r w:rsidRPr="004B208C">
        <w:rPr>
          <w:rFonts w:ascii="Tahoma" w:hAnsi="Tahoma" w:cs="Tahoma"/>
          <w:color w:val="F66400"/>
          <w:sz w:val="22"/>
        </w:rPr>
        <w:t xml:space="preserve"> Office Professional Plus </w:t>
      </w:r>
      <w:bookmarkEnd w:id="992"/>
      <w:r w:rsidRPr="004B208C">
        <w:rPr>
          <w:rFonts w:ascii="Tahoma" w:hAnsi="Tahoma" w:cs="Tahoma"/>
          <w:color w:val="F66400"/>
          <w:sz w:val="22"/>
        </w:rPr>
        <w:t>2013</w:t>
      </w:r>
      <w:bookmarkEnd w:id="998"/>
    </w:p>
    <w:bookmarkEnd w:id="993"/>
    <w:bookmarkEnd w:id="994"/>
    <w:bookmarkEnd w:id="995"/>
    <w:p w:rsidR="00023FE7" w:rsidRPr="004B208C" w:rsidRDefault="00023FE7" w:rsidP="00AE5A9F">
      <w:pPr>
        <w:rPr>
          <w:rFonts w:cs="Tahoma"/>
        </w:rPr>
      </w:pPr>
    </w:p>
    <w:p w:rsidR="00223A77" w:rsidRPr="009078BB" w:rsidRDefault="00223A77" w:rsidP="00A1385C">
      <w:pPr>
        <w:pStyle w:val="EndnoteText"/>
        <w:numPr>
          <w:ilvl w:val="0"/>
          <w:numId w:val="109"/>
        </w:numPr>
        <w:ind w:left="1080"/>
        <w:rPr>
          <w:rFonts w:ascii="Tahoma" w:hAnsi="Tahoma" w:cs="Tahoma"/>
          <w:sz w:val="18"/>
          <w:szCs w:val="18"/>
        </w:rPr>
      </w:pPr>
      <w:r w:rsidRPr="009078BB">
        <w:rPr>
          <w:rFonts w:ascii="Tahoma" w:hAnsi="Tahoma" w:cs="Tahoma"/>
          <w:sz w:val="18"/>
          <w:szCs w:val="18"/>
        </w:rPr>
        <w:t xml:space="preserve">Licença WAH (Work at Home) disponível para Clientes Select e Select Plus </w:t>
      </w:r>
    </w:p>
    <w:p w:rsidR="00223A77" w:rsidRPr="009078BB" w:rsidRDefault="00223A77" w:rsidP="00A1385C">
      <w:pPr>
        <w:pStyle w:val="EndnoteText"/>
        <w:numPr>
          <w:ilvl w:val="0"/>
          <w:numId w:val="109"/>
        </w:numPr>
        <w:ind w:left="1080"/>
        <w:rPr>
          <w:rFonts w:ascii="Tahoma" w:hAnsi="Tahoma" w:cs="Tahoma"/>
          <w:sz w:val="18"/>
          <w:szCs w:val="18"/>
        </w:rPr>
      </w:pPr>
      <w:r w:rsidRPr="009078BB">
        <w:rPr>
          <w:rFonts w:ascii="Tahoma" w:hAnsi="Tahoma" w:cs="Tahoma"/>
          <w:sz w:val="18"/>
          <w:szCs w:val="18"/>
        </w:rPr>
        <w:t>Licença WAH (Work at Home) disponível para Clientes do Contrato Enterprise</w:t>
      </w:r>
    </w:p>
    <w:p w:rsidR="00223A77" w:rsidRPr="009078BB" w:rsidRDefault="00223A77" w:rsidP="00D16C5F">
      <w:pPr>
        <w:pStyle w:val="FootnoteBulletLevel1"/>
        <w:tabs>
          <w:tab w:val="clear" w:pos="900"/>
        </w:tabs>
        <w:spacing w:before="0" w:after="0"/>
        <w:ind w:left="720" w:firstLine="0"/>
        <w:rPr>
          <w:rFonts w:ascii="Tahoma" w:hAnsi="Tahoma" w:cs="Tahoma"/>
          <w:sz w:val="18"/>
          <w:szCs w:val="18"/>
        </w:rPr>
      </w:pPr>
    </w:p>
    <w:p w:rsidR="00864B8A" w:rsidRPr="009078BB" w:rsidRDefault="00223A77" w:rsidP="00864B8A">
      <w:pPr>
        <w:spacing w:after="60"/>
        <w:ind w:left="720"/>
        <w:rPr>
          <w:rFonts w:cs="Tahoma"/>
          <w:szCs w:val="18"/>
        </w:rPr>
      </w:pPr>
      <w:r w:rsidRPr="009078BB">
        <w:rPr>
          <w:rFonts w:cs="Tahoma"/>
          <w:b/>
          <w:szCs w:val="18"/>
        </w:rPr>
        <w:t>Office Professional Plus 2013</w:t>
      </w:r>
    </w:p>
    <w:p w:rsidR="00223A77" w:rsidRPr="009078BB" w:rsidRDefault="00223A77" w:rsidP="00864B8A">
      <w:pPr>
        <w:spacing w:after="60"/>
        <w:ind w:left="720"/>
        <w:rPr>
          <w:rFonts w:cs="Tahoma"/>
          <w:szCs w:val="18"/>
        </w:rPr>
      </w:pPr>
      <w:r w:rsidRPr="009078BB">
        <w:rPr>
          <w:rFonts w:cs="Tahoma"/>
          <w:szCs w:val="18"/>
        </w:rPr>
        <w:t>A Licença para Office Professional Plus 2013 consiste no seguinte: Access 2013, Lync 2013, Excel 2013,</w:t>
      </w:r>
      <w:r w:rsidR="00172F11" w:rsidRPr="009078BB">
        <w:rPr>
          <w:rFonts w:cs="Tahoma"/>
          <w:szCs w:val="18"/>
        </w:rPr>
        <w:t xml:space="preserve"> </w:t>
      </w:r>
      <w:r w:rsidRPr="009078BB">
        <w:rPr>
          <w:rFonts w:cs="Tahoma"/>
          <w:szCs w:val="18"/>
        </w:rPr>
        <w:t>InfoPath 2013, OneNote 2013, Outlook 2013, Office Home and Student RT 2013 – Uso Comercial, Office Web Apps, PowerPoint 2013, Publisher 2013 e Word 2013.</w:t>
      </w:r>
    </w:p>
    <w:p w:rsidR="00973A93" w:rsidRPr="009078BB" w:rsidRDefault="00973A93">
      <w:pPr>
        <w:rPr>
          <w:rFonts w:cs="Tahoma"/>
          <w:szCs w:val="18"/>
        </w:rPr>
      </w:pPr>
    </w:p>
    <w:p w:rsidR="00223A77" w:rsidRPr="009078BB" w:rsidRDefault="00223A77" w:rsidP="00AF1D88">
      <w:pPr>
        <w:keepNext/>
        <w:spacing w:after="60"/>
        <w:ind w:left="720"/>
        <w:rPr>
          <w:rFonts w:cs="Tahoma"/>
          <w:szCs w:val="18"/>
        </w:rPr>
      </w:pPr>
      <w:r w:rsidRPr="009078BB">
        <w:rPr>
          <w:rFonts w:cs="Tahoma"/>
          <w:b/>
          <w:szCs w:val="18"/>
        </w:rPr>
        <w:t>Incapacidade de Separar o Office Professional Plus 2013</w:t>
      </w:r>
    </w:p>
    <w:p w:rsidR="00223A77" w:rsidRPr="009078BB" w:rsidRDefault="00223A77" w:rsidP="00D16C5F">
      <w:pPr>
        <w:pStyle w:val="FootnoteBulletLevel1"/>
        <w:tabs>
          <w:tab w:val="clear" w:pos="900"/>
        </w:tabs>
        <w:spacing w:before="0" w:after="0"/>
        <w:ind w:left="720" w:firstLine="0"/>
        <w:rPr>
          <w:rFonts w:ascii="Tahoma" w:hAnsi="Tahoma" w:cs="Tahoma"/>
          <w:sz w:val="18"/>
          <w:szCs w:val="18"/>
        </w:rPr>
      </w:pPr>
      <w:r w:rsidRPr="009078BB">
        <w:rPr>
          <w:rFonts w:ascii="Tahoma" w:hAnsi="Tahoma" w:cs="Tahoma"/>
          <w:sz w:val="18"/>
          <w:szCs w:val="18"/>
        </w:rPr>
        <w:t>O Microsoft Office Professional Plus 2013 consiste em mais de um produto oferecido sob uma única licença. O software não deverá ser separado para uso em mais de um computador.</w:t>
      </w:r>
    </w:p>
    <w:p w:rsidR="00952A87" w:rsidRPr="009078BB" w:rsidRDefault="00952A87" w:rsidP="00D16C5F">
      <w:pPr>
        <w:ind w:left="720"/>
        <w:rPr>
          <w:rFonts w:cs="Tahoma"/>
          <w:szCs w:val="18"/>
        </w:rPr>
      </w:pPr>
    </w:p>
    <w:p w:rsidR="00952A87" w:rsidRPr="009078BB" w:rsidRDefault="00952A87" w:rsidP="00864B8A">
      <w:pPr>
        <w:spacing w:after="60"/>
        <w:ind w:left="720"/>
        <w:rPr>
          <w:rFonts w:cs="Tahoma"/>
          <w:szCs w:val="18"/>
        </w:rPr>
      </w:pPr>
      <w:r w:rsidRPr="009078BB">
        <w:rPr>
          <w:rFonts w:cs="Tahoma"/>
          <w:b/>
          <w:szCs w:val="18"/>
        </w:rPr>
        <w:t>Contrato para Campus e School</w:t>
      </w:r>
    </w:p>
    <w:p w:rsidR="00001A9A" w:rsidRPr="009078BB" w:rsidRDefault="00952A87" w:rsidP="00D16C5F">
      <w:pPr>
        <w:ind w:left="720"/>
        <w:rPr>
          <w:rFonts w:cs="Tahoma"/>
          <w:szCs w:val="18"/>
        </w:rPr>
      </w:pPr>
      <w:r w:rsidRPr="009078BB">
        <w:rPr>
          <w:rFonts w:eastAsia="Calibri" w:cs="Tahoma"/>
          <w:iCs/>
          <w:color w:val="000000"/>
          <w:szCs w:val="18"/>
        </w:rPr>
        <w:t>As Instituições com SLs de Usuário do Office 365 ProPlus cedidas para todo o corpo docente e funcionários poderão instalar o software Office Professional Plus 2013 em qualquer laboratório de acesso aberto ou biblioteca da Organização da Instituição.</w:t>
      </w:r>
      <w:r w:rsidR="00172F11" w:rsidRPr="009078BB">
        <w:rPr>
          <w:rFonts w:eastAsia="Calibri" w:cs="Tahoma"/>
          <w:iCs/>
          <w:color w:val="000000"/>
          <w:szCs w:val="18"/>
        </w:rPr>
        <w:t xml:space="preserve"> </w:t>
      </w:r>
      <w:r w:rsidRPr="009078BB">
        <w:rPr>
          <w:rFonts w:eastAsia="Calibri" w:cs="Tahoma"/>
          <w:iCs/>
          <w:color w:val="000000"/>
          <w:szCs w:val="18"/>
        </w:rPr>
        <w:t>O uso do software está sujeito aos termos de licença para o Office Professional Plus 2013.</w:t>
      </w:r>
    </w:p>
    <w:p w:rsidR="00952A87" w:rsidRPr="004B208C" w:rsidRDefault="00952A87" w:rsidP="00D16C5F">
      <w:pPr>
        <w:rPr>
          <w:rFonts w:cs="Tahoma"/>
        </w:rPr>
      </w:pPr>
    </w:p>
    <w:p w:rsidR="00133069" w:rsidRPr="004B208C" w:rsidRDefault="00133069" w:rsidP="00133069">
      <w:pPr>
        <w:rPr>
          <w:rFonts w:cs="Tahoma"/>
        </w:rPr>
      </w:pPr>
    </w:p>
    <w:p w:rsidR="00223A77" w:rsidRPr="004B208C" w:rsidRDefault="00A560B6" w:rsidP="00223A77">
      <w:pPr>
        <w:pStyle w:val="Heading3"/>
        <w:rPr>
          <w:rFonts w:ascii="Tahoma" w:hAnsi="Tahoma" w:cs="Tahoma"/>
        </w:rPr>
      </w:pPr>
      <w:bookmarkStart w:id="999" w:name="_109_Office_Standard"/>
      <w:bookmarkStart w:id="1000" w:name="_11_Office_Standard"/>
      <w:bookmarkStart w:id="1001" w:name="Aps_OfficeStandard2010"/>
      <w:bookmarkStart w:id="1002" w:name="_Toc254806115"/>
      <w:bookmarkStart w:id="1003" w:name="_Toc328146032"/>
      <w:bookmarkStart w:id="1004" w:name="Aps_7OfficeStandard2010"/>
      <w:bookmarkStart w:id="1005" w:name="_Toc336338268"/>
      <w:bookmarkStart w:id="1006" w:name="_Toc370981384"/>
      <w:bookmarkEnd w:id="999"/>
      <w:bookmarkEnd w:id="1000"/>
      <w:r w:rsidRPr="004B208C">
        <w:rPr>
          <w:rFonts w:ascii="Tahoma" w:hAnsi="Tahoma" w:cs="Tahoma"/>
          <w:caps/>
          <w:color w:val="F66400"/>
          <w:sz w:val="22"/>
          <w:vertAlign w:val="superscript"/>
        </w:rPr>
        <w:t>12</w:t>
      </w:r>
      <w:r w:rsidRPr="004B208C">
        <w:rPr>
          <w:rFonts w:ascii="Tahoma" w:hAnsi="Tahoma" w:cs="Tahoma"/>
          <w:color w:val="F66400"/>
          <w:sz w:val="22"/>
        </w:rPr>
        <w:t xml:space="preserve"> Office Standard </w:t>
      </w:r>
      <w:bookmarkEnd w:id="1001"/>
      <w:bookmarkEnd w:id="1002"/>
      <w:bookmarkEnd w:id="1003"/>
      <w:r w:rsidRPr="004B208C">
        <w:rPr>
          <w:rFonts w:ascii="Tahoma" w:hAnsi="Tahoma" w:cs="Tahoma"/>
          <w:color w:val="F66400"/>
          <w:sz w:val="22"/>
        </w:rPr>
        <w:t>2013</w:t>
      </w:r>
      <w:bookmarkEnd w:id="1006"/>
    </w:p>
    <w:bookmarkEnd w:id="1004"/>
    <w:p w:rsidR="00223A77" w:rsidRPr="004B208C" w:rsidRDefault="00223A77" w:rsidP="00AE5A9F">
      <w:pPr>
        <w:rPr>
          <w:rFonts w:cs="Tahoma"/>
        </w:rPr>
      </w:pPr>
    </w:p>
    <w:p w:rsidR="00223A77" w:rsidRPr="009078BB" w:rsidRDefault="00223A77" w:rsidP="00A1385C">
      <w:pPr>
        <w:pStyle w:val="EndnoteText"/>
        <w:numPr>
          <w:ilvl w:val="3"/>
          <w:numId w:val="77"/>
        </w:numPr>
        <w:ind w:left="990"/>
        <w:rPr>
          <w:rFonts w:ascii="Tahoma" w:hAnsi="Tahoma" w:cs="Tahoma"/>
          <w:sz w:val="18"/>
          <w:szCs w:val="18"/>
        </w:rPr>
      </w:pPr>
      <w:r w:rsidRPr="009078BB">
        <w:rPr>
          <w:rFonts w:ascii="Tahoma" w:hAnsi="Tahoma" w:cs="Tahoma"/>
          <w:sz w:val="18"/>
          <w:szCs w:val="18"/>
        </w:rPr>
        <w:t xml:space="preserve">Licença WAH (Work at Home) disponível para Clientes Select e Select Plus </w:t>
      </w:r>
    </w:p>
    <w:p w:rsidR="00223A77" w:rsidRPr="009078BB" w:rsidRDefault="00223A77" w:rsidP="00A1385C">
      <w:pPr>
        <w:pStyle w:val="EndnoteText"/>
        <w:numPr>
          <w:ilvl w:val="3"/>
          <w:numId w:val="77"/>
        </w:numPr>
        <w:ind w:left="990"/>
        <w:rPr>
          <w:rFonts w:ascii="Tahoma" w:hAnsi="Tahoma" w:cs="Tahoma"/>
          <w:sz w:val="18"/>
          <w:szCs w:val="18"/>
        </w:rPr>
      </w:pPr>
      <w:r w:rsidRPr="009078BB">
        <w:rPr>
          <w:rFonts w:ascii="Tahoma" w:hAnsi="Tahoma" w:cs="Tahoma"/>
          <w:sz w:val="18"/>
          <w:szCs w:val="18"/>
        </w:rPr>
        <w:t>Licença WAH (Work at Home) disponível para Clientes do Contrato Enterprise</w:t>
      </w:r>
    </w:p>
    <w:p w:rsidR="00223A77" w:rsidRPr="009078BB" w:rsidRDefault="00223A77" w:rsidP="00DF0E39">
      <w:pPr>
        <w:pStyle w:val="FootnoteBulletLevel1"/>
        <w:tabs>
          <w:tab w:val="clear" w:pos="900"/>
        </w:tabs>
        <w:spacing w:before="0" w:after="0"/>
        <w:ind w:left="720" w:firstLine="0"/>
        <w:rPr>
          <w:rFonts w:ascii="Tahoma" w:hAnsi="Tahoma" w:cs="Tahoma"/>
          <w:sz w:val="18"/>
          <w:szCs w:val="18"/>
        </w:rPr>
      </w:pPr>
    </w:p>
    <w:p w:rsidR="00864B8A" w:rsidRPr="009078BB" w:rsidRDefault="00223A77" w:rsidP="00864B8A">
      <w:pPr>
        <w:spacing w:after="60"/>
        <w:ind w:left="720"/>
        <w:rPr>
          <w:rFonts w:cs="Tahoma"/>
          <w:szCs w:val="18"/>
        </w:rPr>
      </w:pPr>
      <w:r w:rsidRPr="009078BB">
        <w:rPr>
          <w:rFonts w:cs="Tahoma"/>
          <w:b/>
          <w:szCs w:val="18"/>
        </w:rPr>
        <w:t>Office Standard 2013</w:t>
      </w:r>
    </w:p>
    <w:p w:rsidR="00223A77" w:rsidRPr="009078BB" w:rsidRDefault="00223A77" w:rsidP="00DF0E39">
      <w:pPr>
        <w:pStyle w:val="FootnoteBulletLevel1"/>
        <w:tabs>
          <w:tab w:val="clear" w:pos="900"/>
        </w:tabs>
        <w:spacing w:before="0" w:after="0"/>
        <w:ind w:left="720" w:firstLine="0"/>
        <w:rPr>
          <w:rFonts w:ascii="Tahoma" w:hAnsi="Tahoma" w:cs="Tahoma"/>
          <w:sz w:val="18"/>
          <w:szCs w:val="18"/>
        </w:rPr>
      </w:pPr>
      <w:r w:rsidRPr="009078BB">
        <w:rPr>
          <w:rFonts w:ascii="Tahoma" w:hAnsi="Tahoma" w:cs="Tahoma"/>
          <w:sz w:val="18"/>
          <w:szCs w:val="18"/>
        </w:rPr>
        <w:t>A Licença do Office Standard 2013 consiste no seguinte: Excel 2013, OneNote 2013, Outlook 2013, Office Home and Student RT 2013 – Uso Comercial, Office Web Apps, PowerPoint 2013, Publisher 2013 e</w:t>
      </w:r>
      <w:r w:rsidR="009078BB">
        <w:rPr>
          <w:rFonts w:ascii="Tahoma" w:hAnsi="Tahoma" w:cs="Tahoma"/>
          <w:sz w:val="18"/>
          <w:szCs w:val="18"/>
        </w:rPr>
        <w:t> </w:t>
      </w:r>
      <w:r w:rsidRPr="009078BB">
        <w:rPr>
          <w:rFonts w:ascii="Tahoma" w:hAnsi="Tahoma" w:cs="Tahoma"/>
          <w:sz w:val="18"/>
          <w:szCs w:val="18"/>
        </w:rPr>
        <w:t>Word</w:t>
      </w:r>
      <w:r w:rsidR="009078BB">
        <w:rPr>
          <w:rFonts w:ascii="Tahoma" w:hAnsi="Tahoma" w:cs="Tahoma"/>
          <w:sz w:val="18"/>
          <w:szCs w:val="18"/>
        </w:rPr>
        <w:t> </w:t>
      </w:r>
      <w:r w:rsidRPr="009078BB">
        <w:rPr>
          <w:rFonts w:ascii="Tahoma" w:hAnsi="Tahoma" w:cs="Tahoma"/>
          <w:sz w:val="18"/>
          <w:szCs w:val="18"/>
        </w:rPr>
        <w:t>2013.</w:t>
      </w:r>
    </w:p>
    <w:p w:rsidR="00DF0E39" w:rsidRPr="009078BB" w:rsidRDefault="00DF0E39" w:rsidP="00DF0E39">
      <w:pPr>
        <w:pStyle w:val="FootnoteBulletLevel1"/>
        <w:tabs>
          <w:tab w:val="clear" w:pos="900"/>
        </w:tabs>
        <w:spacing w:before="0" w:after="0"/>
        <w:ind w:left="720" w:firstLine="0"/>
        <w:rPr>
          <w:rFonts w:ascii="Tahoma" w:hAnsi="Tahoma" w:cs="Tahoma"/>
          <w:sz w:val="18"/>
          <w:szCs w:val="18"/>
        </w:rPr>
      </w:pPr>
    </w:p>
    <w:p w:rsidR="00864B8A" w:rsidRPr="009078BB" w:rsidRDefault="00223A77" w:rsidP="00864B8A">
      <w:pPr>
        <w:spacing w:after="60"/>
        <w:ind w:left="720"/>
        <w:rPr>
          <w:rFonts w:cs="Tahoma"/>
          <w:szCs w:val="18"/>
        </w:rPr>
      </w:pPr>
      <w:r w:rsidRPr="009078BB">
        <w:rPr>
          <w:rFonts w:cs="Tahoma"/>
          <w:b/>
          <w:szCs w:val="18"/>
        </w:rPr>
        <w:t>Incapacidade de Separar o Microsoft Office Standard 2013</w:t>
      </w:r>
    </w:p>
    <w:p w:rsidR="00223A77" w:rsidRPr="004B208C" w:rsidRDefault="00223A77" w:rsidP="002F39A5">
      <w:pPr>
        <w:spacing w:after="60"/>
        <w:ind w:left="720"/>
        <w:rPr>
          <w:rFonts w:cs="Tahoma"/>
        </w:rPr>
      </w:pPr>
      <w:r w:rsidRPr="009078BB">
        <w:rPr>
          <w:rFonts w:cs="Tahoma"/>
          <w:szCs w:val="18"/>
        </w:rPr>
        <w:t>O Office Standard 2013 consiste em mais de um produto oferecido sob uma única licença. O software não deverá ser separado para uso em mais de um computa</w:t>
      </w:r>
      <w:r w:rsidRPr="004B208C">
        <w:rPr>
          <w:rFonts w:cs="Tahoma"/>
        </w:rPr>
        <w:t>dor.</w:t>
      </w:r>
    </w:p>
    <w:p w:rsidR="002F39A5" w:rsidRPr="004B208C" w:rsidRDefault="002F39A5" w:rsidP="002F39A5">
      <w:pPr>
        <w:rPr>
          <w:rFonts w:cs="Tahoma"/>
        </w:rPr>
      </w:pPr>
    </w:p>
    <w:p w:rsidR="00B2182D" w:rsidRPr="004B208C" w:rsidRDefault="00A560B6" w:rsidP="00461CA9">
      <w:pPr>
        <w:pStyle w:val="Heading3"/>
        <w:rPr>
          <w:rFonts w:ascii="Tahoma" w:hAnsi="Tahoma" w:cs="Tahoma"/>
        </w:rPr>
      </w:pPr>
      <w:bookmarkStart w:id="1007" w:name="_110_Office_365"/>
      <w:bookmarkStart w:id="1008" w:name="_12_Office_365"/>
      <w:bookmarkStart w:id="1009" w:name="Aps_9OfficeProPlusSubUserSL"/>
      <w:bookmarkStart w:id="1010" w:name="_Toc370981385"/>
      <w:bookmarkEnd w:id="1007"/>
      <w:bookmarkEnd w:id="1008"/>
      <w:r w:rsidRPr="004B208C">
        <w:rPr>
          <w:rFonts w:ascii="Tahoma" w:hAnsi="Tahoma" w:cs="Tahoma"/>
          <w:caps/>
          <w:color w:val="F26200"/>
          <w:sz w:val="22"/>
          <w:vertAlign w:val="superscript"/>
        </w:rPr>
        <w:t>13</w:t>
      </w:r>
      <w:r w:rsidRPr="004B208C">
        <w:rPr>
          <w:rFonts w:ascii="Tahoma" w:hAnsi="Tahoma" w:cs="Tahoma"/>
          <w:color w:val="F26200"/>
          <w:sz w:val="22"/>
        </w:rPr>
        <w:t xml:space="preserve"> Office 365 ProPlus (SL de Usuário)</w:t>
      </w:r>
      <w:bookmarkEnd w:id="1005"/>
      <w:bookmarkEnd w:id="1010"/>
    </w:p>
    <w:bookmarkEnd w:id="1009"/>
    <w:p w:rsidR="00B2182D" w:rsidRPr="004B208C" w:rsidRDefault="00B2182D" w:rsidP="00AE5A9F">
      <w:pPr>
        <w:rPr>
          <w:rFonts w:cs="Tahoma"/>
        </w:rPr>
      </w:pPr>
    </w:p>
    <w:p w:rsidR="003418C5" w:rsidRPr="004B208C" w:rsidRDefault="003418C5" w:rsidP="003418C5">
      <w:pPr>
        <w:spacing w:after="60"/>
        <w:ind w:left="720"/>
        <w:rPr>
          <w:rFonts w:cs="Tahoma"/>
        </w:rPr>
      </w:pPr>
      <w:r w:rsidRPr="004B208C">
        <w:rPr>
          <w:rFonts w:cs="Tahoma"/>
          <w:b/>
          <w:bCs/>
        </w:rPr>
        <w:t>Qualificação para Compra</w:t>
      </w:r>
    </w:p>
    <w:p w:rsidR="003418C5" w:rsidRPr="004B208C" w:rsidRDefault="003418C5" w:rsidP="003418C5">
      <w:pPr>
        <w:ind w:left="720"/>
        <w:rPr>
          <w:rFonts w:cs="Tahoma"/>
        </w:rPr>
      </w:pPr>
      <w:r w:rsidRPr="004B208C">
        <w:rPr>
          <w:rFonts w:cs="Tahoma"/>
        </w:rPr>
        <w:t>Você só poderá comprar a licença de Transição de SA do Office 365 ProPlus se você tiver uma licença de</w:t>
      </w:r>
      <w:r w:rsidR="00CC725F">
        <w:rPr>
          <w:rFonts w:cs="Tahoma"/>
        </w:rPr>
        <w:t> </w:t>
      </w:r>
      <w:r w:rsidRPr="004B208C">
        <w:rPr>
          <w:rFonts w:cs="Tahoma"/>
        </w:rPr>
        <w:t xml:space="preserve">Software Assurance do Office Professional Plus subjacente em um Contrato Enterprise ativo. </w:t>
      </w:r>
    </w:p>
    <w:p w:rsidR="003418C5" w:rsidRPr="004B208C" w:rsidRDefault="003418C5" w:rsidP="00864B8A">
      <w:pPr>
        <w:spacing w:after="60"/>
        <w:ind w:left="720"/>
        <w:rPr>
          <w:rFonts w:cs="Tahoma"/>
        </w:rPr>
      </w:pPr>
    </w:p>
    <w:p w:rsidR="005C647E" w:rsidRPr="004B208C" w:rsidRDefault="005C647E" w:rsidP="00864B8A">
      <w:pPr>
        <w:spacing w:after="60"/>
        <w:ind w:left="720"/>
        <w:rPr>
          <w:rFonts w:cs="Tahoma"/>
        </w:rPr>
      </w:pPr>
      <w:r w:rsidRPr="004B208C">
        <w:rPr>
          <w:rFonts w:cs="Tahoma"/>
          <w:b/>
        </w:rPr>
        <w:t>Campus e School</w:t>
      </w:r>
    </w:p>
    <w:p w:rsidR="005C647E" w:rsidRPr="004B208C" w:rsidRDefault="005C647E" w:rsidP="00810479">
      <w:pPr>
        <w:ind w:left="720"/>
        <w:rPr>
          <w:rFonts w:cs="Tahoma"/>
        </w:rPr>
      </w:pPr>
      <w:r w:rsidRPr="004B208C">
        <w:rPr>
          <w:rFonts w:cs="Tahoma"/>
          <w:color w:val="000000"/>
        </w:rPr>
        <w:t>Se a Instituição se inscrever na SL de Usuário do Office 365 ProPlus, ela deverá adquirir uma licença para cada Usuário Qualificado na organização da Instituição. Se a Instituição se inscrever na opção Student na SL</w:t>
      </w:r>
      <w:r w:rsidR="009078BB">
        <w:rPr>
          <w:rFonts w:cs="Tahoma"/>
          <w:color w:val="000000"/>
        </w:rPr>
        <w:t> </w:t>
      </w:r>
      <w:r w:rsidRPr="004B208C">
        <w:rPr>
          <w:rFonts w:cs="Tahoma"/>
          <w:color w:val="000000"/>
        </w:rPr>
        <w:t>de Usuário do Office 365 ProPlus, ela deverá adquirir uma licença para cada Aluno na Organização.</w:t>
      </w:r>
    </w:p>
    <w:p w:rsidR="005C647E" w:rsidRPr="004B208C" w:rsidRDefault="005C647E" w:rsidP="00810479">
      <w:pPr>
        <w:ind w:left="720"/>
        <w:rPr>
          <w:rFonts w:cs="Tahoma"/>
        </w:rPr>
      </w:pPr>
    </w:p>
    <w:p w:rsidR="008368B4" w:rsidRPr="004B208C" w:rsidRDefault="008368B4" w:rsidP="008368B4">
      <w:pPr>
        <w:ind w:left="720"/>
        <w:rPr>
          <w:rFonts w:cs="Tahoma"/>
        </w:rPr>
      </w:pPr>
      <w:r w:rsidRPr="004B208C">
        <w:rPr>
          <w:rFonts w:cs="Tahoma"/>
          <w:b/>
          <w:bCs/>
          <w:szCs w:val="18"/>
        </w:rPr>
        <w:t>Uso do Office Professional Plus 2010 ou Office para Mac Standard 2011</w:t>
      </w:r>
    </w:p>
    <w:p w:rsidR="008368B4" w:rsidRPr="004B208C" w:rsidRDefault="008368B4" w:rsidP="008368B4">
      <w:pPr>
        <w:ind w:left="720"/>
        <w:rPr>
          <w:rFonts w:cs="Tahoma"/>
        </w:rPr>
      </w:pPr>
      <w:r w:rsidRPr="004B208C">
        <w:rPr>
          <w:rFonts w:cs="Tahoma"/>
          <w:bCs/>
          <w:szCs w:val="18"/>
        </w:rPr>
        <w:t>Com o lançamento do serviço atualizado para Office 365 ProPlus, seu direito de qualificação de mídia de usar o Office Professional Plus 2010 ou Office para Mac Standard 2011 em vez do Office 365 ProPlus de acordo com as assinaturas ativas foi descontinuado. Você tem um ano, até 28 de fevereiro de</w:t>
      </w:r>
      <w:r w:rsidR="00172F11">
        <w:rPr>
          <w:rFonts w:cs="Tahoma"/>
          <w:bCs/>
          <w:szCs w:val="18"/>
        </w:rPr>
        <w:t xml:space="preserve"> </w:t>
      </w:r>
      <w:r w:rsidRPr="004B208C">
        <w:rPr>
          <w:rFonts w:cs="Tahoma"/>
          <w:bCs/>
          <w:szCs w:val="18"/>
        </w:rPr>
        <w:t>2014 para atualizar seus dispositivos para a mídia Office 365 ProPlus.</w:t>
      </w:r>
    </w:p>
    <w:p w:rsidR="00934C9A" w:rsidRPr="004B208C" w:rsidRDefault="00934C9A" w:rsidP="008368B4">
      <w:pPr>
        <w:ind w:left="720"/>
        <w:rPr>
          <w:rFonts w:cs="Tahoma"/>
        </w:rPr>
      </w:pPr>
      <w:r w:rsidRPr="004B208C">
        <w:rPr>
          <w:rFonts w:cs="Tahoma"/>
          <w:bCs/>
          <w:szCs w:val="18"/>
        </w:rPr>
        <w:lastRenderedPageBreak/>
        <w:t>* Consulte a Lista de Produtos de fevereiro de 2013 para obter os termos completos dos direitos de qualificação de mídia para Assinatura do Office Professional Plus</w:t>
      </w:r>
    </w:p>
    <w:p w:rsidR="008368B4" w:rsidRPr="004B208C" w:rsidRDefault="008368B4" w:rsidP="008368B4">
      <w:pPr>
        <w:ind w:left="720"/>
        <w:rPr>
          <w:rFonts w:cs="Tahoma"/>
        </w:rPr>
      </w:pPr>
    </w:p>
    <w:p w:rsidR="008368B4" w:rsidRPr="004B208C" w:rsidRDefault="008368B4" w:rsidP="008368B4">
      <w:pPr>
        <w:spacing w:after="60"/>
        <w:ind w:left="720"/>
        <w:rPr>
          <w:rFonts w:cs="Tahoma"/>
        </w:rPr>
      </w:pPr>
      <w:r w:rsidRPr="004B208C">
        <w:rPr>
          <w:rFonts w:cs="Tahoma"/>
          <w:b/>
        </w:rPr>
        <w:t>Qualificação de Mídia com Serviços de Área de Trabalho Remota (RDS)</w:t>
      </w:r>
    </w:p>
    <w:p w:rsidR="008368B4" w:rsidRPr="004B208C" w:rsidRDefault="008368B4" w:rsidP="008368B4">
      <w:pPr>
        <w:ind w:left="720"/>
        <w:rPr>
          <w:rFonts w:cs="Tahoma"/>
        </w:rPr>
      </w:pPr>
      <w:r w:rsidRPr="004B208C">
        <w:rPr>
          <w:rFonts w:cs="Tahoma"/>
          <w:szCs w:val="18"/>
        </w:rPr>
        <w:t>Se o usuário para o qual você atribuiu uma licença do Office 365 ProPlus usar o software em um servidor de</w:t>
      </w:r>
      <w:r w:rsidR="009078BB">
        <w:rPr>
          <w:rFonts w:cs="Tahoma"/>
          <w:szCs w:val="18"/>
        </w:rPr>
        <w:t> </w:t>
      </w:r>
      <w:r w:rsidRPr="004B208C">
        <w:rPr>
          <w:rFonts w:cs="Tahoma"/>
          <w:szCs w:val="18"/>
        </w:rPr>
        <w:t>rede com a função RDS ativada, em vez de instalar uma cópia do software fornecido com o Office 365 ProPlus em um dos cinco dispositivos permitidos de acordo com os Direitos de Uso do Produto para Office 365 ProPlus, esse usuário poderá 1) instalar uma cópia do software Office Professional Plus 2013 em um servidor de rede e 2) acessar o software Office Professional Plus 2013 de qualquer dispositivo.</w:t>
      </w:r>
      <w:r w:rsidR="00172F11">
        <w:rPr>
          <w:rFonts w:cs="Tahoma"/>
          <w:szCs w:val="18"/>
        </w:rPr>
        <w:t xml:space="preserve"> </w:t>
      </w:r>
      <w:r w:rsidRPr="004B208C">
        <w:rPr>
          <w:rFonts w:cs="Tahoma"/>
          <w:szCs w:val="18"/>
        </w:rPr>
        <w:t>Mediante o</w:t>
      </w:r>
      <w:r w:rsidR="009078BB">
        <w:rPr>
          <w:rFonts w:cs="Tahoma"/>
          <w:szCs w:val="18"/>
        </w:rPr>
        <w:t> </w:t>
      </w:r>
      <w:r w:rsidRPr="004B208C">
        <w:rPr>
          <w:rFonts w:cs="Tahoma"/>
          <w:szCs w:val="18"/>
        </w:rPr>
        <w:t xml:space="preserve">término da sua assinatura do Office 365 ProPlus, você deverá desinstalar o software Office Professional Plus 2013 do servidor de rede. </w:t>
      </w:r>
    </w:p>
    <w:p w:rsidR="00B2182D" w:rsidRPr="004B208C" w:rsidRDefault="00B2182D" w:rsidP="00810479">
      <w:pPr>
        <w:ind w:left="720"/>
        <w:rPr>
          <w:rFonts w:cs="Tahoma"/>
        </w:rPr>
      </w:pPr>
    </w:p>
    <w:p w:rsidR="00ED6F81" w:rsidRPr="004B208C" w:rsidRDefault="00ED6F81" w:rsidP="00864B8A">
      <w:pPr>
        <w:spacing w:after="60"/>
        <w:ind w:left="720"/>
        <w:rPr>
          <w:rFonts w:cs="Tahoma"/>
        </w:rPr>
      </w:pPr>
      <w:r w:rsidRPr="004B208C">
        <w:rPr>
          <w:rFonts w:cs="Tahoma"/>
          <w:b/>
        </w:rPr>
        <w:t>Qualificação de Mídias com o Windows To Go Rights</w:t>
      </w:r>
    </w:p>
    <w:p w:rsidR="008368B4" w:rsidRPr="004B208C" w:rsidRDefault="008368B4" w:rsidP="008368B4">
      <w:pPr>
        <w:ind w:left="720"/>
        <w:rPr>
          <w:rFonts w:cs="Tahoma"/>
        </w:rPr>
      </w:pPr>
      <w:r w:rsidRPr="004B208C">
        <w:rPr>
          <w:rFonts w:cs="Tahoma"/>
        </w:rPr>
        <w:t>C</w:t>
      </w:r>
      <w:r w:rsidRPr="004B208C">
        <w:rPr>
          <w:rFonts w:cs="Tahoma"/>
          <w:szCs w:val="18"/>
        </w:rPr>
        <w:t>omo parte da introdução ao Windows To Go Rights, se o usuário ao qual você atribuiu uma licença do Office 365 ProPlus invocar o direito de usar o software sob o Windows to Go Rights, em vez de instalar uma cópia do software fornecido com o Office 365 ProPlus em um dos cinco dispositivos permitidos de acordo com os Direitos de Uso do Produto para Office 365 ProPlus, esse usuário poderá 1) instalar uma cópia do</w:t>
      </w:r>
      <w:r w:rsidR="009078BB">
        <w:rPr>
          <w:rFonts w:cs="Tahoma"/>
          <w:szCs w:val="18"/>
        </w:rPr>
        <w:t> </w:t>
      </w:r>
      <w:r w:rsidRPr="004B208C">
        <w:rPr>
          <w:rFonts w:cs="Tahoma"/>
          <w:szCs w:val="18"/>
        </w:rPr>
        <w:t xml:space="preserve">software Office Professional </w:t>
      </w:r>
      <w:r w:rsidRPr="004B208C">
        <w:rPr>
          <w:rFonts w:cs="Tahoma"/>
          <w:color w:val="000000" w:themeColor="text1"/>
          <w:szCs w:val="18"/>
        </w:rPr>
        <w:t>Plus 2013 na unidade USB usada para o Windows to Go Rights e 2) usar o</w:t>
      </w:r>
      <w:r w:rsidR="009078BB">
        <w:rPr>
          <w:rFonts w:cs="Tahoma"/>
          <w:color w:val="000000" w:themeColor="text1"/>
          <w:szCs w:val="18"/>
        </w:rPr>
        <w:t> </w:t>
      </w:r>
      <w:r w:rsidRPr="004B208C">
        <w:rPr>
          <w:rFonts w:cs="Tahoma"/>
          <w:color w:val="000000" w:themeColor="text1"/>
          <w:szCs w:val="18"/>
        </w:rPr>
        <w:t xml:space="preserve">software Office Professional Plus 2013 </w:t>
      </w:r>
      <w:r w:rsidRPr="004B208C">
        <w:rPr>
          <w:rFonts w:cs="Tahoma"/>
          <w:szCs w:val="18"/>
        </w:rPr>
        <w:t>nessa unidade USB em qualquer dispositivo licenciado. Mediante o</w:t>
      </w:r>
      <w:r w:rsidR="009078BB">
        <w:rPr>
          <w:rFonts w:cs="Tahoma"/>
          <w:szCs w:val="18"/>
        </w:rPr>
        <w:t> </w:t>
      </w:r>
      <w:r w:rsidRPr="004B208C">
        <w:rPr>
          <w:rFonts w:cs="Tahoma"/>
          <w:szCs w:val="18"/>
        </w:rPr>
        <w:t xml:space="preserve">término da sua assinatura do Office 365 Plus, você deverá desinstalar o software Office Professional Plus 2013 da unidade USB. </w:t>
      </w:r>
    </w:p>
    <w:p w:rsidR="00ED6F81" w:rsidRPr="004B208C" w:rsidRDefault="00ED6F81" w:rsidP="00810479">
      <w:pPr>
        <w:ind w:left="720"/>
        <w:rPr>
          <w:rFonts w:cs="Tahoma"/>
        </w:rPr>
      </w:pPr>
    </w:p>
    <w:p w:rsidR="00B2182D" w:rsidRPr="004B208C" w:rsidRDefault="00B2182D" w:rsidP="00864B8A">
      <w:pPr>
        <w:spacing w:after="60"/>
        <w:ind w:left="720"/>
        <w:rPr>
          <w:rFonts w:cs="Tahoma"/>
        </w:rPr>
      </w:pPr>
      <w:r w:rsidRPr="004B208C">
        <w:rPr>
          <w:rFonts w:cs="Tahoma"/>
          <w:b/>
        </w:rPr>
        <w:t>Direitos de Downgrade</w:t>
      </w:r>
    </w:p>
    <w:p w:rsidR="008368B4" w:rsidRPr="004B208C" w:rsidRDefault="008368B4" w:rsidP="008368B4">
      <w:pPr>
        <w:ind w:left="720"/>
        <w:rPr>
          <w:rFonts w:cs="Tahoma"/>
        </w:rPr>
      </w:pPr>
      <w:r w:rsidRPr="004B208C">
        <w:rPr>
          <w:rFonts w:cs="Tahoma"/>
          <w:bCs/>
          <w:szCs w:val="18"/>
        </w:rPr>
        <w:t xml:space="preserve">O serviço Office 365 ProPlus não possui direitos de downgrade. Para obter mais informações sobre os requisitos de atualização dos Serviços Online, consulte os Direitos de Uso de Produto (PUR) no site </w:t>
      </w:r>
      <w:hyperlink r:id="rId37" w:history="1">
        <w:r w:rsidR="009078BB">
          <w:rPr>
            <w:rStyle w:val="Hyperlink"/>
            <w:rFonts w:cs="Tahoma"/>
            <w:bCs/>
            <w:szCs w:val="18"/>
          </w:rPr>
          <w:t>www.microsoftvolumelicensing.com/userights/PUR.aspx</w:t>
        </w:r>
      </w:hyperlink>
    </w:p>
    <w:p w:rsidR="00AE5A9F" w:rsidRPr="004B208C" w:rsidRDefault="00AE5A9F" w:rsidP="00AE5A9F">
      <w:pPr>
        <w:rPr>
          <w:rFonts w:cs="Tahoma"/>
        </w:rPr>
      </w:pPr>
      <w:bookmarkStart w:id="1011" w:name="Srv_9OutlookMac2011"/>
    </w:p>
    <w:p w:rsidR="00AE5A9F" w:rsidRPr="004B208C" w:rsidRDefault="00AE5A9F" w:rsidP="00AE5A9F">
      <w:pPr>
        <w:rPr>
          <w:rFonts w:cs="Tahoma"/>
        </w:rPr>
      </w:pPr>
    </w:p>
    <w:p w:rsidR="00704723" w:rsidRPr="004B208C" w:rsidRDefault="00A560B6" w:rsidP="00704723">
      <w:pPr>
        <w:pStyle w:val="Heading3"/>
        <w:rPr>
          <w:rFonts w:ascii="Tahoma" w:hAnsi="Tahoma" w:cs="Tahoma"/>
        </w:rPr>
      </w:pPr>
      <w:bookmarkStart w:id="1012" w:name="_121_Outlook_for"/>
      <w:bookmarkStart w:id="1013" w:name="_13_Outlook_for"/>
      <w:bookmarkStart w:id="1014" w:name="_Toc336338270"/>
      <w:bookmarkStart w:id="1015" w:name="_Toc370981386"/>
      <w:bookmarkEnd w:id="1012"/>
      <w:bookmarkEnd w:id="1013"/>
      <w:r w:rsidRPr="004B208C">
        <w:rPr>
          <w:rFonts w:ascii="Tahoma" w:hAnsi="Tahoma" w:cs="Tahoma"/>
          <w:caps/>
          <w:color w:val="F66400"/>
          <w:sz w:val="22"/>
          <w:vertAlign w:val="superscript"/>
        </w:rPr>
        <w:t>14</w:t>
      </w:r>
      <w:r w:rsidRPr="004B208C">
        <w:rPr>
          <w:rFonts w:ascii="Tahoma" w:hAnsi="Tahoma" w:cs="Tahoma"/>
          <w:color w:val="F66400"/>
          <w:sz w:val="22"/>
        </w:rPr>
        <w:t xml:space="preserve"> Outlook para Mac 2011</w:t>
      </w:r>
      <w:bookmarkEnd w:id="1014"/>
      <w:bookmarkEnd w:id="1015"/>
      <w:r w:rsidRPr="004B208C">
        <w:rPr>
          <w:rFonts w:ascii="Tahoma" w:hAnsi="Tahoma" w:cs="Tahoma"/>
          <w:color w:val="F66400"/>
          <w:sz w:val="22"/>
        </w:rPr>
        <w:t xml:space="preserve"> </w:t>
      </w:r>
    </w:p>
    <w:bookmarkEnd w:id="1011"/>
    <w:p w:rsidR="00704723" w:rsidRPr="004B208C" w:rsidRDefault="00704723" w:rsidP="00AE5A9F">
      <w:pPr>
        <w:rPr>
          <w:rFonts w:cs="Tahoma"/>
        </w:rPr>
      </w:pPr>
    </w:p>
    <w:p w:rsidR="00704723" w:rsidRPr="004B208C" w:rsidRDefault="00704723" w:rsidP="00864B8A">
      <w:pPr>
        <w:spacing w:after="60"/>
        <w:ind w:left="720"/>
        <w:rPr>
          <w:rFonts w:cs="Tahoma"/>
        </w:rPr>
      </w:pPr>
      <w:r w:rsidRPr="004B208C">
        <w:rPr>
          <w:rFonts w:cs="Tahoma"/>
          <w:b/>
        </w:rPr>
        <w:t>Caminho de Migração do Software Assurance para o Entourage para Mac 2008</w:t>
      </w:r>
    </w:p>
    <w:p w:rsidR="00223A77" w:rsidRPr="004B208C" w:rsidRDefault="00704723" w:rsidP="00AE5A9F">
      <w:pPr>
        <w:adjustRightInd w:val="0"/>
        <w:ind w:left="720"/>
        <w:textAlignment w:val="baseline"/>
        <w:rPr>
          <w:rFonts w:cs="Tahoma"/>
        </w:rPr>
      </w:pPr>
      <w:r w:rsidRPr="004B208C">
        <w:rPr>
          <w:rFonts w:cs="Tahoma"/>
          <w:szCs w:val="20"/>
        </w:rPr>
        <w:t>A versão substituta do Entourage para Mac</w:t>
      </w:r>
      <w:bookmarkStart w:id="1016" w:name="Srv_8Project2010Pro"/>
      <w:r w:rsidRPr="004B208C">
        <w:rPr>
          <w:rFonts w:cs="Tahoma"/>
          <w:szCs w:val="20"/>
        </w:rPr>
        <w:t xml:space="preserve"> 2008 é o Outlook para Mac 2011.</w:t>
      </w:r>
    </w:p>
    <w:p w:rsidR="00AE5A9F" w:rsidRPr="004B208C" w:rsidRDefault="00AE5A9F" w:rsidP="00AE5A9F">
      <w:pPr>
        <w:adjustRightInd w:val="0"/>
        <w:textAlignment w:val="baseline"/>
        <w:rPr>
          <w:rFonts w:cs="Tahoma"/>
        </w:rPr>
      </w:pPr>
    </w:p>
    <w:p w:rsidR="00AE5A9F" w:rsidRDefault="00AE5A9F" w:rsidP="00AE5A9F">
      <w:pPr>
        <w:adjustRightInd w:val="0"/>
        <w:textAlignment w:val="baseline"/>
        <w:rPr>
          <w:rFonts w:cs="Tahoma"/>
        </w:rPr>
      </w:pPr>
    </w:p>
    <w:p w:rsidR="00223A77" w:rsidRPr="004B208C" w:rsidRDefault="00A560B6" w:rsidP="00223A77">
      <w:pPr>
        <w:pStyle w:val="Heading3"/>
        <w:rPr>
          <w:rFonts w:ascii="Tahoma" w:hAnsi="Tahoma" w:cs="Tahoma"/>
        </w:rPr>
      </w:pPr>
      <w:bookmarkStart w:id="1017" w:name="_132_Project_2013"/>
      <w:bookmarkStart w:id="1018" w:name="_14_Project_Professional"/>
      <w:bookmarkStart w:id="1019" w:name="_Toc336338271"/>
      <w:bookmarkStart w:id="1020" w:name="_Toc254806116"/>
      <w:bookmarkStart w:id="1021" w:name="Srv_Project2010Pro"/>
      <w:bookmarkStart w:id="1022" w:name="Aps_8Project2010Pro"/>
      <w:bookmarkStart w:id="1023" w:name="_Toc370981387"/>
      <w:bookmarkEnd w:id="1017"/>
      <w:bookmarkEnd w:id="1018"/>
      <w:r w:rsidRPr="004B208C">
        <w:rPr>
          <w:rFonts w:ascii="Tahoma" w:hAnsi="Tahoma" w:cs="Tahoma"/>
          <w:caps/>
          <w:color w:val="F66400"/>
          <w:sz w:val="22"/>
          <w:vertAlign w:val="superscript"/>
        </w:rPr>
        <w:t>15</w:t>
      </w:r>
      <w:r w:rsidRPr="004B208C">
        <w:rPr>
          <w:rFonts w:ascii="Tahoma" w:hAnsi="Tahoma" w:cs="Tahoma"/>
          <w:color w:val="F66400"/>
          <w:sz w:val="22"/>
        </w:rPr>
        <w:t xml:space="preserve"> Project Professional 2013</w:t>
      </w:r>
      <w:bookmarkEnd w:id="1019"/>
      <w:bookmarkEnd w:id="1023"/>
      <w:r w:rsidRPr="004B208C">
        <w:rPr>
          <w:rFonts w:ascii="Tahoma" w:hAnsi="Tahoma" w:cs="Tahoma"/>
          <w:color w:val="F66400"/>
          <w:sz w:val="22"/>
        </w:rPr>
        <w:t xml:space="preserve"> </w:t>
      </w:r>
      <w:bookmarkEnd w:id="1020"/>
    </w:p>
    <w:bookmarkEnd w:id="1016"/>
    <w:bookmarkEnd w:id="1021"/>
    <w:bookmarkEnd w:id="1022"/>
    <w:p w:rsidR="00223A77" w:rsidRPr="004B208C" w:rsidRDefault="00223A77" w:rsidP="00AE5A9F">
      <w:pPr>
        <w:ind w:left="720"/>
        <w:rPr>
          <w:rFonts w:cs="Tahoma"/>
        </w:rPr>
      </w:pPr>
    </w:p>
    <w:p w:rsidR="00223A77" w:rsidRPr="004B208C" w:rsidRDefault="00223A77" w:rsidP="00864B8A">
      <w:pPr>
        <w:spacing w:after="60"/>
        <w:ind w:left="720"/>
        <w:rPr>
          <w:rFonts w:cs="Tahoma"/>
        </w:rPr>
      </w:pPr>
      <w:r w:rsidRPr="004B208C">
        <w:rPr>
          <w:rFonts w:cs="Tahoma"/>
          <w:b/>
        </w:rPr>
        <w:t>CAL do Project Server Complementar</w:t>
      </w:r>
    </w:p>
    <w:p w:rsidR="00223A77" w:rsidRPr="004B208C" w:rsidRDefault="00223A77" w:rsidP="00AE5A9F">
      <w:pPr>
        <w:pStyle w:val="EndnoteText"/>
        <w:ind w:left="720"/>
        <w:rPr>
          <w:rFonts w:ascii="Tahoma" w:hAnsi="Tahoma" w:cs="Tahoma"/>
        </w:rPr>
      </w:pPr>
      <w:r w:rsidRPr="004B208C">
        <w:rPr>
          <w:rStyle w:val="EndnoteTextChar"/>
          <w:rFonts w:ascii="Tahoma" w:hAnsi="Tahoma" w:cs="Tahoma"/>
          <w:sz w:val="18"/>
        </w:rPr>
        <w:t>Os clientes que licenciarem o Project Professional 2013 terão uma CAL do Dispositivo do Project Server 2013. O direito de acesso ao Project Server 2013 sob essa CAL se encerrará no término da Licença do Project Professional correspondente.</w:t>
      </w:r>
    </w:p>
    <w:p w:rsidR="00223A77" w:rsidRPr="009078BB" w:rsidRDefault="00223A77" w:rsidP="00AE5A9F">
      <w:pPr>
        <w:pStyle w:val="EndnoteText"/>
        <w:ind w:left="720"/>
        <w:rPr>
          <w:rFonts w:ascii="Tahoma" w:hAnsi="Tahoma" w:cs="Tahoma"/>
          <w:sz w:val="18"/>
          <w:szCs w:val="18"/>
        </w:rPr>
      </w:pPr>
    </w:p>
    <w:p w:rsidR="00223A77" w:rsidRPr="009078BB" w:rsidRDefault="00223A77" w:rsidP="00AE5A9F">
      <w:pPr>
        <w:pStyle w:val="EndnoteText"/>
        <w:ind w:left="720"/>
        <w:rPr>
          <w:rFonts w:ascii="Tahoma" w:hAnsi="Tahoma" w:cs="Tahoma"/>
          <w:sz w:val="18"/>
          <w:szCs w:val="18"/>
        </w:rPr>
      </w:pPr>
      <w:r w:rsidRPr="009078BB">
        <w:rPr>
          <w:rStyle w:val="EndnoteTextChar"/>
          <w:rFonts w:ascii="Tahoma" w:hAnsi="Tahoma" w:cs="Tahoma"/>
          <w:sz w:val="18"/>
          <w:szCs w:val="18"/>
        </w:rPr>
        <w:t>Os clientes com Software Assurance ativo para a licença do Project Professional terão a cobertura do</w:t>
      </w:r>
      <w:r w:rsidR="009078BB">
        <w:rPr>
          <w:rStyle w:val="EndnoteTextChar"/>
          <w:rFonts w:ascii="Tahoma" w:hAnsi="Tahoma" w:cs="Tahoma"/>
          <w:sz w:val="18"/>
          <w:szCs w:val="18"/>
        </w:rPr>
        <w:t> </w:t>
      </w:r>
      <w:r w:rsidRPr="009078BB">
        <w:rPr>
          <w:rStyle w:val="EndnoteTextChar"/>
          <w:rFonts w:ascii="Tahoma" w:hAnsi="Tahoma" w:cs="Tahoma"/>
          <w:sz w:val="18"/>
          <w:szCs w:val="18"/>
        </w:rPr>
        <w:t>Software Assurance para suas CALs do Project Server complementares. Essa cobertura se encerrará no</w:t>
      </w:r>
      <w:r w:rsidR="009078BB">
        <w:rPr>
          <w:rStyle w:val="EndnoteTextChar"/>
          <w:rFonts w:ascii="Tahoma" w:hAnsi="Tahoma" w:cs="Tahoma"/>
          <w:sz w:val="18"/>
          <w:szCs w:val="18"/>
        </w:rPr>
        <w:t> </w:t>
      </w:r>
      <w:r w:rsidRPr="009078BB">
        <w:rPr>
          <w:rStyle w:val="EndnoteTextChar"/>
          <w:rFonts w:ascii="Tahoma" w:hAnsi="Tahoma" w:cs="Tahoma"/>
          <w:sz w:val="18"/>
          <w:szCs w:val="18"/>
        </w:rPr>
        <w:t>término da cobertura do Project Professional correspondente.</w:t>
      </w:r>
    </w:p>
    <w:p w:rsidR="00223A77" w:rsidRPr="009078BB" w:rsidRDefault="00223A77" w:rsidP="00AE5A9F">
      <w:pPr>
        <w:pStyle w:val="EndnoteText"/>
        <w:ind w:left="720"/>
        <w:rPr>
          <w:rFonts w:ascii="Tahoma" w:hAnsi="Tahoma" w:cs="Tahoma"/>
          <w:sz w:val="18"/>
          <w:szCs w:val="18"/>
        </w:rPr>
      </w:pPr>
    </w:p>
    <w:p w:rsidR="00223A77" w:rsidRPr="009078BB" w:rsidRDefault="00223A77" w:rsidP="00AE5A9F">
      <w:pPr>
        <w:pStyle w:val="EndnoteText"/>
        <w:ind w:left="720"/>
        <w:rPr>
          <w:rFonts w:ascii="Tahoma" w:hAnsi="Tahoma" w:cs="Tahoma"/>
          <w:sz w:val="18"/>
          <w:szCs w:val="18"/>
        </w:rPr>
      </w:pPr>
      <w:r w:rsidRPr="009078BB">
        <w:rPr>
          <w:rStyle w:val="EndnoteTextChar"/>
          <w:rFonts w:ascii="Tahoma" w:hAnsi="Tahoma" w:cs="Tahoma"/>
          <w:sz w:val="18"/>
          <w:szCs w:val="18"/>
        </w:rPr>
        <w:t>Consulte as notas de condição do produto do Project Server para obter direitos adicionais aplicáveis a</w:t>
      </w:r>
      <w:r w:rsidR="008B1045">
        <w:rPr>
          <w:rStyle w:val="EndnoteTextChar"/>
          <w:rFonts w:ascii="Tahoma" w:hAnsi="Tahoma" w:cs="Tahoma"/>
          <w:sz w:val="18"/>
          <w:szCs w:val="18"/>
        </w:rPr>
        <w:t> </w:t>
      </w:r>
      <w:r w:rsidRPr="009078BB">
        <w:rPr>
          <w:rStyle w:val="EndnoteTextChar"/>
          <w:rFonts w:ascii="Tahoma" w:hAnsi="Tahoma" w:cs="Tahoma"/>
          <w:sz w:val="18"/>
          <w:szCs w:val="18"/>
        </w:rPr>
        <w:t>essas</w:t>
      </w:r>
      <w:r w:rsidR="008B1045">
        <w:rPr>
          <w:rStyle w:val="EndnoteTextChar"/>
          <w:rFonts w:ascii="Tahoma" w:hAnsi="Tahoma" w:cs="Tahoma"/>
          <w:sz w:val="18"/>
          <w:szCs w:val="18"/>
        </w:rPr>
        <w:t> </w:t>
      </w:r>
      <w:r w:rsidRPr="009078BB">
        <w:rPr>
          <w:rStyle w:val="EndnoteTextChar"/>
          <w:rFonts w:ascii="Tahoma" w:hAnsi="Tahoma" w:cs="Tahoma"/>
          <w:sz w:val="18"/>
          <w:szCs w:val="18"/>
        </w:rPr>
        <w:t>CALs.</w:t>
      </w:r>
    </w:p>
    <w:p w:rsidR="00AE5A9F" w:rsidRPr="009078BB" w:rsidRDefault="00AE5A9F" w:rsidP="00AE5A9F">
      <w:pPr>
        <w:rPr>
          <w:rFonts w:cs="Tahoma"/>
          <w:szCs w:val="18"/>
        </w:rPr>
      </w:pPr>
    </w:p>
    <w:p w:rsidR="00AE5A9F" w:rsidRPr="004B208C" w:rsidRDefault="00AE5A9F" w:rsidP="00AE5A9F">
      <w:pPr>
        <w:rPr>
          <w:rFonts w:cs="Tahoma"/>
        </w:rPr>
      </w:pPr>
    </w:p>
    <w:p w:rsidR="002202DB" w:rsidRPr="004B208C" w:rsidRDefault="00A560B6" w:rsidP="00D824E9">
      <w:pPr>
        <w:pStyle w:val="Heading3"/>
        <w:keepNext/>
        <w:rPr>
          <w:rFonts w:ascii="Tahoma" w:hAnsi="Tahoma" w:cs="Tahoma"/>
        </w:rPr>
      </w:pPr>
      <w:bookmarkStart w:id="1024" w:name="_143_Project_Pro"/>
      <w:bookmarkStart w:id="1025" w:name="_15_Project_Pro"/>
      <w:bookmarkStart w:id="1026" w:name="_Toc370981388"/>
      <w:bookmarkEnd w:id="1024"/>
      <w:bookmarkEnd w:id="1025"/>
      <w:r w:rsidRPr="004B208C">
        <w:rPr>
          <w:rFonts w:ascii="Tahoma" w:hAnsi="Tahoma" w:cs="Tahoma"/>
          <w:caps/>
          <w:color w:val="F66400"/>
          <w:sz w:val="22"/>
          <w:vertAlign w:val="superscript"/>
        </w:rPr>
        <w:t xml:space="preserve">16 </w:t>
      </w:r>
      <w:r w:rsidRPr="004B208C">
        <w:rPr>
          <w:rFonts w:ascii="Tahoma" w:hAnsi="Tahoma" w:cs="Tahoma"/>
          <w:color w:val="F66400"/>
          <w:sz w:val="22"/>
        </w:rPr>
        <w:t>Project Pro para Office 365</w:t>
      </w:r>
      <w:bookmarkEnd w:id="1026"/>
      <w:r w:rsidRPr="004B208C">
        <w:rPr>
          <w:rFonts w:ascii="Tahoma" w:hAnsi="Tahoma" w:cs="Tahoma"/>
          <w:color w:val="F66400"/>
          <w:sz w:val="22"/>
        </w:rPr>
        <w:t xml:space="preserve"> </w:t>
      </w:r>
    </w:p>
    <w:p w:rsidR="00A32FE7" w:rsidRPr="004B208C" w:rsidRDefault="00A32FE7" w:rsidP="00D824E9">
      <w:pPr>
        <w:keepNext/>
        <w:rPr>
          <w:rFonts w:cs="Tahoma"/>
        </w:rPr>
      </w:pPr>
    </w:p>
    <w:p w:rsidR="002202DB" w:rsidRPr="004B208C" w:rsidRDefault="002202DB" w:rsidP="002202DB">
      <w:pPr>
        <w:spacing w:after="60"/>
        <w:ind w:left="720"/>
        <w:rPr>
          <w:rFonts w:cs="Tahoma"/>
        </w:rPr>
      </w:pPr>
      <w:r w:rsidRPr="004B208C">
        <w:rPr>
          <w:rFonts w:cs="Tahoma"/>
          <w:b/>
        </w:rPr>
        <w:t>Qualificação de Mídia com Serviços de Área de Trabalho Remota (RDS)</w:t>
      </w:r>
    </w:p>
    <w:p w:rsidR="002202DB" w:rsidRPr="004B208C" w:rsidRDefault="002202DB" w:rsidP="002202DB">
      <w:pPr>
        <w:ind w:left="720"/>
        <w:rPr>
          <w:rFonts w:cs="Tahoma"/>
        </w:rPr>
      </w:pPr>
      <w:r w:rsidRPr="004B208C">
        <w:rPr>
          <w:rFonts w:cs="Tahoma"/>
          <w:szCs w:val="18"/>
        </w:rPr>
        <w:t xml:space="preserve">Se o usuário para o qual você atribuiu uma licença do Project Pro para Office 365 usar o software em um servidor de rede com a função RDS ativada, em vez de instalar uma cópia do software fornecido com o Project Pro para Office 365 em um dos cinco dispositivos permitidos de acordo com os Direitos de Uso do Produto para Project Pro para Office 365, esse usuário poderá 1) instalar uma cópia do software Project Professional 2013 em um servidor de rede e 2) acessar o software Project Professional 2013 de qualquer </w:t>
      </w:r>
      <w:r w:rsidRPr="004B208C">
        <w:rPr>
          <w:rFonts w:cs="Tahoma"/>
          <w:szCs w:val="18"/>
        </w:rPr>
        <w:lastRenderedPageBreak/>
        <w:t>dispositivo.</w:t>
      </w:r>
      <w:r w:rsidR="00172F11">
        <w:rPr>
          <w:rFonts w:cs="Tahoma"/>
          <w:szCs w:val="18"/>
        </w:rPr>
        <w:t xml:space="preserve"> </w:t>
      </w:r>
      <w:r w:rsidRPr="004B208C">
        <w:rPr>
          <w:rFonts w:cs="Tahoma"/>
          <w:szCs w:val="18"/>
        </w:rPr>
        <w:t>Mediante o término da sua assinatura do Project Pro para Office 365, você deverá desinstalar o</w:t>
      </w:r>
      <w:r w:rsidR="009078BB">
        <w:rPr>
          <w:rFonts w:cs="Tahoma"/>
          <w:szCs w:val="18"/>
        </w:rPr>
        <w:t> </w:t>
      </w:r>
      <w:r w:rsidRPr="004B208C">
        <w:rPr>
          <w:rFonts w:cs="Tahoma"/>
          <w:szCs w:val="18"/>
        </w:rPr>
        <w:t xml:space="preserve">software Project Professional 2013 do servidor de rede. </w:t>
      </w:r>
    </w:p>
    <w:p w:rsidR="002202DB" w:rsidRPr="004B208C" w:rsidRDefault="002202DB" w:rsidP="002202DB">
      <w:pPr>
        <w:ind w:left="720"/>
        <w:rPr>
          <w:rFonts w:cs="Tahoma"/>
        </w:rPr>
      </w:pPr>
    </w:p>
    <w:p w:rsidR="002202DB" w:rsidRPr="004B208C" w:rsidRDefault="002202DB" w:rsidP="002202DB">
      <w:pPr>
        <w:spacing w:after="60"/>
        <w:ind w:left="720"/>
        <w:rPr>
          <w:rFonts w:cs="Tahoma"/>
        </w:rPr>
      </w:pPr>
      <w:r w:rsidRPr="004B208C">
        <w:rPr>
          <w:rFonts w:cs="Tahoma"/>
          <w:b/>
        </w:rPr>
        <w:t>Direitos de Downgrade</w:t>
      </w:r>
    </w:p>
    <w:p w:rsidR="002202DB" w:rsidRPr="004B208C" w:rsidRDefault="002202DB" w:rsidP="002202DB">
      <w:pPr>
        <w:ind w:left="720"/>
        <w:rPr>
          <w:rFonts w:cs="Tahoma"/>
        </w:rPr>
      </w:pPr>
      <w:r w:rsidRPr="004B208C">
        <w:rPr>
          <w:rFonts w:cs="Tahoma"/>
          <w:bCs/>
          <w:szCs w:val="18"/>
        </w:rPr>
        <w:t xml:space="preserve">O serviço Project Pro para Office 365 não possui direitos de downgrade. Para obter mais informações sobre os requisitos de atualização dos Serviços Online, consulte o documento de Direitos de Uso de Produto (PUR) no site </w:t>
      </w:r>
      <w:hyperlink r:id="rId38" w:history="1">
        <w:r w:rsidR="009078BB" w:rsidRPr="00ED25D5">
          <w:rPr>
            <w:rStyle w:val="Hyperlink"/>
            <w:rFonts w:cs="Tahoma"/>
            <w:bCs/>
            <w:szCs w:val="18"/>
          </w:rPr>
          <w:t>http://www.microsoftvolumelicensing.com/userights/PUR.aspx</w:t>
        </w:r>
      </w:hyperlink>
    </w:p>
    <w:p w:rsidR="002202DB" w:rsidRPr="004B208C" w:rsidRDefault="002202DB" w:rsidP="00AE5A9F">
      <w:pPr>
        <w:rPr>
          <w:rFonts w:cs="Tahoma"/>
        </w:rPr>
      </w:pPr>
    </w:p>
    <w:p w:rsidR="002202DB" w:rsidRPr="004B208C" w:rsidRDefault="002202DB" w:rsidP="00AE5A9F">
      <w:pPr>
        <w:rPr>
          <w:rFonts w:cs="Tahoma"/>
        </w:rPr>
      </w:pPr>
    </w:p>
    <w:p w:rsidR="00223A77" w:rsidRPr="004B208C" w:rsidRDefault="00A560B6" w:rsidP="002541AE">
      <w:pPr>
        <w:pStyle w:val="Heading3"/>
        <w:rPr>
          <w:rFonts w:ascii="Tahoma" w:hAnsi="Tahoma" w:cs="Tahoma"/>
        </w:rPr>
      </w:pPr>
      <w:bookmarkStart w:id="1027" w:name="_145_Rental_Rights"/>
      <w:bookmarkStart w:id="1028" w:name="_16_Rental_Rights"/>
      <w:bookmarkStart w:id="1029" w:name="_Toc336338272"/>
      <w:bookmarkStart w:id="1030" w:name="Aps_9RentalRightsOffice"/>
      <w:bookmarkStart w:id="1031" w:name="Srv_RentalRightsOffice"/>
      <w:bookmarkStart w:id="1032" w:name="Srv_9RentalRightsOffice"/>
      <w:bookmarkStart w:id="1033" w:name="_Toc370981389"/>
      <w:bookmarkEnd w:id="1027"/>
      <w:bookmarkEnd w:id="1028"/>
      <w:r w:rsidRPr="004B208C">
        <w:rPr>
          <w:rFonts w:ascii="Tahoma" w:hAnsi="Tahoma" w:cs="Tahoma"/>
          <w:caps/>
          <w:color w:val="E65D08"/>
          <w:sz w:val="22"/>
          <w:szCs w:val="22"/>
          <w:vertAlign w:val="superscript"/>
        </w:rPr>
        <w:t>17</w:t>
      </w:r>
      <w:r w:rsidRPr="004B208C">
        <w:rPr>
          <w:rFonts w:ascii="Tahoma" w:hAnsi="Tahoma" w:cs="Tahoma"/>
          <w:color w:val="E65D08"/>
          <w:sz w:val="22"/>
          <w:szCs w:val="22"/>
        </w:rPr>
        <w:t xml:space="preserve"> Direitos de Locação do Office</w:t>
      </w:r>
      <w:bookmarkEnd w:id="1029"/>
      <w:bookmarkEnd w:id="1033"/>
    </w:p>
    <w:bookmarkEnd w:id="1030"/>
    <w:p w:rsidR="002541AE" w:rsidRPr="004B208C" w:rsidRDefault="002541AE" w:rsidP="002541AE">
      <w:pPr>
        <w:rPr>
          <w:rFonts w:cs="Tahoma"/>
        </w:rPr>
      </w:pPr>
    </w:p>
    <w:bookmarkEnd w:id="1031"/>
    <w:bookmarkEnd w:id="1032"/>
    <w:p w:rsidR="000B0A08" w:rsidRPr="009078BB" w:rsidRDefault="000B0A08" w:rsidP="005E3B5E">
      <w:pPr>
        <w:pStyle w:val="FootnoteBulletLevel1"/>
        <w:tabs>
          <w:tab w:val="clear" w:pos="900"/>
        </w:tabs>
        <w:spacing w:before="0" w:after="0"/>
        <w:ind w:left="720" w:firstLine="0"/>
        <w:rPr>
          <w:rFonts w:ascii="Tahoma" w:hAnsi="Tahoma" w:cs="Tahoma"/>
          <w:sz w:val="18"/>
          <w:szCs w:val="18"/>
        </w:rPr>
      </w:pPr>
      <w:r w:rsidRPr="009078BB">
        <w:rPr>
          <w:rFonts w:ascii="Tahoma" w:hAnsi="Tahoma" w:cs="Tahoma"/>
          <w:color w:val="000000"/>
          <w:sz w:val="18"/>
          <w:szCs w:val="18"/>
        </w:rPr>
        <w:t>As licenças de direitos de locação concedidas sob esses programas são apenas licenças complementares. Elas não são licenças integrais de produtos. Portanto, cada desktop ao qual um cliente atribuir uma licença de direitos de locação deverá ser licenciado para executar um dos aplicativos qualificados identificados a</w:t>
      </w:r>
      <w:r w:rsidR="009078BB">
        <w:rPr>
          <w:rFonts w:ascii="Tahoma" w:hAnsi="Tahoma" w:cs="Tahoma"/>
          <w:color w:val="000000"/>
          <w:sz w:val="18"/>
          <w:szCs w:val="18"/>
        </w:rPr>
        <w:t> </w:t>
      </w:r>
      <w:r w:rsidRPr="009078BB">
        <w:rPr>
          <w:rFonts w:ascii="Tahoma" w:hAnsi="Tahoma" w:cs="Tahoma"/>
          <w:color w:val="000000"/>
          <w:sz w:val="18"/>
          <w:szCs w:val="18"/>
        </w:rPr>
        <w:t>seguir.</w:t>
      </w:r>
    </w:p>
    <w:p w:rsidR="00980240" w:rsidRPr="004B208C" w:rsidRDefault="00980240" w:rsidP="005E3B5E">
      <w:pPr>
        <w:ind w:left="720"/>
        <w:rPr>
          <w:rFonts w:cs="Tahoma"/>
        </w:rPr>
      </w:pPr>
    </w:p>
    <w:p w:rsidR="00980240" w:rsidRPr="004B208C" w:rsidRDefault="000B0A08" w:rsidP="00864B8A">
      <w:pPr>
        <w:spacing w:after="60"/>
        <w:ind w:left="720"/>
        <w:rPr>
          <w:rFonts w:cs="Tahoma"/>
        </w:rPr>
      </w:pPr>
      <w:r w:rsidRPr="004B208C">
        <w:rPr>
          <w:rFonts w:cs="Tahoma"/>
          <w:b/>
        </w:rPr>
        <w:t>Regras de Aplicativos Qualificados</w:t>
      </w:r>
    </w:p>
    <w:p w:rsidR="000B0A08" w:rsidRPr="004B208C" w:rsidRDefault="000B0A08" w:rsidP="005E3B5E">
      <w:pPr>
        <w:ind w:left="720"/>
        <w:rPr>
          <w:rFonts w:cs="Tahoma"/>
        </w:rPr>
      </w:pPr>
      <w:r w:rsidRPr="004B208C">
        <w:rPr>
          <w:rFonts w:cs="Tahoma"/>
          <w:color w:val="000000"/>
          <w:szCs w:val="18"/>
        </w:rPr>
        <w:t>Cada uma destas condições deve ser atendida para que a Licença básica o qualifique para a licença de</w:t>
      </w:r>
      <w:r w:rsidR="009078BB">
        <w:rPr>
          <w:rFonts w:cs="Tahoma"/>
          <w:color w:val="000000"/>
          <w:szCs w:val="18"/>
        </w:rPr>
        <w:t> </w:t>
      </w:r>
      <w:r w:rsidRPr="004B208C">
        <w:rPr>
          <w:rFonts w:cs="Tahoma"/>
          <w:color w:val="000000"/>
          <w:szCs w:val="18"/>
        </w:rPr>
        <w:t>Direitos de Locação:</w:t>
      </w:r>
    </w:p>
    <w:p w:rsidR="005E3B5E" w:rsidRPr="004B208C" w:rsidRDefault="005E3B5E" w:rsidP="005E3B5E">
      <w:pPr>
        <w:ind w:left="900"/>
        <w:rPr>
          <w:rFonts w:cs="Tahoma"/>
        </w:rPr>
      </w:pPr>
    </w:p>
    <w:p w:rsidR="000B0A08" w:rsidRPr="004B208C" w:rsidRDefault="000B0A08" w:rsidP="005E3B5E">
      <w:pPr>
        <w:numPr>
          <w:ilvl w:val="0"/>
          <w:numId w:val="20"/>
        </w:numPr>
        <w:spacing w:after="60"/>
        <w:ind w:left="1440"/>
        <w:rPr>
          <w:rFonts w:cs="Tahoma"/>
        </w:rPr>
      </w:pPr>
      <w:r w:rsidRPr="004B208C">
        <w:rPr>
          <w:rFonts w:cs="Tahoma"/>
          <w:color w:val="000000"/>
          <w:szCs w:val="18"/>
        </w:rPr>
        <w:t>A licença para o aplicativo qualificado deve ser cedida ao mesmo dispositivo ao qual a licença de</w:t>
      </w:r>
      <w:r w:rsidR="009078BB">
        <w:rPr>
          <w:rFonts w:cs="Tahoma"/>
          <w:color w:val="000000"/>
          <w:szCs w:val="18"/>
        </w:rPr>
        <w:t> </w:t>
      </w:r>
      <w:r w:rsidRPr="004B208C">
        <w:rPr>
          <w:rFonts w:cs="Tahoma"/>
          <w:color w:val="000000"/>
          <w:szCs w:val="18"/>
        </w:rPr>
        <w:t>Direitos de Locação de VL deverá ser cedida.</w:t>
      </w:r>
    </w:p>
    <w:p w:rsidR="000B0A08" w:rsidRPr="004B208C" w:rsidRDefault="000B0A08" w:rsidP="005E3B5E">
      <w:pPr>
        <w:numPr>
          <w:ilvl w:val="0"/>
          <w:numId w:val="20"/>
        </w:numPr>
        <w:tabs>
          <w:tab w:val="left" w:pos="1440"/>
        </w:tabs>
        <w:spacing w:after="60"/>
        <w:ind w:left="1440"/>
        <w:rPr>
          <w:rFonts w:cs="Tahoma"/>
        </w:rPr>
      </w:pPr>
      <w:r w:rsidRPr="004B208C">
        <w:rPr>
          <w:rFonts w:cs="Tahoma"/>
          <w:color w:val="000000"/>
          <w:szCs w:val="18"/>
        </w:rPr>
        <w:t>O aplicativo qualificado deve ser instalado no referido dispositivo.</w:t>
      </w:r>
    </w:p>
    <w:p w:rsidR="000B0A08" w:rsidRPr="009078BB" w:rsidRDefault="000B0A08" w:rsidP="005E3B5E">
      <w:pPr>
        <w:pStyle w:val="EndnoteText"/>
        <w:rPr>
          <w:rFonts w:ascii="Tahoma" w:hAnsi="Tahoma" w:cs="Tahoma"/>
          <w:sz w:val="18"/>
          <w:szCs w:val="18"/>
        </w:rPr>
      </w:pPr>
    </w:p>
    <w:p w:rsidR="000B0A08" w:rsidRPr="004B208C" w:rsidRDefault="000B0A08" w:rsidP="005E3B5E">
      <w:pPr>
        <w:pStyle w:val="EndnoteText"/>
        <w:ind w:left="720"/>
        <w:rPr>
          <w:rFonts w:ascii="Tahoma" w:hAnsi="Tahoma" w:cs="Tahoma"/>
        </w:rPr>
      </w:pPr>
      <w:r w:rsidRPr="004B208C">
        <w:rPr>
          <w:rFonts w:ascii="Tahoma" w:hAnsi="Tahoma" w:cs="Tahoma"/>
          <w:color w:val="000000"/>
          <w:sz w:val="18"/>
          <w:szCs w:val="18"/>
        </w:rPr>
        <w:t>Os aplicativos qualificados por tipo de Programa são:</w:t>
      </w:r>
    </w:p>
    <w:p w:rsidR="000B0A08" w:rsidRPr="004B208C" w:rsidRDefault="000B0A08" w:rsidP="000B0A08">
      <w:pPr>
        <w:rPr>
          <w:rFonts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4B208C"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4B208C" w:rsidRDefault="00C4660F" w:rsidP="00C4660F">
            <w:pPr>
              <w:jc w:val="center"/>
              <w:rPr>
                <w:rFonts w:eastAsia="MS PGothic" w:cs="Tahoma"/>
                <w:b/>
                <w:bCs/>
                <w:color w:val="000000"/>
                <w:szCs w:val="18"/>
              </w:rPr>
            </w:pPr>
            <w:r w:rsidRPr="004B208C">
              <w:rPr>
                <w:rFonts w:cs="Tahoma"/>
                <w:b/>
                <w:bCs/>
                <w:color w:val="000000"/>
                <w:szCs w:val="18"/>
              </w:rPr>
              <w:t>Aplicativos Qualificados para a aquisição de Direitos de Locação do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B208C" w:rsidRDefault="00C4660F" w:rsidP="00AD69BD">
            <w:pPr>
              <w:jc w:val="center"/>
              <w:rPr>
                <w:rFonts w:cs="Tahoma"/>
                <w:b/>
                <w:bCs/>
                <w:color w:val="000000"/>
                <w:szCs w:val="18"/>
              </w:rPr>
            </w:pPr>
            <w:r w:rsidRPr="004B208C">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4B208C" w:rsidRDefault="00C4660F" w:rsidP="00AD69BD">
            <w:pPr>
              <w:jc w:val="center"/>
              <w:rPr>
                <w:rFonts w:cs="Tahoma"/>
              </w:rPr>
            </w:pPr>
            <w:r w:rsidRPr="004B208C">
              <w:rPr>
                <w:rFonts w:cs="Tahoma"/>
                <w:b/>
                <w:bCs/>
                <w:color w:val="000000"/>
                <w:szCs w:val="18"/>
              </w:rPr>
              <w:t>PIPC</w:t>
            </w:r>
          </w:p>
          <w:p w:rsidR="00C4660F" w:rsidRPr="004B208C" w:rsidRDefault="00C4660F" w:rsidP="00AD69BD">
            <w:pPr>
              <w:jc w:val="center"/>
              <w:rPr>
                <w:rFonts w:cs="Tahoma"/>
                <w:b/>
                <w:bCs/>
                <w:color w:val="000000"/>
                <w:szCs w:val="18"/>
              </w:rPr>
            </w:pPr>
            <w:r w:rsidRPr="004B208C">
              <w:rPr>
                <w:rFonts w:cs="Tahoma"/>
                <w:b/>
                <w:bCs/>
                <w:color w:val="000000"/>
                <w:szCs w:val="18"/>
              </w:rPr>
              <w:t>(Apenas para o Japão)</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B208C" w:rsidRDefault="00C4660F" w:rsidP="00AD69BD">
            <w:pPr>
              <w:jc w:val="center"/>
              <w:rPr>
                <w:rFonts w:cs="Tahoma"/>
                <w:b/>
                <w:bCs/>
                <w:color w:val="000000"/>
                <w:szCs w:val="18"/>
              </w:rPr>
            </w:pPr>
            <w:r w:rsidRPr="004B208C">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B208C" w:rsidRDefault="00C4660F" w:rsidP="00AD69BD">
            <w:pPr>
              <w:jc w:val="center"/>
              <w:rPr>
                <w:rFonts w:cs="Tahoma"/>
                <w:b/>
                <w:bCs/>
                <w:color w:val="000000"/>
                <w:szCs w:val="18"/>
              </w:rPr>
            </w:pPr>
            <w:r w:rsidRPr="004B208C">
              <w:rPr>
                <w:rFonts w:cs="Tahoma"/>
                <w:b/>
                <w:bCs/>
                <w:color w:val="000000"/>
                <w:szCs w:val="18"/>
              </w:rPr>
              <w:t>Licença Open</w:t>
            </w:r>
          </w:p>
        </w:tc>
      </w:tr>
      <w:tr w:rsidR="000B0A08" w:rsidRPr="004B208C"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B208C" w:rsidRDefault="000B0A08" w:rsidP="00257298">
            <w:pPr>
              <w:rPr>
                <w:rFonts w:cs="Tahoma"/>
                <w:b/>
                <w:bCs/>
                <w:color w:val="000000"/>
                <w:szCs w:val="18"/>
              </w:rPr>
            </w:pPr>
            <w:r w:rsidRPr="004B208C">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4B208C"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4B208C"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color w:val="000000"/>
                <w:sz w:val="21"/>
                <w:szCs w:val="21"/>
              </w:rPr>
            </w:pPr>
            <w:r w:rsidRPr="004B208C">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color w:val="000000"/>
                <w:sz w:val="21"/>
                <w:szCs w:val="21"/>
              </w:rPr>
            </w:pPr>
            <w:r w:rsidRPr="004B208C">
              <w:rPr>
                <w:rFonts w:cs="Tahoma"/>
                <w:color w:val="000000"/>
              </w:rPr>
              <w:t>x</w:t>
            </w:r>
          </w:p>
        </w:tc>
      </w:tr>
      <w:tr w:rsidR="000B0A08" w:rsidRPr="004B208C"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B208C" w:rsidRDefault="000B0A08" w:rsidP="00257298">
            <w:pPr>
              <w:rPr>
                <w:rFonts w:cs="Tahoma"/>
                <w:b/>
                <w:bCs/>
                <w:color w:val="000000"/>
                <w:szCs w:val="18"/>
              </w:rPr>
            </w:pPr>
            <w:r w:rsidRPr="004B208C">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rsidR="000B0A08" w:rsidRPr="004B208C"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color w:val="000000"/>
                <w:sz w:val="21"/>
                <w:szCs w:val="21"/>
              </w:rPr>
            </w:pPr>
            <w:r w:rsidRPr="004B208C">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color w:val="000000"/>
                <w:sz w:val="21"/>
                <w:szCs w:val="21"/>
              </w:rPr>
            </w:pPr>
            <w:r w:rsidRPr="004B208C">
              <w:rPr>
                <w:rFonts w:cs="Tahoma"/>
                <w:color w:val="000000"/>
              </w:rPr>
              <w:t>x</w:t>
            </w:r>
          </w:p>
        </w:tc>
      </w:tr>
    </w:tbl>
    <w:p w:rsidR="00980240" w:rsidRPr="004B208C" w:rsidRDefault="00980240" w:rsidP="000B0A08">
      <w:pPr>
        <w:rPr>
          <w:rFonts w:cs="Tahoma"/>
        </w:rPr>
      </w:pPr>
    </w:p>
    <w:p w:rsidR="001C1727" w:rsidRPr="004B208C"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4B208C"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4B208C" w:rsidRDefault="00C4660F" w:rsidP="009078BB">
            <w:pPr>
              <w:ind w:left="5" w:firstLine="13"/>
              <w:jc w:val="center"/>
              <w:rPr>
                <w:rFonts w:eastAsia="MS PGothic" w:cs="Tahoma"/>
                <w:b/>
                <w:bCs/>
                <w:szCs w:val="18"/>
              </w:rPr>
            </w:pPr>
            <w:r w:rsidRPr="004B208C">
              <w:rPr>
                <w:rFonts w:cs="Tahoma"/>
                <w:b/>
                <w:bCs/>
                <w:szCs w:val="18"/>
              </w:rPr>
              <w:t>Aplicativos Qualificados para a</w:t>
            </w:r>
            <w:r w:rsidR="009078BB">
              <w:rPr>
                <w:rFonts w:cs="Tahoma"/>
                <w:b/>
                <w:bCs/>
                <w:szCs w:val="18"/>
              </w:rPr>
              <w:t> </w:t>
            </w:r>
            <w:r w:rsidRPr="004B208C">
              <w:rPr>
                <w:rFonts w:cs="Tahoma"/>
                <w:b/>
                <w:bCs/>
                <w:szCs w:val="18"/>
              </w:rPr>
              <w:t>aquisição de Direitos de</w:t>
            </w:r>
            <w:r w:rsidR="009078BB">
              <w:rPr>
                <w:rFonts w:cs="Tahoma"/>
                <w:b/>
                <w:bCs/>
                <w:szCs w:val="18"/>
              </w:rPr>
              <w:t> </w:t>
            </w:r>
            <w:r w:rsidRPr="004B208C">
              <w:rPr>
                <w:rFonts w:cs="Tahoma"/>
                <w:b/>
                <w:bCs/>
                <w:szCs w:val="18"/>
              </w:rPr>
              <w:t>Locação do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4B208C" w:rsidRDefault="00C4660F" w:rsidP="00AD69BD">
            <w:pPr>
              <w:jc w:val="center"/>
              <w:rPr>
                <w:rFonts w:cs="Tahoma"/>
                <w:b/>
                <w:bCs/>
                <w:szCs w:val="18"/>
              </w:rPr>
            </w:pPr>
            <w:r w:rsidRPr="004B208C">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4B208C" w:rsidRDefault="00C4660F" w:rsidP="00AD69BD">
            <w:pPr>
              <w:jc w:val="center"/>
              <w:rPr>
                <w:rFonts w:cs="Tahoma"/>
              </w:rPr>
            </w:pPr>
            <w:r w:rsidRPr="004B208C">
              <w:rPr>
                <w:rFonts w:cs="Tahoma"/>
                <w:b/>
                <w:bCs/>
                <w:szCs w:val="18"/>
              </w:rPr>
              <w:t>PIPC</w:t>
            </w:r>
          </w:p>
          <w:p w:rsidR="00C4660F" w:rsidRPr="004B208C" w:rsidRDefault="00C4660F" w:rsidP="00AD69BD">
            <w:pPr>
              <w:jc w:val="center"/>
              <w:rPr>
                <w:rFonts w:cs="Tahoma"/>
                <w:b/>
                <w:bCs/>
                <w:szCs w:val="16"/>
                <w:lang w:eastAsia="ja-JP"/>
              </w:rPr>
            </w:pPr>
            <w:r w:rsidRPr="004B208C">
              <w:rPr>
                <w:rFonts w:cs="Tahoma"/>
                <w:b/>
                <w:bCs/>
                <w:szCs w:val="18"/>
              </w:rPr>
              <w:t>(Apenas para o Japão)</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B208C" w:rsidRDefault="00C4660F" w:rsidP="00AD69BD">
            <w:pPr>
              <w:jc w:val="center"/>
              <w:rPr>
                <w:rFonts w:cs="Tahoma"/>
                <w:b/>
                <w:bCs/>
                <w:szCs w:val="18"/>
              </w:rPr>
            </w:pPr>
            <w:r w:rsidRPr="004B208C">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4B208C" w:rsidRDefault="00C4660F" w:rsidP="00AD69BD">
            <w:pPr>
              <w:jc w:val="center"/>
              <w:rPr>
                <w:rFonts w:cs="Tahoma"/>
                <w:b/>
                <w:bCs/>
                <w:szCs w:val="18"/>
              </w:rPr>
            </w:pPr>
            <w:r w:rsidRPr="004B208C">
              <w:rPr>
                <w:rFonts w:cs="Tahoma"/>
                <w:b/>
                <w:bCs/>
                <w:szCs w:val="18"/>
              </w:rPr>
              <w:t>Licença Open</w:t>
            </w:r>
          </w:p>
        </w:tc>
      </w:tr>
      <w:tr w:rsidR="000B0A08" w:rsidRPr="004B208C"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4B208C" w:rsidRDefault="000B0A08" w:rsidP="00257298">
            <w:pPr>
              <w:rPr>
                <w:rFonts w:cs="Tahoma"/>
                <w:b/>
                <w:bCs/>
                <w:szCs w:val="18"/>
                <w:lang w:eastAsia="ja-JP"/>
              </w:rPr>
            </w:pPr>
            <w:r w:rsidRPr="004B208C">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AD6873" w:rsidP="00AD69BD">
            <w:pPr>
              <w:jc w:val="center"/>
              <w:rPr>
                <w:rFonts w:eastAsia="MS PGothic" w:cs="Tahoma"/>
                <w:szCs w:val="18"/>
              </w:rPr>
            </w:pPr>
            <w:r w:rsidRPr="004B208C">
              <w:rPr>
                <w:rFonts w:cs="Tahoma"/>
                <w:szCs w:val="18"/>
              </w:rPr>
              <w:t xml:space="preserve"> </w:t>
            </w:r>
          </w:p>
        </w:tc>
        <w:tc>
          <w:tcPr>
            <w:tcW w:w="1355" w:type="dxa"/>
            <w:tcBorders>
              <w:top w:val="nil"/>
              <w:left w:val="nil"/>
              <w:bottom w:val="single" w:sz="8" w:space="0" w:color="auto"/>
              <w:right w:val="single" w:sz="8" w:space="0" w:color="auto"/>
            </w:tcBorders>
          </w:tcPr>
          <w:p w:rsidR="000B0A08" w:rsidRPr="004B208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szCs w:val="18"/>
              </w:rPr>
            </w:pPr>
            <w:r w:rsidRPr="004B208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szCs w:val="18"/>
              </w:rPr>
            </w:pPr>
            <w:r w:rsidRPr="004B208C">
              <w:rPr>
                <w:rFonts w:cs="Tahoma"/>
                <w:szCs w:val="18"/>
              </w:rPr>
              <w:t>x</w:t>
            </w:r>
          </w:p>
        </w:tc>
      </w:tr>
      <w:tr w:rsidR="000B0A08" w:rsidRPr="004B208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B208C" w:rsidRDefault="000B0A08" w:rsidP="00257298">
            <w:pPr>
              <w:rPr>
                <w:rFonts w:cs="Tahoma"/>
                <w:b/>
                <w:bCs/>
                <w:szCs w:val="18"/>
                <w:lang w:eastAsia="ja-JP"/>
              </w:rPr>
            </w:pPr>
            <w:r w:rsidRPr="004B208C">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AD6873" w:rsidP="00AD69BD">
            <w:pPr>
              <w:jc w:val="center"/>
              <w:rPr>
                <w:rFonts w:eastAsia="MS PGothic" w:cs="Tahoma"/>
                <w:szCs w:val="18"/>
              </w:rPr>
            </w:pPr>
            <w:r w:rsidRPr="004B208C">
              <w:rPr>
                <w:rFonts w:cs="Tahoma"/>
                <w:szCs w:val="18"/>
              </w:rPr>
              <w:t xml:space="preserve"> </w:t>
            </w:r>
          </w:p>
        </w:tc>
        <w:tc>
          <w:tcPr>
            <w:tcW w:w="1355" w:type="dxa"/>
            <w:tcBorders>
              <w:top w:val="nil"/>
              <w:left w:val="nil"/>
              <w:bottom w:val="single" w:sz="8" w:space="0" w:color="auto"/>
              <w:right w:val="single" w:sz="8" w:space="0" w:color="auto"/>
            </w:tcBorders>
          </w:tcPr>
          <w:p w:rsidR="000B0A08" w:rsidRPr="004B208C"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szCs w:val="18"/>
              </w:rPr>
            </w:pPr>
            <w:r w:rsidRPr="004B208C">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jc w:val="center"/>
              <w:rPr>
                <w:rFonts w:eastAsia="MS PGothic" w:cs="Tahoma"/>
                <w:szCs w:val="18"/>
              </w:rPr>
            </w:pPr>
            <w:r w:rsidRPr="004B208C">
              <w:rPr>
                <w:rFonts w:cs="Tahoma"/>
                <w:szCs w:val="18"/>
              </w:rPr>
              <w:t>x</w:t>
            </w:r>
          </w:p>
        </w:tc>
      </w:tr>
      <w:tr w:rsidR="000B0A08" w:rsidRPr="004B208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B208C" w:rsidRDefault="000B0A08" w:rsidP="00257298">
            <w:pPr>
              <w:rPr>
                <w:rFonts w:cs="Tahoma"/>
                <w:b/>
                <w:bCs/>
                <w:szCs w:val="18"/>
              </w:rPr>
            </w:pPr>
            <w:r w:rsidRPr="004B208C">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4B208C" w:rsidRDefault="000B0A08" w:rsidP="00AD69BD">
            <w:pPr>
              <w:jc w:val="center"/>
              <w:rPr>
                <w:rFonts w:eastAsia="MS PGothic" w:cs="Tahoma"/>
                <w:color w:val="000000"/>
                <w:szCs w:val="18"/>
              </w:rPr>
            </w:pPr>
            <w:r w:rsidRPr="004B208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szCs w:val="18"/>
              </w:rPr>
            </w:pPr>
          </w:p>
        </w:tc>
      </w:tr>
      <w:tr w:rsidR="000B0A08" w:rsidRPr="004B208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B208C" w:rsidRDefault="000B0A08" w:rsidP="00257298">
            <w:pPr>
              <w:rPr>
                <w:rFonts w:cs="Tahoma"/>
                <w:b/>
                <w:bCs/>
                <w:szCs w:val="18"/>
              </w:rPr>
            </w:pPr>
            <w:r w:rsidRPr="004B208C">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4B208C" w:rsidRDefault="000B0A08" w:rsidP="00AD69BD">
            <w:pPr>
              <w:jc w:val="center"/>
              <w:rPr>
                <w:rFonts w:eastAsia="MS PGothic" w:cs="Tahoma"/>
                <w:color w:val="000000"/>
                <w:szCs w:val="18"/>
              </w:rPr>
            </w:pPr>
            <w:r w:rsidRPr="004B208C">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szCs w:val="18"/>
              </w:rPr>
            </w:pPr>
          </w:p>
        </w:tc>
      </w:tr>
      <w:tr w:rsidR="000B0A08" w:rsidRPr="004B208C"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4B208C" w:rsidRDefault="000B0A08" w:rsidP="00257298">
            <w:pPr>
              <w:rPr>
                <w:rFonts w:cs="Tahoma"/>
                <w:b/>
                <w:bCs/>
                <w:szCs w:val="18"/>
              </w:rPr>
            </w:pPr>
            <w:r w:rsidRPr="004B208C">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4B208C" w:rsidRDefault="000B0A08" w:rsidP="00AD69BD">
            <w:pPr>
              <w:jc w:val="center"/>
              <w:rPr>
                <w:rFonts w:eastAsia="MS PGothic" w:cs="Tahoma"/>
                <w:color w:val="000000" w:themeColor="text1"/>
                <w:szCs w:val="18"/>
              </w:rPr>
            </w:pPr>
            <w:r w:rsidRPr="004B208C">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4B208C" w:rsidRDefault="000B0A08" w:rsidP="00AD69BD">
            <w:pPr>
              <w:rPr>
                <w:rFonts w:eastAsia="Times New Roman" w:cs="Tahoma"/>
                <w:color w:val="000000" w:themeColor="text1"/>
                <w:szCs w:val="18"/>
              </w:rPr>
            </w:pPr>
          </w:p>
        </w:tc>
      </w:tr>
    </w:tbl>
    <w:p w:rsidR="000B0A08" w:rsidRPr="004B208C" w:rsidRDefault="000B0A08" w:rsidP="00980240">
      <w:pPr>
        <w:rPr>
          <w:rFonts w:cs="Tahoma"/>
        </w:rPr>
      </w:pPr>
    </w:p>
    <w:p w:rsidR="000B0A08" w:rsidRPr="004B208C" w:rsidRDefault="000B0A08" w:rsidP="005C382A">
      <w:pPr>
        <w:ind w:left="720"/>
        <w:rPr>
          <w:rFonts w:cs="Tahoma"/>
        </w:rPr>
      </w:pPr>
      <w:r w:rsidRPr="004B208C">
        <w:rPr>
          <w:rFonts w:cs="Tahoma"/>
          <w:color w:val="000000"/>
          <w:szCs w:val="18"/>
        </w:rPr>
        <w:t>Os clientes que adquirirem a licença de direitos de locação sobre uma licença de aplicativo qualificado terá seus direitos sob a licença desse aplicativo qualificado estendidos a fim de permitir que terceiros usem o mesmo software. A licença de locação não é uma licença step-up para uma edição superior do produto.</w:t>
      </w:r>
    </w:p>
    <w:p w:rsidR="00223A77" w:rsidRPr="004B208C" w:rsidRDefault="00223A77" w:rsidP="005C382A">
      <w:pPr>
        <w:ind w:left="720"/>
        <w:rPr>
          <w:rFonts w:cs="Tahoma"/>
        </w:rPr>
      </w:pPr>
    </w:p>
    <w:p w:rsidR="00223A77" w:rsidRPr="004B208C" w:rsidRDefault="00223A77" w:rsidP="00864B8A">
      <w:pPr>
        <w:spacing w:after="60"/>
        <w:ind w:left="720"/>
        <w:rPr>
          <w:rFonts w:cs="Tahoma"/>
        </w:rPr>
      </w:pPr>
      <w:r w:rsidRPr="004B208C">
        <w:rPr>
          <w:rFonts w:cs="Tahoma"/>
          <w:b/>
        </w:rPr>
        <w:t>Exceção do Software Assurance</w:t>
      </w:r>
    </w:p>
    <w:p w:rsidR="009504CA" w:rsidRPr="004B208C" w:rsidRDefault="00223A77" w:rsidP="005C382A">
      <w:pPr>
        <w:ind w:left="720"/>
        <w:rPr>
          <w:rFonts w:cs="Tahoma"/>
        </w:rPr>
      </w:pPr>
      <w:r w:rsidRPr="004B208C">
        <w:rPr>
          <w:rFonts w:cs="Tahoma"/>
          <w:color w:val="000000"/>
          <w:szCs w:val="18"/>
        </w:rPr>
        <w:t>Os clientes que estiverem adquirindo licenças de direitos de locação não estarão qualificados a obter o</w:t>
      </w:r>
      <w:r w:rsidR="009078BB">
        <w:rPr>
          <w:rFonts w:cs="Tahoma"/>
          <w:color w:val="000000"/>
          <w:szCs w:val="18"/>
        </w:rPr>
        <w:t> </w:t>
      </w:r>
      <w:r w:rsidRPr="004B208C">
        <w:rPr>
          <w:rFonts w:cs="Tahoma"/>
          <w:color w:val="000000"/>
          <w:szCs w:val="18"/>
        </w:rPr>
        <w:t>Software Assurance para as licenças de direitos de locação nem para as licenças básicas de software qualificado.</w:t>
      </w:r>
    </w:p>
    <w:p w:rsidR="00413D8A" w:rsidRPr="004B208C" w:rsidRDefault="00413D8A">
      <w:pPr>
        <w:rPr>
          <w:rFonts w:cs="Tahoma"/>
        </w:rPr>
      </w:pPr>
    </w:p>
    <w:p w:rsidR="00980240" w:rsidRPr="004B208C" w:rsidRDefault="00980240" w:rsidP="00980240">
      <w:pPr>
        <w:rPr>
          <w:rFonts w:cs="Tahoma"/>
        </w:rPr>
      </w:pPr>
    </w:p>
    <w:p w:rsidR="00257298" w:rsidRPr="004B208C" w:rsidRDefault="00A560B6" w:rsidP="005C382A">
      <w:pPr>
        <w:pStyle w:val="Heading3"/>
        <w:rPr>
          <w:rFonts w:ascii="Tahoma" w:hAnsi="Tahoma" w:cs="Tahoma"/>
        </w:rPr>
      </w:pPr>
      <w:bookmarkStart w:id="1034" w:name="_15_Visio_Professional"/>
      <w:bookmarkStart w:id="1035" w:name="_17_Visio_Professional"/>
      <w:bookmarkStart w:id="1036" w:name="_Toc370981390"/>
      <w:bookmarkEnd w:id="1034"/>
      <w:bookmarkEnd w:id="1035"/>
      <w:r w:rsidRPr="004B208C">
        <w:rPr>
          <w:rFonts w:ascii="Tahoma" w:hAnsi="Tahoma" w:cs="Tahoma"/>
          <w:caps/>
          <w:color w:val="F66400"/>
          <w:sz w:val="22"/>
          <w:vertAlign w:val="superscript"/>
        </w:rPr>
        <w:t>18</w:t>
      </w:r>
      <w:r w:rsidRPr="004B208C">
        <w:rPr>
          <w:rFonts w:ascii="Tahoma" w:hAnsi="Tahoma" w:cs="Tahoma"/>
          <w:color w:val="F66400"/>
          <w:sz w:val="22"/>
        </w:rPr>
        <w:t xml:space="preserve"> Visio Professional 2013</w:t>
      </w:r>
      <w:bookmarkEnd w:id="1036"/>
    </w:p>
    <w:p w:rsidR="005C382A" w:rsidRPr="006747B4" w:rsidRDefault="005C382A" w:rsidP="005C382A">
      <w:pPr>
        <w:rPr>
          <w:rFonts w:cs="Tahoma"/>
          <w:sz w:val="16"/>
          <w:szCs w:val="16"/>
        </w:rPr>
      </w:pPr>
    </w:p>
    <w:p w:rsidR="00257298" w:rsidRPr="004B208C" w:rsidRDefault="00257298" w:rsidP="006747B4">
      <w:pPr>
        <w:spacing w:after="40"/>
        <w:ind w:left="720"/>
        <w:rPr>
          <w:rFonts w:cs="Tahoma"/>
        </w:rPr>
      </w:pPr>
      <w:r w:rsidRPr="004B208C">
        <w:rPr>
          <w:rFonts w:cs="Tahoma"/>
          <w:b/>
        </w:rPr>
        <w:lastRenderedPageBreak/>
        <w:t xml:space="preserve">Caminho de Migração do Software Assurance para </w:t>
      </w:r>
      <w:bookmarkStart w:id="1037" w:name="Srv_11VisioPremium2010"/>
      <w:bookmarkStart w:id="1038" w:name="Aps_11VisioPremium2010"/>
      <w:bookmarkStart w:id="1039" w:name="_Toc336338274"/>
      <w:bookmarkStart w:id="1040" w:name="Srv_VisioPremium2010"/>
      <w:r w:rsidRPr="004B208C">
        <w:rPr>
          <w:rFonts w:cs="Tahoma"/>
          <w:b/>
        </w:rPr>
        <w:t>Visio Premium 2010</w:t>
      </w:r>
      <w:bookmarkEnd w:id="1037"/>
      <w:bookmarkEnd w:id="1038"/>
      <w:bookmarkEnd w:id="1039"/>
    </w:p>
    <w:bookmarkEnd w:id="1040"/>
    <w:p w:rsidR="00257298" w:rsidRPr="009078BB" w:rsidRDefault="00257298" w:rsidP="005C382A">
      <w:pPr>
        <w:pStyle w:val="FootnoteBulletLevel1"/>
        <w:spacing w:before="0" w:after="0"/>
        <w:ind w:left="720" w:firstLine="0"/>
        <w:rPr>
          <w:rFonts w:ascii="Tahoma" w:hAnsi="Tahoma" w:cs="Tahoma"/>
          <w:sz w:val="18"/>
          <w:szCs w:val="18"/>
        </w:rPr>
      </w:pPr>
      <w:r w:rsidRPr="009078BB">
        <w:rPr>
          <w:rFonts w:ascii="Tahoma" w:hAnsi="Tahoma" w:cs="Tahoma"/>
          <w:sz w:val="18"/>
          <w:szCs w:val="18"/>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Visio Premium 2010 sob as licenças qualificadas correspondentes expirar.</w:t>
      </w:r>
      <w:r w:rsidR="00172F11" w:rsidRPr="009078BB">
        <w:rPr>
          <w:rFonts w:ascii="Tahoma" w:hAnsi="Tahoma" w:cs="Tahoma"/>
          <w:sz w:val="18"/>
          <w:szCs w:val="18"/>
        </w:rPr>
        <w:t xml:space="preserve"> </w:t>
      </w:r>
      <w:r w:rsidRPr="009078BB">
        <w:rPr>
          <w:rFonts w:ascii="Tahoma" w:hAnsi="Tahoma" w:cs="Tahoma"/>
          <w:sz w:val="18"/>
          <w:szCs w:val="18"/>
        </w:rPr>
        <w:t>O</w:t>
      </w:r>
      <w:r w:rsidR="009078BB" w:rsidRPr="009078BB">
        <w:rPr>
          <w:rFonts w:ascii="Tahoma" w:hAnsi="Tahoma" w:cs="Tahoma"/>
          <w:sz w:val="18"/>
          <w:szCs w:val="18"/>
        </w:rPr>
        <w:t> </w:t>
      </w:r>
      <w:r w:rsidRPr="009078BB">
        <w:rPr>
          <w:rFonts w:ascii="Tahoma" w:hAnsi="Tahoma" w:cs="Tahoma"/>
          <w:sz w:val="18"/>
          <w:szCs w:val="18"/>
        </w:rPr>
        <w:t>uso</w:t>
      </w:r>
      <w:r w:rsidR="009078BB" w:rsidRPr="009078BB">
        <w:rPr>
          <w:rFonts w:ascii="Tahoma" w:hAnsi="Tahoma" w:cs="Tahoma"/>
          <w:sz w:val="18"/>
          <w:szCs w:val="18"/>
        </w:rPr>
        <w:t> </w:t>
      </w:r>
      <w:r w:rsidRPr="009078BB">
        <w:rPr>
          <w:rFonts w:ascii="Tahoma" w:hAnsi="Tahoma" w:cs="Tahoma"/>
          <w:sz w:val="18"/>
          <w:szCs w:val="18"/>
        </w:rPr>
        <w:t>do Visio Professional 2013 é regido pelos direitos de uso do Visio Professional 2013 e pelos termos e</w:t>
      </w:r>
      <w:r w:rsidR="009078BB" w:rsidRPr="009078BB">
        <w:rPr>
          <w:rFonts w:ascii="Tahoma" w:hAnsi="Tahoma" w:cs="Tahoma"/>
          <w:sz w:val="18"/>
          <w:szCs w:val="18"/>
        </w:rPr>
        <w:t> </w:t>
      </w:r>
      <w:r w:rsidRPr="009078BB">
        <w:rPr>
          <w:rFonts w:ascii="Tahoma" w:hAnsi="Tahoma" w:cs="Tahoma"/>
          <w:sz w:val="18"/>
          <w:szCs w:val="18"/>
        </w:rPr>
        <w:t>condições do contrato de licenciamento por volume do cliente.</w:t>
      </w:r>
      <w:r w:rsidR="00172F11" w:rsidRPr="009078BB">
        <w:rPr>
          <w:rFonts w:ascii="Tahoma" w:hAnsi="Tahoma" w:cs="Tahoma"/>
          <w:sz w:val="18"/>
          <w:szCs w:val="18"/>
        </w:rPr>
        <w:t xml:space="preserve"> </w:t>
      </w:r>
      <w:r w:rsidRPr="009078BB">
        <w:rPr>
          <w:rFonts w:ascii="Tahoma" w:hAnsi="Tahoma" w:cs="Tahoma"/>
          <w:sz w:val="18"/>
          <w:szCs w:val="18"/>
        </w:rPr>
        <w:t>Esta nota de condição do produto e a evidência do cliente quanto à licença qualificada correspondente comprovam o direito de uso do Visio Professional 2013 sob esta oferta.</w:t>
      </w:r>
      <w:r w:rsidR="00172F11" w:rsidRPr="009078BB">
        <w:rPr>
          <w:rFonts w:ascii="Tahoma" w:hAnsi="Tahoma" w:cs="Tahoma"/>
          <w:sz w:val="18"/>
          <w:szCs w:val="18"/>
        </w:rPr>
        <w:t xml:space="preserve"> </w:t>
      </w:r>
      <w:r w:rsidRPr="009078BB">
        <w:rPr>
          <w:rFonts w:ascii="Tahoma" w:hAnsi="Tahoma" w:cs="Tahoma"/>
          <w:sz w:val="18"/>
          <w:szCs w:val="18"/>
        </w:rPr>
        <w:t>No término da cobertura do Software Assurance para o Visio Premium 2010, o cliente poderá adquirir o Software Assurance para o Visio Professional 2013 sem precisar adquirir uma nova licença separadamente.</w:t>
      </w:r>
    </w:p>
    <w:p w:rsidR="005C382A" w:rsidRPr="009078BB" w:rsidRDefault="005C382A" w:rsidP="005C382A">
      <w:pPr>
        <w:pStyle w:val="FootnoteBulletLevel1"/>
        <w:spacing w:before="0" w:after="0"/>
        <w:ind w:left="720" w:firstLine="0"/>
        <w:rPr>
          <w:rFonts w:ascii="Tahoma" w:hAnsi="Tahoma" w:cs="Tahoma"/>
          <w:sz w:val="18"/>
          <w:szCs w:val="18"/>
        </w:rPr>
      </w:pPr>
    </w:p>
    <w:p w:rsidR="00DF3CEE" w:rsidRPr="009078BB" w:rsidRDefault="00DF3CEE" w:rsidP="006747B4">
      <w:pPr>
        <w:spacing w:after="40"/>
        <w:ind w:left="720"/>
        <w:rPr>
          <w:rFonts w:cs="Tahoma"/>
          <w:szCs w:val="18"/>
        </w:rPr>
      </w:pPr>
      <w:r w:rsidRPr="009078BB">
        <w:rPr>
          <w:rFonts w:cs="Tahoma"/>
          <w:b/>
          <w:szCs w:val="18"/>
        </w:rPr>
        <w:t>Direitos de Downgrade para o Visio Professional 2013</w:t>
      </w:r>
    </w:p>
    <w:p w:rsidR="00DF3CEE" w:rsidRPr="009078BB" w:rsidRDefault="00DF3CEE" w:rsidP="005C382A">
      <w:pPr>
        <w:pStyle w:val="FootnoteBulletLevel1"/>
        <w:spacing w:before="0" w:after="0"/>
        <w:ind w:left="720" w:firstLine="0"/>
        <w:rPr>
          <w:rFonts w:ascii="Tahoma" w:hAnsi="Tahoma" w:cs="Tahoma"/>
          <w:sz w:val="18"/>
          <w:szCs w:val="18"/>
        </w:rPr>
      </w:pPr>
      <w:r w:rsidRPr="009078BB">
        <w:rPr>
          <w:rFonts w:ascii="Tahoma" w:hAnsi="Tahoma" w:cs="Tahoma"/>
          <w:sz w:val="18"/>
          <w:szCs w:val="18"/>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w:t>
      </w:r>
      <w:r w:rsidR="009078BB">
        <w:rPr>
          <w:rFonts w:ascii="Tahoma" w:hAnsi="Tahoma" w:cs="Tahoma"/>
          <w:sz w:val="18"/>
          <w:szCs w:val="18"/>
        </w:rPr>
        <w:t> </w:t>
      </w:r>
      <w:r w:rsidRPr="009078BB">
        <w:rPr>
          <w:rFonts w:ascii="Tahoma" w:hAnsi="Tahoma" w:cs="Tahoma"/>
          <w:sz w:val="18"/>
          <w:szCs w:val="18"/>
        </w:rPr>
        <w:t>2010.</w:t>
      </w:r>
    </w:p>
    <w:p w:rsidR="005C382A" w:rsidRPr="006747B4" w:rsidRDefault="005C382A" w:rsidP="005C382A">
      <w:pPr>
        <w:rPr>
          <w:rFonts w:cs="Tahoma"/>
          <w:sz w:val="16"/>
          <w:szCs w:val="16"/>
        </w:rPr>
      </w:pPr>
    </w:p>
    <w:p w:rsidR="00676723" w:rsidRPr="006747B4" w:rsidRDefault="00676723" w:rsidP="005C382A">
      <w:pPr>
        <w:rPr>
          <w:rFonts w:cs="Tahoma"/>
          <w:sz w:val="16"/>
          <w:szCs w:val="16"/>
        </w:rPr>
      </w:pPr>
    </w:p>
    <w:p w:rsidR="00BE4D27" w:rsidRDefault="00A560B6" w:rsidP="00BE4D27">
      <w:pPr>
        <w:pStyle w:val="Heading3"/>
        <w:rPr>
          <w:rFonts w:ascii="Tahoma" w:hAnsi="Tahoma" w:cs="Tahoma"/>
          <w:color w:val="F66400"/>
          <w:sz w:val="22"/>
        </w:rPr>
      </w:pPr>
      <w:bookmarkStart w:id="1041" w:name="_18_Visio_Pro"/>
      <w:bookmarkStart w:id="1042" w:name="_Toc370981391"/>
      <w:bookmarkEnd w:id="1041"/>
      <w:r w:rsidRPr="004B208C">
        <w:rPr>
          <w:rFonts w:ascii="Tahoma" w:hAnsi="Tahoma" w:cs="Tahoma"/>
          <w:caps/>
          <w:color w:val="F66400"/>
          <w:sz w:val="22"/>
          <w:vertAlign w:val="superscript"/>
        </w:rPr>
        <w:t>19</w:t>
      </w:r>
      <w:r w:rsidRPr="004B208C">
        <w:rPr>
          <w:rFonts w:ascii="Tahoma" w:hAnsi="Tahoma" w:cs="Tahoma"/>
          <w:color w:val="F66400"/>
          <w:sz w:val="22"/>
        </w:rPr>
        <w:t xml:space="preserve"> Visio Pro para Office 365</w:t>
      </w:r>
      <w:bookmarkEnd w:id="1042"/>
      <w:r w:rsidRPr="004B208C">
        <w:rPr>
          <w:rFonts w:ascii="Tahoma" w:hAnsi="Tahoma" w:cs="Tahoma"/>
          <w:color w:val="F66400"/>
          <w:sz w:val="22"/>
        </w:rPr>
        <w:t xml:space="preserve"> </w:t>
      </w:r>
    </w:p>
    <w:p w:rsidR="00011341" w:rsidRPr="00011341" w:rsidRDefault="00011341" w:rsidP="00011341">
      <w:pPr>
        <w:rPr>
          <w:sz w:val="4"/>
          <w:szCs w:val="4"/>
        </w:rPr>
      </w:pPr>
    </w:p>
    <w:p w:rsidR="00BE4D27" w:rsidRPr="004B208C" w:rsidRDefault="00BE4D27" w:rsidP="006747B4">
      <w:pPr>
        <w:spacing w:after="40"/>
        <w:ind w:left="720"/>
        <w:rPr>
          <w:rFonts w:cs="Tahoma"/>
        </w:rPr>
      </w:pPr>
      <w:r w:rsidRPr="004B208C">
        <w:rPr>
          <w:rFonts w:cs="Tahoma"/>
          <w:b/>
        </w:rPr>
        <w:t>Qualificação de Mídia com Serviços de Área de Trabalho Remota (RDS)</w:t>
      </w:r>
    </w:p>
    <w:p w:rsidR="00BE4D27" w:rsidRPr="004B208C" w:rsidRDefault="00BE4D27" w:rsidP="00BE4D27">
      <w:pPr>
        <w:ind w:left="720"/>
        <w:rPr>
          <w:rFonts w:cs="Tahoma"/>
        </w:rPr>
      </w:pPr>
      <w:r w:rsidRPr="004B208C">
        <w:rPr>
          <w:rFonts w:cs="Tahoma"/>
          <w:szCs w:val="18"/>
        </w:rPr>
        <w:t>Se o usuário para o qual você atribuiu uma licença do Visio Pro para Office 365 usar o software em um servidor de rede com a função RDS ativada, em vez de instalar uma cópia do software fornecido com o Visio</w:t>
      </w:r>
      <w:r w:rsidR="007506F8">
        <w:rPr>
          <w:rFonts w:cs="Tahoma"/>
          <w:szCs w:val="18"/>
        </w:rPr>
        <w:t> </w:t>
      </w:r>
      <w:r w:rsidRPr="004B208C">
        <w:rPr>
          <w:rFonts w:cs="Tahoma"/>
          <w:szCs w:val="18"/>
        </w:rPr>
        <w:t>Pro para Office 365 em um dos cinco dispositivos permitidos de acordo com os Direitos de Uso do Produto para Visio Pro para Office 365, esse usuário poderá 1) instalar uma cópia do software Visio 2013 Professional em um servidor de rede e 2) acessar o software Visio 2013 Professional de qualquer dispositivo.</w:t>
      </w:r>
      <w:r w:rsidR="00172F11">
        <w:rPr>
          <w:rFonts w:cs="Tahoma"/>
          <w:szCs w:val="18"/>
        </w:rPr>
        <w:t xml:space="preserve"> </w:t>
      </w:r>
      <w:r w:rsidRPr="004B208C">
        <w:rPr>
          <w:rFonts w:cs="Tahoma"/>
          <w:szCs w:val="18"/>
        </w:rPr>
        <w:t>Mediante o término da sua assinatura do Visio Pro para Office 365, você deverá desinstalar o</w:t>
      </w:r>
      <w:r w:rsidR="009078BB">
        <w:rPr>
          <w:rFonts w:cs="Tahoma"/>
          <w:szCs w:val="18"/>
        </w:rPr>
        <w:t> </w:t>
      </w:r>
      <w:r w:rsidRPr="004B208C">
        <w:rPr>
          <w:rFonts w:cs="Tahoma"/>
          <w:szCs w:val="18"/>
        </w:rPr>
        <w:t xml:space="preserve">software Visio 2013 Professional do servidor de rede. </w:t>
      </w:r>
    </w:p>
    <w:p w:rsidR="00BE4D27" w:rsidRPr="004B208C" w:rsidRDefault="00BE4D27" w:rsidP="00BE4D27">
      <w:pPr>
        <w:ind w:left="720"/>
        <w:rPr>
          <w:rFonts w:cs="Tahoma"/>
        </w:rPr>
      </w:pPr>
    </w:p>
    <w:p w:rsidR="00BE4D27" w:rsidRPr="004B208C" w:rsidRDefault="00BE4D27" w:rsidP="006747B4">
      <w:pPr>
        <w:spacing w:after="40"/>
        <w:ind w:left="720"/>
        <w:rPr>
          <w:rFonts w:cs="Tahoma"/>
        </w:rPr>
      </w:pPr>
      <w:r w:rsidRPr="004B208C">
        <w:rPr>
          <w:rFonts w:cs="Tahoma"/>
          <w:b/>
        </w:rPr>
        <w:t>Direitos de Downgrade</w:t>
      </w:r>
    </w:p>
    <w:p w:rsidR="00BE4D27" w:rsidRDefault="00BE4D27" w:rsidP="00BE4D27">
      <w:pPr>
        <w:ind w:left="720"/>
        <w:rPr>
          <w:rStyle w:val="Hyperlink"/>
          <w:rFonts w:cs="Tahoma"/>
          <w:bCs/>
          <w:szCs w:val="18"/>
        </w:rPr>
      </w:pPr>
      <w:r w:rsidRPr="004B208C">
        <w:rPr>
          <w:rFonts w:cs="Tahoma"/>
          <w:bCs/>
          <w:szCs w:val="18"/>
        </w:rPr>
        <w:t xml:space="preserve">O serviço Visio Pro para Office 365 não possui direitos de downgrade. Para obter mais informações sobre os requisitos de atualização dos Serviços Online, consulte o documento de Direitos de Uso de Produto (PUR) no site </w:t>
      </w:r>
      <w:hyperlink r:id="rId39" w:history="1">
        <w:r w:rsidR="009078BB" w:rsidRPr="00ED25D5">
          <w:rPr>
            <w:rStyle w:val="Hyperlink"/>
            <w:rFonts w:cs="Tahoma"/>
            <w:bCs/>
            <w:szCs w:val="18"/>
          </w:rPr>
          <w:t>http://www.microsoftvolumelicensing.com/userights/PUR.aspx</w:t>
        </w:r>
      </w:hyperlink>
    </w:p>
    <w:p w:rsidR="00FC515F" w:rsidRPr="006747B4" w:rsidRDefault="00FC515F" w:rsidP="00BE4D27">
      <w:pPr>
        <w:ind w:left="720"/>
        <w:rPr>
          <w:rFonts w:cs="Tahoma"/>
          <w:sz w:val="16"/>
          <w:szCs w:val="16"/>
        </w:rPr>
      </w:pPr>
    </w:p>
    <w:p w:rsidR="00FC515F" w:rsidRPr="006747B4" w:rsidRDefault="00FC515F" w:rsidP="00BE4D27">
      <w:pPr>
        <w:ind w:left="720"/>
        <w:rPr>
          <w:rFonts w:cs="Tahoma"/>
          <w:sz w:val="16"/>
          <w:szCs w:val="16"/>
        </w:rPr>
      </w:pPr>
    </w:p>
    <w:p w:rsidR="00223A77" w:rsidRPr="004B208C" w:rsidRDefault="00A560B6" w:rsidP="00223A77">
      <w:pPr>
        <w:pStyle w:val="Heading3"/>
        <w:rPr>
          <w:rFonts w:ascii="Tahoma" w:hAnsi="Tahoma" w:cs="Tahoma"/>
        </w:rPr>
      </w:pPr>
      <w:bookmarkStart w:id="1043" w:name="_19_Visual_Studio"/>
      <w:bookmarkStart w:id="1044" w:name="_Toc336338275"/>
      <w:bookmarkStart w:id="1045" w:name="Aps_12VS2010Professional"/>
      <w:bookmarkStart w:id="1046" w:name="_Toc252341836"/>
      <w:bookmarkStart w:id="1047" w:name="_Toc370981392"/>
      <w:bookmarkEnd w:id="1043"/>
      <w:r w:rsidRPr="004B208C">
        <w:rPr>
          <w:rFonts w:ascii="Tahoma" w:hAnsi="Tahoma" w:cs="Tahoma"/>
          <w:caps/>
          <w:color w:val="F66400"/>
          <w:sz w:val="22"/>
          <w:vertAlign w:val="superscript"/>
        </w:rPr>
        <w:t>20</w:t>
      </w:r>
      <w:r w:rsidRPr="004B208C">
        <w:rPr>
          <w:rFonts w:ascii="Tahoma" w:hAnsi="Tahoma" w:cs="Tahoma"/>
          <w:color w:val="F66400"/>
          <w:sz w:val="22"/>
        </w:rPr>
        <w:t xml:space="preserve"> Visual Studio Professional 2012</w:t>
      </w:r>
      <w:bookmarkEnd w:id="1044"/>
      <w:bookmarkEnd w:id="1047"/>
    </w:p>
    <w:bookmarkEnd w:id="1045"/>
    <w:p w:rsidR="009275A3" w:rsidRPr="006747B4" w:rsidRDefault="009275A3" w:rsidP="009275A3">
      <w:pPr>
        <w:pStyle w:val="FootnoteBulletLevel1"/>
        <w:tabs>
          <w:tab w:val="clear" w:pos="900"/>
        </w:tabs>
        <w:spacing w:before="0" w:after="0"/>
        <w:ind w:left="0" w:firstLine="0"/>
        <w:rPr>
          <w:rFonts w:ascii="Tahoma" w:hAnsi="Tahoma" w:cs="Tahoma"/>
          <w:sz w:val="16"/>
          <w:szCs w:val="16"/>
        </w:rPr>
      </w:pPr>
    </w:p>
    <w:p w:rsidR="006D58DB" w:rsidRPr="004B208C" w:rsidRDefault="006D58DB" w:rsidP="006747B4">
      <w:pPr>
        <w:spacing w:after="40"/>
        <w:ind w:left="720"/>
        <w:rPr>
          <w:rFonts w:cs="Tahoma"/>
        </w:rPr>
      </w:pPr>
      <w:r w:rsidRPr="004B208C">
        <w:rPr>
          <w:rFonts w:cs="Tahoma"/>
          <w:b/>
        </w:rPr>
        <w:t>Caminho de Migração do Software Assurance para o Visual Studio LightSwitch 2011</w:t>
      </w:r>
    </w:p>
    <w:p w:rsidR="006D58DB" w:rsidRPr="009078BB" w:rsidRDefault="006D58DB" w:rsidP="009275A3">
      <w:pPr>
        <w:pStyle w:val="FootnoteBulletLevel1"/>
        <w:tabs>
          <w:tab w:val="clear" w:pos="900"/>
        </w:tabs>
        <w:spacing w:before="0" w:after="0"/>
        <w:ind w:left="720" w:firstLine="0"/>
        <w:rPr>
          <w:rFonts w:ascii="Tahoma" w:hAnsi="Tahoma" w:cs="Tahoma"/>
          <w:sz w:val="18"/>
          <w:szCs w:val="18"/>
        </w:rPr>
      </w:pPr>
      <w:r w:rsidRPr="009078BB">
        <w:rPr>
          <w:rFonts w:ascii="Tahoma" w:hAnsi="Tahoma" w:cs="Tahoma"/>
          <w:sz w:val="18"/>
          <w:szCs w:val="18"/>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qualificadas correspondentes.</w:t>
      </w:r>
      <w:r w:rsidR="00172F11" w:rsidRPr="009078BB">
        <w:rPr>
          <w:rFonts w:ascii="Tahoma" w:hAnsi="Tahoma" w:cs="Tahoma"/>
          <w:sz w:val="18"/>
          <w:szCs w:val="18"/>
        </w:rPr>
        <w:t xml:space="preserve"> </w:t>
      </w:r>
      <w:r w:rsidRPr="009078BB">
        <w:rPr>
          <w:rFonts w:ascii="Tahoma" w:hAnsi="Tahoma" w:cs="Tahoma"/>
          <w:sz w:val="18"/>
          <w:szCs w:val="18"/>
        </w:rPr>
        <w:t>O uso do Visual Studio Professional 2012 é regido pelos direitos de uso do Visual Studio Professional 2012 e pelos termos e</w:t>
      </w:r>
      <w:r w:rsidR="009078BB">
        <w:rPr>
          <w:rFonts w:ascii="Tahoma" w:hAnsi="Tahoma" w:cs="Tahoma"/>
          <w:sz w:val="18"/>
          <w:szCs w:val="18"/>
        </w:rPr>
        <w:t> </w:t>
      </w:r>
      <w:r w:rsidRPr="009078BB">
        <w:rPr>
          <w:rFonts w:ascii="Tahoma" w:hAnsi="Tahoma" w:cs="Tahoma"/>
          <w:sz w:val="18"/>
          <w:szCs w:val="18"/>
        </w:rPr>
        <w:t>pelas condições do contrato de licenciamento por volume do cliente.</w:t>
      </w:r>
      <w:r w:rsidR="00172F11" w:rsidRPr="009078BB">
        <w:rPr>
          <w:rFonts w:ascii="Tahoma" w:hAnsi="Tahoma" w:cs="Tahoma"/>
          <w:sz w:val="18"/>
          <w:szCs w:val="18"/>
        </w:rPr>
        <w:t xml:space="preserve"> </w:t>
      </w:r>
      <w:r w:rsidRPr="009078BB">
        <w:rPr>
          <w:rFonts w:ascii="Tahoma" w:hAnsi="Tahoma" w:cs="Tahoma"/>
          <w:sz w:val="18"/>
          <w:szCs w:val="18"/>
        </w:rPr>
        <w:t>Esta nota de condição do produto e</w:t>
      </w:r>
      <w:r w:rsidR="009078BB">
        <w:rPr>
          <w:rFonts w:ascii="Tahoma" w:hAnsi="Tahoma" w:cs="Tahoma"/>
          <w:sz w:val="18"/>
          <w:szCs w:val="18"/>
        </w:rPr>
        <w:t> </w:t>
      </w:r>
      <w:r w:rsidRPr="009078BB">
        <w:rPr>
          <w:rFonts w:ascii="Tahoma" w:hAnsi="Tahoma" w:cs="Tahoma"/>
          <w:sz w:val="18"/>
          <w:szCs w:val="18"/>
        </w:rPr>
        <w:t>a</w:t>
      </w:r>
      <w:r w:rsidR="009078BB">
        <w:rPr>
          <w:rFonts w:ascii="Tahoma" w:hAnsi="Tahoma" w:cs="Tahoma"/>
          <w:sz w:val="18"/>
          <w:szCs w:val="18"/>
        </w:rPr>
        <w:t> </w:t>
      </w:r>
      <w:r w:rsidRPr="009078BB">
        <w:rPr>
          <w:rFonts w:ascii="Tahoma" w:hAnsi="Tahoma" w:cs="Tahoma"/>
          <w:sz w:val="18"/>
          <w:szCs w:val="18"/>
        </w:rPr>
        <w:t>evidência do cliente quanto à licença qualificada correspondente comprovam o direito de uso do Visual</w:t>
      </w:r>
      <w:r w:rsidR="009078BB">
        <w:rPr>
          <w:rFonts w:ascii="Tahoma" w:hAnsi="Tahoma" w:cs="Tahoma"/>
          <w:sz w:val="18"/>
          <w:szCs w:val="18"/>
        </w:rPr>
        <w:t> </w:t>
      </w:r>
      <w:r w:rsidRPr="009078BB">
        <w:rPr>
          <w:rFonts w:ascii="Tahoma" w:hAnsi="Tahoma" w:cs="Tahoma"/>
          <w:sz w:val="18"/>
          <w:szCs w:val="18"/>
        </w:rPr>
        <w:t>Studio Professional 2012 sob esta oferta.</w:t>
      </w:r>
      <w:r w:rsidR="00172F11" w:rsidRPr="009078BB">
        <w:rPr>
          <w:rFonts w:ascii="Tahoma" w:hAnsi="Tahoma" w:cs="Tahoma"/>
          <w:sz w:val="18"/>
          <w:szCs w:val="18"/>
        </w:rPr>
        <w:t xml:space="preserve"> </w:t>
      </w:r>
    </w:p>
    <w:p w:rsidR="00223A77" w:rsidRPr="006747B4" w:rsidRDefault="00223A77" w:rsidP="009275A3">
      <w:pPr>
        <w:rPr>
          <w:rFonts w:cs="Tahoma"/>
          <w:sz w:val="16"/>
          <w:szCs w:val="16"/>
        </w:rPr>
      </w:pPr>
    </w:p>
    <w:p w:rsidR="00691648" w:rsidRPr="004B208C" w:rsidRDefault="00691648" w:rsidP="006747B4">
      <w:pPr>
        <w:spacing w:after="40"/>
        <w:ind w:left="720"/>
        <w:rPr>
          <w:rFonts w:cs="Tahoma"/>
        </w:rPr>
      </w:pPr>
      <w:r w:rsidRPr="004B208C">
        <w:rPr>
          <w:rFonts w:cs="Tahoma"/>
          <w:b/>
          <w:bCs/>
        </w:rPr>
        <w:t>Caminho de Migração do Software Assurance para o Expression Studio Ultimate 4</w:t>
      </w:r>
    </w:p>
    <w:p w:rsidR="00691648" w:rsidRPr="009078BB" w:rsidRDefault="00691648" w:rsidP="00691648">
      <w:pPr>
        <w:ind w:left="720"/>
        <w:rPr>
          <w:rFonts w:cs="Tahoma"/>
          <w:szCs w:val="18"/>
        </w:rPr>
      </w:pPr>
      <w:r w:rsidRPr="009078BB">
        <w:rPr>
          <w:rFonts w:cs="Tahoma"/>
          <w:szCs w:val="18"/>
        </w:rPr>
        <w:t>Os clientes com cobertura ativa do Software Assurance para Expression Studio Ultimate 4 desde 1o de março de 2013 estão qualificados a usar o Visual Studio Professional 2012. O direito de uso do Visual Studio Professional 2012 se encerra no término do direito de uso do Expression Studio Ultimate 4 sob as licenças qualificadas correspondentes.</w:t>
      </w:r>
      <w:r w:rsidR="00172F11" w:rsidRPr="009078BB">
        <w:rPr>
          <w:rFonts w:cs="Tahoma"/>
          <w:szCs w:val="18"/>
        </w:rPr>
        <w:t xml:space="preserve"> </w:t>
      </w:r>
      <w:r w:rsidRPr="009078BB">
        <w:rPr>
          <w:rFonts w:cs="Tahoma"/>
          <w:szCs w:val="18"/>
        </w:rPr>
        <w:t>O uso do Visual Studio Professional 2012 é regido pelos direitos de uso do Visual Studio Professional 2012 e pelos termos e pelas condições do contrato de licenciamento por volume do cliente.</w:t>
      </w:r>
      <w:r w:rsidR="00172F11" w:rsidRPr="009078BB">
        <w:rPr>
          <w:rFonts w:cs="Tahoma"/>
          <w:szCs w:val="18"/>
        </w:rPr>
        <w:t xml:space="preserve"> </w:t>
      </w:r>
      <w:r w:rsidRPr="009078BB">
        <w:rPr>
          <w:rFonts w:cs="Tahoma"/>
          <w:szCs w:val="18"/>
        </w:rPr>
        <w:t>Esta nota de condição do produto e a evidência do cliente quanto à licença qualificada correspondente comprovam o direito de uso do Visual Studio Professional 2012 sob esta oferta.</w:t>
      </w:r>
      <w:r w:rsidR="00172F11" w:rsidRPr="009078BB">
        <w:rPr>
          <w:rFonts w:cs="Tahoma"/>
          <w:szCs w:val="18"/>
        </w:rPr>
        <w:t xml:space="preserve"> </w:t>
      </w:r>
    </w:p>
    <w:p w:rsidR="00223A77" w:rsidRPr="004B208C" w:rsidRDefault="00A560B6" w:rsidP="00223A77">
      <w:pPr>
        <w:pStyle w:val="Heading3"/>
        <w:rPr>
          <w:rFonts w:ascii="Tahoma" w:hAnsi="Tahoma" w:cs="Tahoma"/>
        </w:rPr>
      </w:pPr>
      <w:bookmarkStart w:id="1048" w:name="_20_Visual_Studio"/>
      <w:bookmarkStart w:id="1049" w:name="_Toc336338276"/>
      <w:bookmarkStart w:id="1050" w:name="Aps_13VS2010ProfessionalMSDN"/>
      <w:bookmarkStart w:id="1051" w:name="_Toc370981393"/>
      <w:bookmarkEnd w:id="1048"/>
      <w:r w:rsidRPr="004B208C">
        <w:rPr>
          <w:rFonts w:ascii="Tahoma" w:hAnsi="Tahoma" w:cs="Tahoma"/>
          <w:caps/>
          <w:color w:val="F66400"/>
          <w:sz w:val="22"/>
          <w:vertAlign w:val="superscript"/>
        </w:rPr>
        <w:t>21</w:t>
      </w:r>
      <w:r w:rsidRPr="004B208C">
        <w:rPr>
          <w:rFonts w:ascii="Tahoma" w:hAnsi="Tahoma" w:cs="Tahoma"/>
          <w:color w:val="F66400"/>
          <w:sz w:val="22"/>
        </w:rPr>
        <w:t xml:space="preserve"> Visual Studio Professional 2013 com MSDN</w:t>
      </w:r>
      <w:bookmarkEnd w:id="1049"/>
      <w:bookmarkEnd w:id="1051"/>
      <w:r w:rsidRPr="004B208C">
        <w:rPr>
          <w:rFonts w:ascii="Tahoma" w:hAnsi="Tahoma" w:cs="Tahoma"/>
          <w:color w:val="F66400"/>
          <w:sz w:val="22"/>
        </w:rPr>
        <w:t xml:space="preserve"> </w:t>
      </w:r>
      <w:bookmarkEnd w:id="1046"/>
    </w:p>
    <w:p w:rsidR="00F6352F" w:rsidRPr="004B208C" w:rsidRDefault="00F6352F" w:rsidP="005B0791">
      <w:pPr>
        <w:ind w:left="720"/>
        <w:rPr>
          <w:rFonts w:cs="Tahoma"/>
        </w:rPr>
      </w:pPr>
    </w:p>
    <w:bookmarkEnd w:id="1050"/>
    <w:p w:rsidR="001026FD" w:rsidRPr="004B208C" w:rsidRDefault="001026FD" w:rsidP="00864B8A">
      <w:pPr>
        <w:spacing w:after="60"/>
        <w:ind w:left="720"/>
        <w:rPr>
          <w:rFonts w:cs="Tahoma"/>
        </w:rPr>
      </w:pPr>
      <w:r w:rsidRPr="004B208C">
        <w:rPr>
          <w:rFonts w:cs="Tahoma"/>
          <w:b/>
        </w:rPr>
        <w:lastRenderedPageBreak/>
        <w:t>Visual Studio Team Foundation Server 2013</w:t>
      </w:r>
    </w:p>
    <w:p w:rsidR="001026FD" w:rsidRPr="009078BB" w:rsidRDefault="001026FD" w:rsidP="005B0791">
      <w:pPr>
        <w:pStyle w:val="EndnoteText"/>
        <w:tabs>
          <w:tab w:val="num" w:pos="1350"/>
        </w:tabs>
        <w:ind w:left="720"/>
        <w:rPr>
          <w:rFonts w:ascii="Tahoma" w:hAnsi="Tahoma" w:cs="Tahoma"/>
          <w:sz w:val="18"/>
          <w:szCs w:val="18"/>
        </w:rPr>
      </w:pPr>
      <w:r w:rsidRPr="009078BB">
        <w:rPr>
          <w:rFonts w:ascii="Tahoma" w:hAnsi="Tahoma" w:cs="Tahoma"/>
          <w:sz w:val="18"/>
          <w:szCs w:val="18"/>
        </w:rPr>
        <w:t>O assinante está qualificado para uma licença de servidor para o Visual Studio Team Foundation Server 2013 e uma CAL de Usuário do Team Foundation Server.</w:t>
      </w:r>
      <w:r w:rsidR="00172F11" w:rsidRPr="009078BB">
        <w:rPr>
          <w:rFonts w:ascii="Tahoma" w:hAnsi="Tahoma" w:cs="Tahoma"/>
          <w:sz w:val="18"/>
          <w:szCs w:val="18"/>
        </w:rPr>
        <w:t xml:space="preserve"> </w:t>
      </w:r>
      <w:r w:rsidRPr="009078BB">
        <w:rPr>
          <w:rFonts w:ascii="Tahoma" w:hAnsi="Tahoma" w:cs="Tahoma"/>
          <w:sz w:val="18"/>
          <w:szCs w:val="18"/>
        </w:rPr>
        <w:t>A CAL é reservada unicamente para uso do assinante.</w:t>
      </w:r>
    </w:p>
    <w:p w:rsidR="001026FD" w:rsidRPr="009078BB" w:rsidRDefault="001026FD" w:rsidP="005B0791">
      <w:pPr>
        <w:pStyle w:val="EndnoteText"/>
        <w:tabs>
          <w:tab w:val="num" w:pos="1350"/>
        </w:tabs>
        <w:ind w:left="720"/>
        <w:rPr>
          <w:rFonts w:ascii="Tahoma" w:hAnsi="Tahoma" w:cs="Tahoma"/>
          <w:sz w:val="18"/>
          <w:szCs w:val="18"/>
        </w:rPr>
      </w:pPr>
    </w:p>
    <w:p w:rsidR="001026FD" w:rsidRPr="009078BB" w:rsidRDefault="001026FD" w:rsidP="00864B8A">
      <w:pPr>
        <w:spacing w:after="60"/>
        <w:ind w:left="720"/>
        <w:rPr>
          <w:rFonts w:cs="Tahoma"/>
          <w:szCs w:val="18"/>
        </w:rPr>
      </w:pPr>
      <w:r w:rsidRPr="009078BB">
        <w:rPr>
          <w:rFonts w:cs="Tahoma"/>
          <w:b/>
          <w:szCs w:val="18"/>
        </w:rPr>
        <w:t>SQL Server Parallel Data Warehouse Developer</w:t>
      </w:r>
    </w:p>
    <w:p w:rsidR="001026FD" w:rsidRPr="009078BB" w:rsidRDefault="001026FD" w:rsidP="005B0791">
      <w:pPr>
        <w:pStyle w:val="EndnoteText"/>
        <w:tabs>
          <w:tab w:val="num" w:pos="1350"/>
        </w:tabs>
        <w:ind w:left="720"/>
        <w:rPr>
          <w:rFonts w:ascii="Tahoma" w:hAnsi="Tahoma" w:cs="Tahoma"/>
          <w:sz w:val="18"/>
          <w:szCs w:val="18"/>
        </w:rPr>
      </w:pPr>
      <w:r w:rsidRPr="009078BB">
        <w:rPr>
          <w:rFonts w:ascii="Tahoma" w:hAnsi="Tahoma" w:cs="Tahoma"/>
          <w:sz w:val="18"/>
          <w:szCs w:val="18"/>
        </w:rPr>
        <w:t>O assinante é qualificado para uma licença do SQL Server 2012 Parallel Data Warehouse Developer.</w:t>
      </w:r>
    </w:p>
    <w:p w:rsidR="005B0791" w:rsidRPr="009078BB"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9078BB" w:rsidRDefault="00223A77" w:rsidP="00864B8A">
      <w:pPr>
        <w:spacing w:after="60"/>
        <w:ind w:left="720"/>
        <w:rPr>
          <w:rFonts w:cs="Tahoma"/>
          <w:szCs w:val="18"/>
        </w:rPr>
      </w:pPr>
      <w:r w:rsidRPr="009078BB">
        <w:rPr>
          <w:rFonts w:cs="Tahoma"/>
          <w:b/>
          <w:szCs w:val="18"/>
        </w:rPr>
        <w:t>Caminho de Migração do Software Assurance para o Visual Studio 2010 Professional com MSDN Embedded</w:t>
      </w:r>
    </w:p>
    <w:p w:rsidR="00223A77" w:rsidRPr="009078BB" w:rsidRDefault="00223A77" w:rsidP="005B0791">
      <w:pPr>
        <w:pStyle w:val="FootnoteBulletLevel1"/>
        <w:tabs>
          <w:tab w:val="clear" w:pos="900"/>
          <w:tab w:val="num" w:pos="1350"/>
        </w:tabs>
        <w:spacing w:before="0" w:after="0"/>
        <w:ind w:left="720" w:firstLine="0"/>
        <w:rPr>
          <w:rFonts w:ascii="Tahoma" w:hAnsi="Tahoma" w:cs="Tahoma"/>
          <w:sz w:val="18"/>
          <w:szCs w:val="18"/>
        </w:rPr>
      </w:pPr>
      <w:r w:rsidRPr="009078BB">
        <w:rPr>
          <w:rFonts w:ascii="Tahoma" w:hAnsi="Tahoma" w:cs="Tahoma"/>
          <w:sz w:val="18"/>
          <w:szCs w:val="18"/>
        </w:rPr>
        <w:t xml:space="preserve">A versão sucessora do Visual Studio 2010 Professional com MSDN Embedded é o Visual Studio Professional 2012 com MSDN. </w:t>
      </w:r>
    </w:p>
    <w:p w:rsidR="005B0791" w:rsidRPr="009078BB"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4B208C" w:rsidRDefault="00223A77" w:rsidP="00864B8A">
      <w:pPr>
        <w:spacing w:after="60"/>
        <w:ind w:left="720"/>
        <w:rPr>
          <w:rFonts w:cs="Tahoma"/>
        </w:rPr>
      </w:pPr>
      <w:r w:rsidRPr="004B208C">
        <w:rPr>
          <w:rFonts w:cs="Tahoma"/>
          <w:b/>
        </w:rPr>
        <w:t>Qualificação do Software Assurance</w:t>
      </w:r>
    </w:p>
    <w:p w:rsidR="00BE4D27" w:rsidRPr="009078BB" w:rsidRDefault="00223A77" w:rsidP="000C6DBC">
      <w:pPr>
        <w:pStyle w:val="EndnoteText"/>
        <w:tabs>
          <w:tab w:val="left" w:pos="1170"/>
        </w:tabs>
        <w:ind w:left="720"/>
        <w:rPr>
          <w:rFonts w:ascii="Tahoma" w:hAnsi="Tahoma" w:cs="Tahoma"/>
          <w:sz w:val="18"/>
          <w:szCs w:val="18"/>
        </w:rPr>
      </w:pPr>
      <w:r w:rsidRPr="009078BB">
        <w:rPr>
          <w:rFonts w:ascii="Tahoma" w:hAnsi="Tahoma" w:cs="Tahoma"/>
          <w:sz w:val="18"/>
          <w:szCs w:val="18"/>
        </w:rPr>
        <w:t>Os clientes com Software Assurance próximo à data de término referente às licenças dos produtos a seguir estão qualificados a renovar suas coberturas como Visual Studio Professional 2013 com MSDN. Ao renovar para um nível de assinatura do MSDN diferente, os novos termos de uso substituirão os termos de uso anteriores, e qualquer software não incluído na nova assinatura do MSDN deverá ser removido.</w:t>
      </w:r>
    </w:p>
    <w:p w:rsidR="00223A77" w:rsidRPr="009078BB" w:rsidRDefault="00223A77" w:rsidP="00223A77">
      <w:pPr>
        <w:pStyle w:val="EndnoteText"/>
        <w:rPr>
          <w:rFonts w:ascii="Tahoma" w:hAnsi="Tahoma" w:cs="Tahoma"/>
          <w:sz w:val="18"/>
          <w:szCs w:val="18"/>
        </w:rPr>
      </w:pP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Ultimate com MSDN</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Premium com MSDN</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Professional com MSDN</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Professional com MSDN Embedded</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Professional com MSDN Professional</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Professional com MSDN Premium</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Team System Team Suite com MSDN Premium</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Team System Test Edition com MSDN Premium</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Team System Development Edition com MSDN Premium</w:t>
      </w:r>
    </w:p>
    <w:p w:rsidR="00223A77"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 xml:space="preserve">Visual Studio Team System Architecture Edition com MSDN Premium </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Visual Studio Team System Database Edition com MSDN Premium</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Clientes com uma assinatura de varejo ativa para qualquer um dos softwares acima</w:t>
      </w:r>
    </w:p>
    <w:p w:rsidR="00223A77" w:rsidRPr="009078BB" w:rsidRDefault="00223A77" w:rsidP="005B0791">
      <w:pPr>
        <w:pStyle w:val="FootnoteBulletLevel2"/>
        <w:numPr>
          <w:ilvl w:val="0"/>
          <w:numId w:val="4"/>
        </w:numPr>
        <w:spacing w:before="0" w:after="60"/>
        <w:ind w:left="1440"/>
        <w:rPr>
          <w:rFonts w:ascii="Tahoma" w:hAnsi="Tahoma" w:cs="Tahoma"/>
          <w:sz w:val="18"/>
          <w:szCs w:val="18"/>
        </w:rPr>
      </w:pPr>
      <w:r w:rsidRPr="009078BB">
        <w:rPr>
          <w:rFonts w:ascii="Tahoma" w:hAnsi="Tahoma" w:cs="Tahoma"/>
          <w:sz w:val="18"/>
          <w:szCs w:val="18"/>
        </w:rPr>
        <w:t>MSDN Essentials (adquirido com a licença de varejo do Visual Studio 2010 Professional)</w:t>
      </w:r>
    </w:p>
    <w:p w:rsidR="00223A77" w:rsidRPr="009078BB" w:rsidRDefault="00223A77" w:rsidP="005B0791">
      <w:pPr>
        <w:pStyle w:val="FootnoteBulletLevel1"/>
        <w:spacing w:before="0" w:after="0"/>
        <w:ind w:left="0" w:firstLine="0"/>
        <w:rPr>
          <w:rFonts w:ascii="Tahoma" w:hAnsi="Tahoma" w:cs="Tahoma"/>
          <w:sz w:val="18"/>
          <w:szCs w:val="18"/>
        </w:rPr>
      </w:pPr>
    </w:p>
    <w:p w:rsidR="00223A77" w:rsidRPr="009078BB" w:rsidRDefault="00223A77" w:rsidP="005B0791">
      <w:pPr>
        <w:pStyle w:val="FootnoteBulletLevel1"/>
        <w:tabs>
          <w:tab w:val="clear" w:pos="900"/>
        </w:tabs>
        <w:spacing w:before="0" w:after="0"/>
        <w:ind w:left="720" w:firstLine="0"/>
        <w:rPr>
          <w:rFonts w:ascii="Tahoma" w:hAnsi="Tahoma" w:cs="Tahoma"/>
          <w:sz w:val="18"/>
          <w:szCs w:val="18"/>
        </w:rPr>
      </w:pPr>
      <w:r w:rsidRPr="009078BB">
        <w:rPr>
          <w:rFonts w:ascii="Tahoma" w:hAnsi="Tahoma" w:cs="Tahoma"/>
          <w:sz w:val="18"/>
          <w:szCs w:val="18"/>
        </w:rPr>
        <w:t xml:space="preserve">Os clientes do Enterprise, Select ou Open Value com cobertura ativa do Software Assurance para o Visual Studio Professional 2013 com MSDN também podem fazer step-up para o Visual Studio Premium 2013 com MSDN ou o Visual Studio Ultimate 2013 com MSDN por meio da aquisição de </w:t>
      </w:r>
      <w:hyperlink w:anchor="Step_Up" w:history="1">
        <w:r w:rsidRPr="009078BB">
          <w:rPr>
            <w:rFonts w:ascii="Tahoma" w:hAnsi="Tahoma" w:cs="Tahoma"/>
            <w:sz w:val="18"/>
            <w:szCs w:val="18"/>
          </w:rPr>
          <w:t>SKUs de Step-up</w:t>
        </w:r>
      </w:hyperlink>
      <w:r w:rsidRPr="009078BB">
        <w:rPr>
          <w:rFonts w:ascii="Tahoma" w:hAnsi="Tahoma" w:cs="Tahoma"/>
          <w:sz w:val="18"/>
          <w:szCs w:val="18"/>
        </w:rPr>
        <w:t xml:space="preserve"> apropriadas.</w:t>
      </w:r>
    </w:p>
    <w:p w:rsidR="005B0791" w:rsidRPr="009078BB" w:rsidRDefault="005B0791" w:rsidP="005B0791">
      <w:pPr>
        <w:pStyle w:val="FootnoteBulletLevel2"/>
        <w:tabs>
          <w:tab w:val="clear" w:pos="1260"/>
        </w:tabs>
        <w:spacing w:before="0"/>
        <w:ind w:left="720" w:firstLine="0"/>
        <w:rPr>
          <w:rFonts w:ascii="Tahoma" w:hAnsi="Tahoma" w:cs="Tahoma"/>
          <w:sz w:val="18"/>
          <w:szCs w:val="18"/>
        </w:rPr>
      </w:pPr>
    </w:p>
    <w:p w:rsidR="0055611F" w:rsidRPr="009078BB" w:rsidRDefault="009B2474" w:rsidP="001760D6">
      <w:pPr>
        <w:keepNext/>
        <w:spacing w:after="60"/>
        <w:ind w:left="720"/>
        <w:rPr>
          <w:rFonts w:cs="Tahoma"/>
          <w:szCs w:val="18"/>
        </w:rPr>
      </w:pPr>
      <w:r w:rsidRPr="009078BB">
        <w:rPr>
          <w:rFonts w:cs="Tahoma"/>
          <w:b/>
          <w:szCs w:val="18"/>
        </w:rPr>
        <w:t>Serviços de Assinatura</w:t>
      </w:r>
    </w:p>
    <w:p w:rsidR="0055611F" w:rsidRPr="009078BB" w:rsidRDefault="0055611F" w:rsidP="005B0791">
      <w:pPr>
        <w:pStyle w:val="FootnoteBulletLevel2"/>
        <w:tabs>
          <w:tab w:val="clear" w:pos="1260"/>
        </w:tabs>
        <w:spacing w:before="0"/>
        <w:ind w:left="720" w:firstLine="0"/>
        <w:rPr>
          <w:rFonts w:ascii="Tahoma" w:hAnsi="Tahoma" w:cs="Tahoma"/>
          <w:sz w:val="18"/>
          <w:szCs w:val="18"/>
        </w:rPr>
      </w:pPr>
      <w:r w:rsidRPr="009078BB">
        <w:rPr>
          <w:rFonts w:ascii="Tahoma" w:hAnsi="Tahoma" w:cs="Tahoma"/>
          <w:sz w:val="18"/>
          <w:szCs w:val="18"/>
        </w:rPr>
        <w:t>Os serviços de assinatura MSDN, que podem incluir downloads, chaves de produto, benefícios do Windows</w:t>
      </w:r>
      <w:r w:rsidR="009078BB">
        <w:rPr>
          <w:rFonts w:ascii="Tahoma" w:hAnsi="Tahoma" w:cs="Tahoma"/>
          <w:sz w:val="18"/>
          <w:szCs w:val="18"/>
        </w:rPr>
        <w:t> </w:t>
      </w:r>
      <w:r w:rsidRPr="009078BB">
        <w:rPr>
          <w:rFonts w:ascii="Tahoma" w:hAnsi="Tahoma" w:cs="Tahoma"/>
          <w:sz w:val="18"/>
          <w:szCs w:val="18"/>
        </w:rPr>
        <w:t>Azure, benefícios do Office 365 Developer, e-learning, suporte técnico, benefícios do Windows</w:t>
      </w:r>
      <w:r w:rsidR="009078BB">
        <w:rPr>
          <w:rFonts w:ascii="Tahoma" w:hAnsi="Tahoma" w:cs="Tahoma"/>
          <w:sz w:val="18"/>
          <w:szCs w:val="18"/>
        </w:rPr>
        <w:t> </w:t>
      </w:r>
      <w:r w:rsidRPr="009078BB">
        <w:rPr>
          <w:rFonts w:ascii="Tahoma" w:hAnsi="Tahoma" w:cs="Tahoma"/>
          <w:sz w:val="18"/>
          <w:szCs w:val="18"/>
        </w:rPr>
        <w:t>Store e</w:t>
      </w:r>
      <w:r w:rsidR="009078BB">
        <w:rPr>
          <w:rFonts w:ascii="Tahoma" w:hAnsi="Tahoma" w:cs="Tahoma"/>
          <w:sz w:val="18"/>
          <w:szCs w:val="18"/>
        </w:rPr>
        <w:t> </w:t>
      </w:r>
      <w:r w:rsidRPr="009078BB">
        <w:rPr>
          <w:rFonts w:ascii="Tahoma" w:hAnsi="Tahoma" w:cs="Tahoma"/>
          <w:sz w:val="18"/>
          <w:szCs w:val="18"/>
        </w:rPr>
        <w:t>outros serviços, só estarão disponíveis enquanto a assinatura estiver ativa.</w:t>
      </w:r>
    </w:p>
    <w:p w:rsidR="0055611F" w:rsidRPr="009078BB" w:rsidRDefault="0055611F" w:rsidP="005B0791">
      <w:pPr>
        <w:pStyle w:val="FootnoteBulletLevel1"/>
        <w:tabs>
          <w:tab w:val="clear" w:pos="900"/>
        </w:tabs>
        <w:spacing w:before="0" w:after="0"/>
        <w:ind w:left="720" w:firstLine="0"/>
        <w:rPr>
          <w:rFonts w:ascii="Tahoma" w:hAnsi="Tahoma" w:cs="Tahoma"/>
          <w:sz w:val="18"/>
          <w:szCs w:val="18"/>
        </w:rPr>
      </w:pPr>
    </w:p>
    <w:p w:rsidR="0055611F" w:rsidRPr="009078BB" w:rsidRDefault="009B2474" w:rsidP="00864B8A">
      <w:pPr>
        <w:spacing w:after="60"/>
        <w:ind w:left="720"/>
        <w:rPr>
          <w:rFonts w:cs="Tahoma"/>
          <w:szCs w:val="18"/>
        </w:rPr>
      </w:pPr>
      <w:r w:rsidRPr="009078BB">
        <w:rPr>
          <w:rFonts w:cs="Tahoma"/>
          <w:b/>
          <w:szCs w:val="18"/>
        </w:rPr>
        <w:t>Serviços da Plataforma do Windows Azure</w:t>
      </w:r>
    </w:p>
    <w:p w:rsidR="0055611F" w:rsidRPr="009078BB" w:rsidRDefault="0055611F" w:rsidP="005B0791">
      <w:pPr>
        <w:pStyle w:val="FootnoteBulletLevel2"/>
        <w:tabs>
          <w:tab w:val="clear" w:pos="1260"/>
        </w:tabs>
        <w:spacing w:before="0"/>
        <w:ind w:left="720" w:firstLine="0"/>
        <w:rPr>
          <w:rFonts w:ascii="Tahoma" w:hAnsi="Tahoma" w:cs="Tahoma"/>
          <w:sz w:val="18"/>
          <w:szCs w:val="18"/>
        </w:rPr>
      </w:pPr>
      <w:r w:rsidRPr="009078BB">
        <w:rPr>
          <w:rFonts w:ascii="Tahoma" w:hAnsi="Tahoma" w:cs="Tahoma"/>
          <w:sz w:val="18"/>
          <w:szCs w:val="18"/>
        </w:rPr>
        <w:t>Os benefícios do Windows Azure não podem ser combinados de várias assinaturas do MSDN em uma única conta do Windows Azure. O uso do Windows Azure está sujeito aos termos de uso do Windows Azure.</w:t>
      </w:r>
    </w:p>
    <w:p w:rsidR="005B0791" w:rsidRPr="009078BB" w:rsidRDefault="005B0791" w:rsidP="005B0791">
      <w:pPr>
        <w:pStyle w:val="FootnoteBulletLevel2"/>
        <w:tabs>
          <w:tab w:val="clear" w:pos="1260"/>
        </w:tabs>
        <w:spacing w:before="0"/>
        <w:ind w:left="0" w:firstLine="0"/>
        <w:rPr>
          <w:rFonts w:ascii="Tahoma" w:hAnsi="Tahoma" w:cs="Tahoma"/>
          <w:sz w:val="18"/>
          <w:szCs w:val="18"/>
        </w:rPr>
      </w:pPr>
    </w:p>
    <w:p w:rsidR="005B0791" w:rsidRDefault="005B0791" w:rsidP="005B0791">
      <w:pPr>
        <w:pStyle w:val="FootnoteBulletLevel2"/>
        <w:tabs>
          <w:tab w:val="clear" w:pos="1260"/>
        </w:tabs>
        <w:spacing w:before="0"/>
        <w:ind w:left="0" w:firstLine="0"/>
        <w:rPr>
          <w:rFonts w:ascii="Tahoma" w:hAnsi="Tahoma" w:cs="Tahoma"/>
          <w:sz w:val="18"/>
          <w:szCs w:val="18"/>
        </w:rPr>
      </w:pPr>
    </w:p>
    <w:p w:rsidR="006747B4" w:rsidRDefault="006747B4" w:rsidP="005B0791">
      <w:pPr>
        <w:pStyle w:val="FootnoteBulletLevel2"/>
        <w:tabs>
          <w:tab w:val="clear" w:pos="1260"/>
        </w:tabs>
        <w:spacing w:before="0"/>
        <w:ind w:left="0" w:firstLine="0"/>
        <w:rPr>
          <w:rFonts w:ascii="Tahoma" w:hAnsi="Tahoma" w:cs="Tahoma"/>
          <w:sz w:val="18"/>
          <w:szCs w:val="18"/>
        </w:rPr>
      </w:pPr>
    </w:p>
    <w:p w:rsidR="006747B4" w:rsidRDefault="006747B4" w:rsidP="005B0791">
      <w:pPr>
        <w:pStyle w:val="FootnoteBulletLevel2"/>
        <w:tabs>
          <w:tab w:val="clear" w:pos="1260"/>
        </w:tabs>
        <w:spacing w:before="0"/>
        <w:ind w:left="0" w:firstLine="0"/>
        <w:rPr>
          <w:rFonts w:ascii="Tahoma" w:hAnsi="Tahoma" w:cs="Tahoma"/>
          <w:sz w:val="18"/>
          <w:szCs w:val="18"/>
        </w:rPr>
      </w:pPr>
    </w:p>
    <w:p w:rsidR="006747B4" w:rsidRDefault="006747B4" w:rsidP="005B0791">
      <w:pPr>
        <w:pStyle w:val="FootnoteBulletLevel2"/>
        <w:tabs>
          <w:tab w:val="clear" w:pos="1260"/>
        </w:tabs>
        <w:spacing w:before="0"/>
        <w:ind w:left="0" w:firstLine="0"/>
        <w:rPr>
          <w:rFonts w:ascii="Tahoma" w:hAnsi="Tahoma" w:cs="Tahoma"/>
          <w:sz w:val="18"/>
          <w:szCs w:val="18"/>
        </w:rPr>
      </w:pPr>
    </w:p>
    <w:p w:rsidR="006747B4" w:rsidRPr="009078BB" w:rsidRDefault="006747B4" w:rsidP="005B0791">
      <w:pPr>
        <w:pStyle w:val="FootnoteBulletLevel2"/>
        <w:tabs>
          <w:tab w:val="clear" w:pos="1260"/>
        </w:tabs>
        <w:spacing w:before="0"/>
        <w:ind w:left="0" w:firstLine="0"/>
        <w:rPr>
          <w:rFonts w:ascii="Tahoma" w:hAnsi="Tahoma" w:cs="Tahoma"/>
          <w:sz w:val="18"/>
          <w:szCs w:val="18"/>
        </w:rPr>
      </w:pPr>
    </w:p>
    <w:p w:rsidR="00223A77" w:rsidRPr="004B208C" w:rsidRDefault="00A560B6" w:rsidP="00223A77">
      <w:pPr>
        <w:pStyle w:val="Heading3"/>
        <w:rPr>
          <w:rFonts w:ascii="Tahoma" w:hAnsi="Tahoma" w:cs="Tahoma"/>
        </w:rPr>
      </w:pPr>
      <w:bookmarkStart w:id="1052" w:name="_21_Visual_Studio"/>
      <w:bookmarkStart w:id="1053" w:name="_Toc336338277"/>
      <w:bookmarkStart w:id="1054" w:name="_Toc252341837"/>
      <w:bookmarkStart w:id="1055" w:name="Aps_16VS2010PremiumMSDN"/>
      <w:bookmarkStart w:id="1056" w:name="_Toc370981394"/>
      <w:bookmarkEnd w:id="1052"/>
      <w:r w:rsidRPr="004B208C">
        <w:rPr>
          <w:rFonts w:ascii="Tahoma" w:hAnsi="Tahoma" w:cs="Tahoma"/>
          <w:caps/>
          <w:color w:val="F66400"/>
          <w:sz w:val="22"/>
          <w:vertAlign w:val="superscript"/>
        </w:rPr>
        <w:t>22</w:t>
      </w:r>
      <w:r w:rsidRPr="004B208C">
        <w:rPr>
          <w:rFonts w:ascii="Tahoma" w:hAnsi="Tahoma" w:cs="Tahoma"/>
          <w:color w:val="F66400"/>
          <w:sz w:val="22"/>
        </w:rPr>
        <w:t xml:space="preserve"> Visual Studio Premium 2013 com MSDN</w:t>
      </w:r>
      <w:bookmarkEnd w:id="1053"/>
      <w:bookmarkEnd w:id="1056"/>
      <w:r w:rsidRPr="004B208C">
        <w:rPr>
          <w:rFonts w:ascii="Tahoma" w:hAnsi="Tahoma" w:cs="Tahoma"/>
          <w:color w:val="F66400"/>
          <w:sz w:val="22"/>
        </w:rPr>
        <w:t xml:space="preserve"> </w:t>
      </w:r>
      <w:bookmarkEnd w:id="1054"/>
    </w:p>
    <w:bookmarkEnd w:id="1055"/>
    <w:p w:rsidR="00CB436E" w:rsidRPr="009078BB" w:rsidRDefault="00CB436E" w:rsidP="00CB436E">
      <w:pPr>
        <w:pStyle w:val="FootnoteBulletLevel1"/>
        <w:tabs>
          <w:tab w:val="clear" w:pos="900"/>
        </w:tabs>
        <w:spacing w:before="0" w:after="0"/>
        <w:ind w:left="720" w:firstLine="0"/>
        <w:rPr>
          <w:rFonts w:ascii="Tahoma" w:hAnsi="Tahoma" w:cs="Tahoma"/>
          <w:sz w:val="18"/>
          <w:szCs w:val="18"/>
        </w:rPr>
      </w:pPr>
    </w:p>
    <w:p w:rsidR="001026FD" w:rsidRPr="009078BB" w:rsidRDefault="001026FD" w:rsidP="00864B8A">
      <w:pPr>
        <w:spacing w:after="60"/>
        <w:ind w:left="720"/>
        <w:rPr>
          <w:rFonts w:cs="Tahoma"/>
          <w:szCs w:val="18"/>
        </w:rPr>
      </w:pPr>
      <w:r w:rsidRPr="009078BB">
        <w:rPr>
          <w:rFonts w:cs="Tahoma"/>
          <w:b/>
          <w:szCs w:val="18"/>
        </w:rPr>
        <w:lastRenderedPageBreak/>
        <w:t>Visual Studio Team Foundation Server 2013</w:t>
      </w:r>
    </w:p>
    <w:p w:rsidR="001026FD" w:rsidRPr="009078BB" w:rsidRDefault="001026FD" w:rsidP="00CB436E">
      <w:pPr>
        <w:pStyle w:val="EndnoteText"/>
        <w:ind w:left="720"/>
        <w:rPr>
          <w:rFonts w:ascii="Tahoma" w:hAnsi="Tahoma" w:cs="Tahoma"/>
          <w:sz w:val="18"/>
          <w:szCs w:val="18"/>
        </w:rPr>
      </w:pPr>
      <w:r w:rsidRPr="009078BB">
        <w:rPr>
          <w:rFonts w:ascii="Tahoma" w:hAnsi="Tahoma" w:cs="Tahoma"/>
          <w:sz w:val="18"/>
          <w:szCs w:val="18"/>
        </w:rPr>
        <w:t>O assinante está qualificado para uma licença de servidor para o Visual Studio Team Foundation Server 2013 e uma CAL de Usuário do Team Foundation Server.</w:t>
      </w:r>
      <w:r w:rsidR="00172F11" w:rsidRPr="009078BB">
        <w:rPr>
          <w:rFonts w:ascii="Tahoma" w:hAnsi="Tahoma" w:cs="Tahoma"/>
          <w:sz w:val="18"/>
          <w:szCs w:val="18"/>
        </w:rPr>
        <w:t xml:space="preserve"> </w:t>
      </w:r>
      <w:r w:rsidRPr="009078BB">
        <w:rPr>
          <w:rFonts w:ascii="Tahoma" w:hAnsi="Tahoma" w:cs="Tahoma"/>
          <w:sz w:val="18"/>
          <w:szCs w:val="18"/>
        </w:rPr>
        <w:t>A CAL é reservada unicamente para uso do assinante.</w:t>
      </w:r>
    </w:p>
    <w:p w:rsidR="001026FD" w:rsidRPr="009078BB" w:rsidRDefault="001026FD" w:rsidP="00CB436E">
      <w:pPr>
        <w:pStyle w:val="EndnoteText"/>
        <w:ind w:left="720"/>
        <w:rPr>
          <w:rFonts w:ascii="Tahoma" w:hAnsi="Tahoma" w:cs="Tahoma"/>
          <w:sz w:val="18"/>
          <w:szCs w:val="18"/>
        </w:rPr>
      </w:pPr>
    </w:p>
    <w:p w:rsidR="001026FD" w:rsidRPr="009078BB" w:rsidRDefault="001026FD" w:rsidP="00864B8A">
      <w:pPr>
        <w:spacing w:after="60"/>
        <w:ind w:left="720"/>
        <w:rPr>
          <w:rFonts w:cs="Tahoma"/>
          <w:szCs w:val="18"/>
        </w:rPr>
      </w:pPr>
      <w:r w:rsidRPr="009078BB">
        <w:rPr>
          <w:rFonts w:cs="Tahoma"/>
          <w:b/>
          <w:szCs w:val="18"/>
        </w:rPr>
        <w:t>SQL Server Parallel Data Warehouse Developer</w:t>
      </w:r>
    </w:p>
    <w:p w:rsidR="001026FD" w:rsidRPr="009078BB" w:rsidRDefault="001026FD" w:rsidP="00CB436E">
      <w:pPr>
        <w:pStyle w:val="EndnoteText"/>
        <w:ind w:left="720"/>
        <w:rPr>
          <w:rFonts w:ascii="Tahoma" w:hAnsi="Tahoma" w:cs="Tahoma"/>
          <w:sz w:val="18"/>
          <w:szCs w:val="18"/>
        </w:rPr>
      </w:pPr>
      <w:r w:rsidRPr="009078BB">
        <w:rPr>
          <w:rFonts w:ascii="Tahoma" w:hAnsi="Tahoma" w:cs="Tahoma"/>
          <w:sz w:val="18"/>
          <w:szCs w:val="18"/>
        </w:rPr>
        <w:t>O assinante é qualificado para uma licença do SQL Server 2012 Parallel Data Warehouse Developer.</w:t>
      </w:r>
    </w:p>
    <w:p w:rsidR="00CB436E" w:rsidRPr="009078BB" w:rsidRDefault="00CB436E" w:rsidP="00CB436E">
      <w:pPr>
        <w:pStyle w:val="FootnoteBulletLevel1"/>
        <w:tabs>
          <w:tab w:val="clear" w:pos="900"/>
        </w:tabs>
        <w:spacing w:before="0" w:after="0"/>
        <w:ind w:left="720" w:firstLine="0"/>
        <w:rPr>
          <w:rFonts w:ascii="Tahoma" w:hAnsi="Tahoma" w:cs="Tahoma"/>
          <w:sz w:val="18"/>
          <w:szCs w:val="18"/>
        </w:rPr>
      </w:pPr>
    </w:p>
    <w:p w:rsidR="00223A77" w:rsidRPr="009078BB" w:rsidRDefault="009B2474" w:rsidP="00864B8A">
      <w:pPr>
        <w:spacing w:after="60"/>
        <w:ind w:left="720"/>
        <w:rPr>
          <w:rFonts w:cs="Tahoma"/>
          <w:szCs w:val="18"/>
        </w:rPr>
      </w:pPr>
      <w:r w:rsidRPr="009078BB">
        <w:rPr>
          <w:rFonts w:cs="Tahoma"/>
          <w:b/>
          <w:szCs w:val="18"/>
        </w:rPr>
        <w:t>Qualificação do Software Assurance</w:t>
      </w:r>
    </w:p>
    <w:p w:rsidR="00BE4D27" w:rsidRPr="009078BB" w:rsidRDefault="00223A77" w:rsidP="000C6DBC">
      <w:pPr>
        <w:pStyle w:val="EndnoteText"/>
        <w:tabs>
          <w:tab w:val="left" w:pos="1080"/>
        </w:tabs>
        <w:ind w:left="720"/>
        <w:rPr>
          <w:rFonts w:ascii="Tahoma" w:hAnsi="Tahoma" w:cs="Tahoma"/>
          <w:sz w:val="18"/>
          <w:szCs w:val="18"/>
        </w:rPr>
      </w:pPr>
      <w:r w:rsidRPr="009078BB">
        <w:rPr>
          <w:rFonts w:ascii="Tahoma" w:hAnsi="Tahoma" w:cs="Tahoma"/>
          <w:sz w:val="18"/>
          <w:szCs w:val="18"/>
        </w:rPr>
        <w:t>Os clientes com Software Assurance próximo à data de término referente aos produtos a seguir estão qualificados a renovar suas coberturas como Visual Studio Premium 2013 com MSDN. Ao renovar uma nível de assinatura MSDN diferente, os novos termos de uso substituirão os termos de uso anteriores, e qualquer software não incluído na nova assinatura MSDN deverá ser removido.</w:t>
      </w:r>
    </w:p>
    <w:p w:rsidR="00223A77" w:rsidRPr="009078BB" w:rsidRDefault="00223A77" w:rsidP="007E466C">
      <w:pPr>
        <w:pStyle w:val="EndnoteText"/>
        <w:ind w:left="720"/>
        <w:rPr>
          <w:rFonts w:ascii="Tahoma" w:hAnsi="Tahoma" w:cs="Tahoma"/>
          <w:sz w:val="18"/>
          <w:szCs w:val="18"/>
        </w:rPr>
      </w:pP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Visual Studio Ultimate com MSDN</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Visual Studio Premium com MSDN</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Visual Studio Professional com MSDN Premium</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Visual Studio Team System Team Suite com MSDN Premium</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Visual Studio Team System Test Edition com MSDN Premium</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Visual Studio Team System Development Edition com MSDN Premium</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 xml:space="preserve">Visual Studio Team System Architecture Edition com MSDN Premium </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Visual Studio Team System Database Edition com MSDN Premium</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Clientes com uma assinatura de varejo ativa para qualquer um dos softwares acima</w:t>
      </w:r>
    </w:p>
    <w:p w:rsidR="00413D8A" w:rsidRPr="009078BB" w:rsidRDefault="00413D8A">
      <w:pPr>
        <w:rPr>
          <w:rFonts w:cs="Tahoma"/>
          <w:szCs w:val="18"/>
        </w:rPr>
      </w:pPr>
    </w:p>
    <w:p w:rsidR="00223A77" w:rsidRPr="009078BB" w:rsidRDefault="00223A77" w:rsidP="00AF1D88">
      <w:pPr>
        <w:pStyle w:val="FootnoteBulletLevel1"/>
        <w:keepNext/>
        <w:tabs>
          <w:tab w:val="clear" w:pos="900"/>
        </w:tabs>
        <w:spacing w:before="0" w:after="0"/>
        <w:ind w:left="720" w:firstLine="0"/>
        <w:rPr>
          <w:rFonts w:ascii="Tahoma" w:hAnsi="Tahoma" w:cs="Tahoma"/>
          <w:sz w:val="18"/>
          <w:szCs w:val="18"/>
        </w:rPr>
      </w:pPr>
      <w:r w:rsidRPr="009078BB">
        <w:rPr>
          <w:rFonts w:ascii="Tahoma" w:hAnsi="Tahoma" w:cs="Tahoma"/>
          <w:sz w:val="18"/>
          <w:szCs w:val="18"/>
        </w:rPr>
        <w:t xml:space="preserve">Os clientes com Software Assurance próximo à data de término referente ao Visual Studio Premium 2013 com MSDN estão qualificados a renovar suas coberturas como: </w:t>
      </w:r>
    </w:p>
    <w:p w:rsidR="00CB436E" w:rsidRPr="009078BB" w:rsidRDefault="00CB436E" w:rsidP="00AF1D88">
      <w:pPr>
        <w:pStyle w:val="FootnoteBulletLevel1"/>
        <w:keepNext/>
        <w:spacing w:before="0" w:after="0"/>
        <w:ind w:left="907" w:firstLine="0"/>
        <w:rPr>
          <w:rFonts w:ascii="Tahoma" w:hAnsi="Tahoma" w:cs="Tahoma"/>
          <w:sz w:val="18"/>
          <w:szCs w:val="18"/>
        </w:rPr>
      </w:pPr>
    </w:p>
    <w:p w:rsidR="00223A77" w:rsidRPr="009078BB" w:rsidRDefault="00223A77" w:rsidP="00AF1D88">
      <w:pPr>
        <w:pStyle w:val="FootnoteBulletLevel2"/>
        <w:keepNext/>
        <w:numPr>
          <w:ilvl w:val="0"/>
          <w:numId w:val="6"/>
        </w:numPr>
        <w:spacing w:before="0" w:after="60"/>
        <w:ind w:left="1440"/>
        <w:rPr>
          <w:rFonts w:ascii="Tahoma" w:hAnsi="Tahoma" w:cs="Tahoma"/>
          <w:sz w:val="18"/>
          <w:szCs w:val="18"/>
        </w:rPr>
      </w:pPr>
      <w:r w:rsidRPr="009078BB">
        <w:rPr>
          <w:rFonts w:ascii="Tahoma" w:hAnsi="Tahoma" w:cs="Tahoma"/>
          <w:sz w:val="18"/>
          <w:szCs w:val="18"/>
        </w:rPr>
        <w:t>Visual Studio Professional com MSDN</w:t>
      </w:r>
    </w:p>
    <w:p w:rsidR="006771C8" w:rsidRPr="009078BB" w:rsidRDefault="006771C8"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Visual Studio Test Professional com MSDN</w:t>
      </w:r>
    </w:p>
    <w:p w:rsidR="00223A77" w:rsidRPr="009078BB" w:rsidRDefault="00223A77" w:rsidP="00CB436E">
      <w:pPr>
        <w:pStyle w:val="FootnoteBulletLevel2"/>
        <w:numPr>
          <w:ilvl w:val="0"/>
          <w:numId w:val="6"/>
        </w:numPr>
        <w:spacing w:before="0" w:after="60"/>
        <w:ind w:left="1440"/>
        <w:rPr>
          <w:rFonts w:ascii="Tahoma" w:hAnsi="Tahoma" w:cs="Tahoma"/>
          <w:sz w:val="18"/>
          <w:szCs w:val="18"/>
        </w:rPr>
      </w:pPr>
      <w:r w:rsidRPr="009078BB">
        <w:rPr>
          <w:rFonts w:ascii="Tahoma" w:hAnsi="Tahoma" w:cs="Tahoma"/>
          <w:sz w:val="18"/>
          <w:szCs w:val="18"/>
        </w:rPr>
        <w:t>MSDN Operating Systems</w:t>
      </w:r>
    </w:p>
    <w:p w:rsidR="00223A77" w:rsidRPr="009078BB" w:rsidRDefault="00223A77" w:rsidP="00CB436E">
      <w:pPr>
        <w:pStyle w:val="FootnoteBulletLevel1"/>
        <w:spacing w:before="0" w:after="0"/>
        <w:ind w:left="907" w:firstLine="0"/>
        <w:rPr>
          <w:rFonts w:ascii="Tahoma" w:hAnsi="Tahoma" w:cs="Tahoma"/>
          <w:sz w:val="18"/>
          <w:szCs w:val="18"/>
        </w:rPr>
      </w:pPr>
    </w:p>
    <w:p w:rsidR="0055611F" w:rsidRPr="009078BB" w:rsidRDefault="00223A77" w:rsidP="00076CB4">
      <w:pPr>
        <w:pStyle w:val="FootnoteBulletLevel1"/>
        <w:tabs>
          <w:tab w:val="clear" w:pos="900"/>
        </w:tabs>
        <w:spacing w:before="0" w:after="0"/>
        <w:ind w:left="720" w:firstLine="0"/>
        <w:rPr>
          <w:rFonts w:ascii="Tahoma" w:hAnsi="Tahoma" w:cs="Tahoma"/>
          <w:sz w:val="18"/>
          <w:szCs w:val="18"/>
        </w:rPr>
      </w:pPr>
      <w:r w:rsidRPr="009078BB">
        <w:rPr>
          <w:rFonts w:ascii="Tahoma" w:hAnsi="Tahoma" w:cs="Tahoma"/>
          <w:sz w:val="18"/>
          <w:szCs w:val="18"/>
        </w:rPr>
        <w:t>Os clientes do Enterprise, Select ou Open Value com cobertura do Software Assurance ativa para o Visual Studio Premium 2013 com MSDN também podem fazer step-up para o Visual Studio Ultimate 2013 com MSDN por meio da aquisição de SKUs de Step-Up apropriadas</w:t>
      </w:r>
      <w:hyperlink w:anchor="Step_Up" w:history="1"/>
      <w:r w:rsidRPr="009078BB">
        <w:rPr>
          <w:rFonts w:ascii="Tahoma" w:hAnsi="Tahoma" w:cs="Tahoma"/>
          <w:sz w:val="18"/>
          <w:szCs w:val="18"/>
        </w:rPr>
        <w:t>.</w:t>
      </w:r>
    </w:p>
    <w:p w:rsidR="00CB436E" w:rsidRPr="009078BB" w:rsidRDefault="00CB436E" w:rsidP="00076CB4">
      <w:pPr>
        <w:pStyle w:val="FootnoteBulletLevel2"/>
        <w:tabs>
          <w:tab w:val="clear" w:pos="1260"/>
        </w:tabs>
        <w:spacing w:before="0"/>
        <w:ind w:left="720" w:firstLine="0"/>
        <w:rPr>
          <w:rFonts w:ascii="Tahoma" w:hAnsi="Tahoma" w:cs="Tahoma"/>
          <w:sz w:val="18"/>
          <w:szCs w:val="18"/>
        </w:rPr>
      </w:pPr>
    </w:p>
    <w:p w:rsidR="0055611F" w:rsidRPr="009078BB" w:rsidRDefault="0055611F" w:rsidP="00864B8A">
      <w:pPr>
        <w:spacing w:after="60"/>
        <w:ind w:left="720"/>
        <w:rPr>
          <w:rFonts w:cs="Tahoma"/>
          <w:szCs w:val="18"/>
        </w:rPr>
      </w:pPr>
      <w:r w:rsidRPr="009078BB">
        <w:rPr>
          <w:rFonts w:cs="Tahoma"/>
          <w:b/>
          <w:szCs w:val="18"/>
        </w:rPr>
        <w:t>Serviços de Assinatura</w:t>
      </w:r>
    </w:p>
    <w:p w:rsidR="0055611F" w:rsidRPr="009078BB" w:rsidRDefault="0055611F" w:rsidP="00076CB4">
      <w:pPr>
        <w:pStyle w:val="FootnoteBulletLevel2"/>
        <w:tabs>
          <w:tab w:val="clear" w:pos="1260"/>
        </w:tabs>
        <w:spacing w:before="0"/>
        <w:ind w:left="720" w:firstLine="0"/>
        <w:rPr>
          <w:rFonts w:ascii="Tahoma" w:hAnsi="Tahoma" w:cs="Tahoma"/>
          <w:sz w:val="18"/>
          <w:szCs w:val="18"/>
        </w:rPr>
      </w:pPr>
      <w:r w:rsidRPr="009078BB">
        <w:rPr>
          <w:rFonts w:ascii="Tahoma" w:hAnsi="Tahoma" w:cs="Tahoma"/>
          <w:sz w:val="18"/>
          <w:szCs w:val="18"/>
        </w:rPr>
        <w:t>Os serviços de assinatura MSDN, que podem incluir downloads, chaves de produto, benefícios do Windows Azure, benefícios do Office 365 Developer, e-learning, suporte técnico, benefícios do Windows Store e</w:t>
      </w:r>
      <w:r w:rsidR="009078BB">
        <w:rPr>
          <w:rFonts w:ascii="Tahoma" w:hAnsi="Tahoma" w:cs="Tahoma"/>
          <w:sz w:val="18"/>
          <w:szCs w:val="18"/>
        </w:rPr>
        <w:t> </w:t>
      </w:r>
      <w:r w:rsidRPr="009078BB">
        <w:rPr>
          <w:rFonts w:ascii="Tahoma" w:hAnsi="Tahoma" w:cs="Tahoma"/>
          <w:sz w:val="18"/>
          <w:szCs w:val="18"/>
        </w:rPr>
        <w:t>outros serviços, só estarão disponíveis enquanto a assinatura estiver ativa.</w:t>
      </w:r>
    </w:p>
    <w:p w:rsidR="0055611F" w:rsidRPr="009078BB" w:rsidRDefault="0055611F" w:rsidP="00076CB4">
      <w:pPr>
        <w:pStyle w:val="FootnoteBulletLevel1"/>
        <w:tabs>
          <w:tab w:val="clear" w:pos="900"/>
        </w:tabs>
        <w:spacing w:before="0" w:after="0"/>
        <w:ind w:left="720" w:firstLine="0"/>
        <w:rPr>
          <w:rFonts w:ascii="Tahoma" w:hAnsi="Tahoma" w:cs="Tahoma"/>
          <w:sz w:val="18"/>
          <w:szCs w:val="18"/>
        </w:rPr>
      </w:pPr>
    </w:p>
    <w:p w:rsidR="0055611F" w:rsidRPr="009078BB" w:rsidRDefault="009B2474" w:rsidP="00864B8A">
      <w:pPr>
        <w:spacing w:after="60"/>
        <w:ind w:left="720"/>
        <w:rPr>
          <w:rFonts w:cs="Tahoma"/>
          <w:szCs w:val="18"/>
        </w:rPr>
      </w:pPr>
      <w:r w:rsidRPr="009078BB">
        <w:rPr>
          <w:rFonts w:cs="Tahoma"/>
          <w:b/>
          <w:szCs w:val="18"/>
        </w:rPr>
        <w:t>Serviços da Plataforma do Windows Azure</w:t>
      </w:r>
    </w:p>
    <w:p w:rsidR="00DB3ECB" w:rsidRPr="009078BB" w:rsidRDefault="0055611F" w:rsidP="001760D6">
      <w:pPr>
        <w:pStyle w:val="FootnoteBulletLevel2"/>
        <w:tabs>
          <w:tab w:val="clear" w:pos="1260"/>
        </w:tabs>
        <w:spacing w:before="0"/>
        <w:ind w:left="720" w:firstLine="0"/>
        <w:rPr>
          <w:rFonts w:ascii="Tahoma" w:hAnsi="Tahoma" w:cs="Tahoma"/>
          <w:sz w:val="18"/>
          <w:szCs w:val="18"/>
        </w:rPr>
      </w:pPr>
      <w:r w:rsidRPr="009078BB">
        <w:rPr>
          <w:rFonts w:ascii="Tahoma" w:hAnsi="Tahoma" w:cs="Tahoma"/>
          <w:sz w:val="18"/>
          <w:szCs w:val="18"/>
        </w:rPr>
        <w:t>Os benefícios do Windows Azure não podem ser combinados de várias assinaturas do MSDN em uma única conta do Windows Azure. O uso do Windows Azure está sujeito aos termos de uso do Windows Azure.</w:t>
      </w:r>
    </w:p>
    <w:p w:rsidR="0055611F" w:rsidRPr="009078BB" w:rsidRDefault="0055611F" w:rsidP="00CB436E">
      <w:pPr>
        <w:pStyle w:val="FootnoteBulletLevel2"/>
        <w:tabs>
          <w:tab w:val="clear" w:pos="1260"/>
        </w:tabs>
        <w:spacing w:before="0"/>
        <w:ind w:left="0" w:firstLine="0"/>
        <w:rPr>
          <w:rFonts w:ascii="Tahoma" w:hAnsi="Tahoma" w:cs="Tahoma"/>
          <w:sz w:val="18"/>
          <w:szCs w:val="18"/>
        </w:rPr>
      </w:pPr>
    </w:p>
    <w:p w:rsidR="00E03856" w:rsidRPr="009078BB" w:rsidRDefault="00E03856" w:rsidP="00CB436E">
      <w:pPr>
        <w:pStyle w:val="FootnoteBulletLevel2"/>
        <w:tabs>
          <w:tab w:val="clear" w:pos="1260"/>
        </w:tabs>
        <w:spacing w:before="0"/>
        <w:ind w:left="0" w:firstLine="0"/>
        <w:rPr>
          <w:rFonts w:ascii="Tahoma" w:hAnsi="Tahoma" w:cs="Tahoma"/>
          <w:sz w:val="18"/>
          <w:szCs w:val="18"/>
        </w:rPr>
      </w:pPr>
    </w:p>
    <w:p w:rsidR="00223A77" w:rsidRPr="004B208C" w:rsidRDefault="00A560B6" w:rsidP="00223A77">
      <w:pPr>
        <w:pStyle w:val="Heading3"/>
        <w:rPr>
          <w:rFonts w:ascii="Tahoma" w:hAnsi="Tahoma" w:cs="Tahoma"/>
        </w:rPr>
      </w:pPr>
      <w:bookmarkStart w:id="1057" w:name="_22_Visual_Studio"/>
      <w:bookmarkStart w:id="1058" w:name="_Toc336338278"/>
      <w:bookmarkStart w:id="1059" w:name="Aps_18VS2010UltimateMSDN"/>
      <w:bookmarkStart w:id="1060" w:name="_Toc370981395"/>
      <w:bookmarkEnd w:id="1057"/>
      <w:r w:rsidRPr="004B208C">
        <w:rPr>
          <w:rFonts w:ascii="Tahoma" w:hAnsi="Tahoma" w:cs="Tahoma"/>
          <w:caps/>
          <w:color w:val="F66400"/>
          <w:sz w:val="22"/>
          <w:vertAlign w:val="superscript"/>
        </w:rPr>
        <w:t>23</w:t>
      </w:r>
      <w:r w:rsidRPr="004B208C">
        <w:rPr>
          <w:rFonts w:ascii="Tahoma" w:hAnsi="Tahoma" w:cs="Tahoma"/>
          <w:color w:val="F66400"/>
          <w:sz w:val="22"/>
        </w:rPr>
        <w:t xml:space="preserve"> Visual Studio Ultimate 2013 com MSDN</w:t>
      </w:r>
      <w:bookmarkEnd w:id="1058"/>
      <w:bookmarkEnd w:id="1060"/>
      <w:r w:rsidRPr="004B208C">
        <w:rPr>
          <w:rFonts w:ascii="Tahoma" w:hAnsi="Tahoma" w:cs="Tahoma"/>
          <w:color w:val="F66400"/>
          <w:sz w:val="22"/>
        </w:rPr>
        <w:t xml:space="preserve"> </w:t>
      </w:r>
    </w:p>
    <w:bookmarkEnd w:id="1059"/>
    <w:p w:rsidR="0032113C" w:rsidRPr="004B208C" w:rsidRDefault="0032113C" w:rsidP="007A4659">
      <w:pPr>
        <w:adjustRightInd w:val="0"/>
        <w:ind w:left="540"/>
        <w:textAlignment w:val="baseline"/>
        <w:rPr>
          <w:rFonts w:cs="Tahoma"/>
        </w:rPr>
      </w:pPr>
    </w:p>
    <w:p w:rsidR="001026FD" w:rsidRPr="004B208C" w:rsidRDefault="001026FD" w:rsidP="00864B8A">
      <w:pPr>
        <w:spacing w:after="60"/>
        <w:ind w:left="720"/>
        <w:rPr>
          <w:rFonts w:cs="Tahoma"/>
        </w:rPr>
      </w:pPr>
      <w:r w:rsidRPr="004B208C">
        <w:rPr>
          <w:rFonts w:cs="Tahoma"/>
          <w:b/>
        </w:rPr>
        <w:t>Visual Studio Team Foundation Server 2013</w:t>
      </w:r>
    </w:p>
    <w:p w:rsidR="001026FD" w:rsidRPr="009078BB" w:rsidRDefault="001026FD" w:rsidP="007A4659">
      <w:pPr>
        <w:pStyle w:val="EndnoteText"/>
        <w:ind w:left="720"/>
        <w:rPr>
          <w:rFonts w:ascii="Tahoma" w:hAnsi="Tahoma" w:cs="Tahoma"/>
          <w:spacing w:val="-2"/>
          <w:sz w:val="18"/>
          <w:szCs w:val="18"/>
        </w:rPr>
      </w:pPr>
      <w:r w:rsidRPr="009078BB">
        <w:rPr>
          <w:rFonts w:ascii="Tahoma" w:hAnsi="Tahoma" w:cs="Tahoma"/>
          <w:spacing w:val="-2"/>
          <w:sz w:val="18"/>
          <w:szCs w:val="18"/>
        </w:rPr>
        <w:t>O assinante está qualificado para uma licença de servidor para o Visual Studio Team Foundation Server 2013 e</w:t>
      </w:r>
      <w:r w:rsidR="009078BB">
        <w:rPr>
          <w:rFonts w:ascii="Tahoma" w:hAnsi="Tahoma" w:cs="Tahoma"/>
          <w:spacing w:val="-2"/>
          <w:sz w:val="18"/>
          <w:szCs w:val="18"/>
        </w:rPr>
        <w:t> </w:t>
      </w:r>
      <w:r w:rsidRPr="009078BB">
        <w:rPr>
          <w:rFonts w:ascii="Tahoma" w:hAnsi="Tahoma" w:cs="Tahoma"/>
          <w:spacing w:val="-2"/>
          <w:sz w:val="18"/>
          <w:szCs w:val="18"/>
        </w:rPr>
        <w:t>uma CAL de Usuário do Team Foundation Server.</w:t>
      </w:r>
      <w:r w:rsidR="00172F11" w:rsidRPr="009078BB">
        <w:rPr>
          <w:rFonts w:ascii="Tahoma" w:hAnsi="Tahoma" w:cs="Tahoma"/>
          <w:spacing w:val="-2"/>
          <w:sz w:val="18"/>
          <w:szCs w:val="18"/>
        </w:rPr>
        <w:t xml:space="preserve"> </w:t>
      </w:r>
      <w:r w:rsidRPr="009078BB">
        <w:rPr>
          <w:rFonts w:ascii="Tahoma" w:hAnsi="Tahoma" w:cs="Tahoma"/>
          <w:spacing w:val="-2"/>
          <w:sz w:val="18"/>
          <w:szCs w:val="18"/>
        </w:rPr>
        <w:t>A CAL é reservada unicamente para uso do assinante.</w:t>
      </w:r>
    </w:p>
    <w:p w:rsidR="001026FD" w:rsidRPr="009078BB" w:rsidRDefault="001026FD" w:rsidP="007A4659">
      <w:pPr>
        <w:pStyle w:val="EndnoteText"/>
        <w:ind w:left="720"/>
        <w:rPr>
          <w:rFonts w:ascii="Tahoma" w:hAnsi="Tahoma" w:cs="Tahoma"/>
          <w:sz w:val="18"/>
          <w:szCs w:val="18"/>
        </w:rPr>
      </w:pPr>
    </w:p>
    <w:p w:rsidR="001026FD" w:rsidRPr="009078BB" w:rsidRDefault="001026FD" w:rsidP="00864B8A">
      <w:pPr>
        <w:spacing w:after="60"/>
        <w:ind w:left="720"/>
        <w:rPr>
          <w:rFonts w:cs="Tahoma"/>
          <w:szCs w:val="18"/>
        </w:rPr>
      </w:pPr>
      <w:r w:rsidRPr="009078BB">
        <w:rPr>
          <w:rFonts w:cs="Tahoma"/>
          <w:b/>
          <w:szCs w:val="18"/>
        </w:rPr>
        <w:t>SQL Server Parallel Data Warehouse Developer</w:t>
      </w:r>
    </w:p>
    <w:p w:rsidR="001026FD" w:rsidRPr="009078BB" w:rsidRDefault="001026FD" w:rsidP="007A4659">
      <w:pPr>
        <w:pStyle w:val="EndnoteText"/>
        <w:ind w:left="720"/>
        <w:rPr>
          <w:rFonts w:ascii="Tahoma" w:hAnsi="Tahoma" w:cs="Tahoma"/>
          <w:sz w:val="18"/>
          <w:szCs w:val="18"/>
        </w:rPr>
      </w:pPr>
      <w:r w:rsidRPr="009078BB">
        <w:rPr>
          <w:rFonts w:ascii="Tahoma" w:hAnsi="Tahoma" w:cs="Tahoma"/>
          <w:sz w:val="18"/>
          <w:szCs w:val="18"/>
        </w:rPr>
        <w:t>O assinante é qualificado para uma licença do SQL Server 2012 Parallel Data Warehouse Developer.</w:t>
      </w:r>
    </w:p>
    <w:p w:rsidR="007A4659" w:rsidRPr="009078BB" w:rsidRDefault="007A4659" w:rsidP="007A4659">
      <w:pPr>
        <w:adjustRightInd w:val="0"/>
        <w:ind w:left="720"/>
        <w:textAlignment w:val="baseline"/>
        <w:rPr>
          <w:rFonts w:cs="Tahoma"/>
          <w:szCs w:val="18"/>
        </w:rPr>
      </w:pPr>
    </w:p>
    <w:p w:rsidR="0032113C" w:rsidRPr="009078BB" w:rsidRDefault="0032113C" w:rsidP="00864B8A">
      <w:pPr>
        <w:spacing w:after="60"/>
        <w:ind w:left="720"/>
        <w:rPr>
          <w:rFonts w:cs="Tahoma"/>
          <w:szCs w:val="18"/>
        </w:rPr>
      </w:pPr>
      <w:r w:rsidRPr="009078BB">
        <w:rPr>
          <w:rFonts w:cs="Tahoma"/>
          <w:b/>
          <w:szCs w:val="18"/>
        </w:rPr>
        <w:t>Qualificação do Software Assurance</w:t>
      </w:r>
    </w:p>
    <w:p w:rsidR="0032113C" w:rsidRPr="009078BB" w:rsidRDefault="0032113C" w:rsidP="000C6DBC">
      <w:pPr>
        <w:pStyle w:val="EndnoteText"/>
        <w:ind w:left="720"/>
        <w:rPr>
          <w:rFonts w:ascii="Tahoma" w:hAnsi="Tahoma" w:cs="Tahoma"/>
          <w:sz w:val="18"/>
          <w:szCs w:val="18"/>
        </w:rPr>
      </w:pPr>
      <w:r w:rsidRPr="009078BB">
        <w:rPr>
          <w:rFonts w:ascii="Tahoma" w:hAnsi="Tahoma" w:cs="Tahoma"/>
          <w:sz w:val="18"/>
          <w:szCs w:val="18"/>
        </w:rPr>
        <w:t>Os clientes com Software Assurance próximo à data de término referente aos produtos a seguir estão qualificados a renovar suas coberturas como Visual Studio Ultimate 2013 com MSDN. Ao renovar para um nível de assinatura do MSDN diferente, os novos termos de uso substituirão os termos de uso anteriores, e</w:t>
      </w:r>
      <w:r w:rsidR="006C347F">
        <w:rPr>
          <w:rFonts w:ascii="Tahoma" w:hAnsi="Tahoma" w:cs="Tahoma"/>
          <w:sz w:val="18"/>
          <w:szCs w:val="18"/>
        </w:rPr>
        <w:t> </w:t>
      </w:r>
      <w:r w:rsidRPr="009078BB">
        <w:rPr>
          <w:rFonts w:ascii="Tahoma" w:hAnsi="Tahoma" w:cs="Tahoma"/>
          <w:sz w:val="18"/>
          <w:szCs w:val="18"/>
        </w:rPr>
        <w:t>qualquer software não incluído na nova assinatura do MSDN deverá ser removido.</w:t>
      </w:r>
    </w:p>
    <w:p w:rsidR="0032113C" w:rsidRPr="009078BB" w:rsidRDefault="0032113C" w:rsidP="0032113C">
      <w:pPr>
        <w:ind w:left="900"/>
        <w:rPr>
          <w:rFonts w:cs="Tahoma"/>
          <w:szCs w:val="18"/>
        </w:rPr>
      </w:pPr>
    </w:p>
    <w:p w:rsidR="0032113C" w:rsidRPr="009078BB" w:rsidRDefault="0032113C" w:rsidP="007A4659">
      <w:pPr>
        <w:numPr>
          <w:ilvl w:val="0"/>
          <w:numId w:val="6"/>
        </w:numPr>
        <w:adjustRightInd w:val="0"/>
        <w:snapToGrid w:val="0"/>
        <w:spacing w:after="60"/>
        <w:ind w:left="1440"/>
        <w:textAlignment w:val="baseline"/>
        <w:rPr>
          <w:rFonts w:cs="Tahoma"/>
          <w:szCs w:val="18"/>
        </w:rPr>
      </w:pPr>
      <w:r w:rsidRPr="009078BB">
        <w:rPr>
          <w:rFonts w:cs="Tahoma"/>
          <w:szCs w:val="18"/>
        </w:rPr>
        <w:t>Visual Studio Ultimate com MSDN</w:t>
      </w:r>
    </w:p>
    <w:p w:rsidR="0032113C" w:rsidRPr="009078BB" w:rsidRDefault="0032113C" w:rsidP="007A4659">
      <w:pPr>
        <w:numPr>
          <w:ilvl w:val="0"/>
          <w:numId w:val="6"/>
        </w:numPr>
        <w:adjustRightInd w:val="0"/>
        <w:snapToGrid w:val="0"/>
        <w:spacing w:after="60"/>
        <w:ind w:left="1440"/>
        <w:textAlignment w:val="baseline"/>
        <w:rPr>
          <w:rFonts w:cs="Tahoma"/>
          <w:szCs w:val="18"/>
        </w:rPr>
      </w:pPr>
      <w:r w:rsidRPr="009078BB">
        <w:rPr>
          <w:rFonts w:cs="Tahoma"/>
          <w:szCs w:val="18"/>
        </w:rPr>
        <w:t>Visual Studio Team System Team Suite com MSDN Premium</w:t>
      </w:r>
    </w:p>
    <w:p w:rsidR="0032113C" w:rsidRPr="009078BB" w:rsidRDefault="0032113C" w:rsidP="007A4659">
      <w:pPr>
        <w:numPr>
          <w:ilvl w:val="0"/>
          <w:numId w:val="6"/>
        </w:numPr>
        <w:adjustRightInd w:val="0"/>
        <w:snapToGrid w:val="0"/>
        <w:spacing w:after="60"/>
        <w:ind w:left="1440"/>
        <w:textAlignment w:val="baseline"/>
        <w:rPr>
          <w:rFonts w:cs="Tahoma"/>
          <w:szCs w:val="18"/>
        </w:rPr>
      </w:pPr>
      <w:r w:rsidRPr="009078BB">
        <w:rPr>
          <w:rFonts w:cs="Tahoma"/>
          <w:szCs w:val="18"/>
        </w:rPr>
        <w:t>Visual Studio Team System Test Edition com MSDN Premium</w:t>
      </w:r>
    </w:p>
    <w:p w:rsidR="0032113C" w:rsidRPr="009078BB" w:rsidRDefault="0032113C" w:rsidP="007A4659">
      <w:pPr>
        <w:numPr>
          <w:ilvl w:val="0"/>
          <w:numId w:val="6"/>
        </w:numPr>
        <w:adjustRightInd w:val="0"/>
        <w:snapToGrid w:val="0"/>
        <w:spacing w:after="60"/>
        <w:ind w:left="1440"/>
        <w:textAlignment w:val="baseline"/>
        <w:rPr>
          <w:rFonts w:cs="Tahoma"/>
          <w:szCs w:val="18"/>
        </w:rPr>
      </w:pPr>
      <w:r w:rsidRPr="009078BB">
        <w:rPr>
          <w:rFonts w:cs="Tahoma"/>
          <w:szCs w:val="18"/>
        </w:rPr>
        <w:t>Visual Studio Team System Development Edition com MSDN Premium</w:t>
      </w:r>
    </w:p>
    <w:p w:rsidR="0032113C" w:rsidRPr="009078BB" w:rsidRDefault="0032113C" w:rsidP="007A4659">
      <w:pPr>
        <w:numPr>
          <w:ilvl w:val="0"/>
          <w:numId w:val="6"/>
        </w:numPr>
        <w:adjustRightInd w:val="0"/>
        <w:snapToGrid w:val="0"/>
        <w:spacing w:after="60"/>
        <w:ind w:left="1440"/>
        <w:textAlignment w:val="baseline"/>
        <w:rPr>
          <w:rFonts w:cs="Tahoma"/>
          <w:szCs w:val="18"/>
        </w:rPr>
      </w:pPr>
      <w:r w:rsidRPr="009078BB">
        <w:rPr>
          <w:rFonts w:cs="Tahoma"/>
          <w:szCs w:val="18"/>
        </w:rPr>
        <w:t xml:space="preserve">Visual Studio Team System Architecture Edition com MSDN Premium </w:t>
      </w:r>
    </w:p>
    <w:p w:rsidR="0032113C" w:rsidRPr="009078BB" w:rsidRDefault="0032113C" w:rsidP="007A4659">
      <w:pPr>
        <w:numPr>
          <w:ilvl w:val="0"/>
          <w:numId w:val="6"/>
        </w:numPr>
        <w:adjustRightInd w:val="0"/>
        <w:snapToGrid w:val="0"/>
        <w:spacing w:after="60"/>
        <w:ind w:left="1440"/>
        <w:textAlignment w:val="baseline"/>
        <w:rPr>
          <w:rFonts w:cs="Tahoma"/>
          <w:szCs w:val="18"/>
        </w:rPr>
      </w:pPr>
      <w:r w:rsidRPr="009078BB">
        <w:rPr>
          <w:rFonts w:cs="Tahoma"/>
          <w:szCs w:val="18"/>
        </w:rPr>
        <w:t>Visual Studio Team System Database Edition com MSDN Premium</w:t>
      </w:r>
    </w:p>
    <w:p w:rsidR="0032113C" w:rsidRPr="009078BB" w:rsidRDefault="0032113C" w:rsidP="007A4659">
      <w:pPr>
        <w:numPr>
          <w:ilvl w:val="0"/>
          <w:numId w:val="6"/>
        </w:numPr>
        <w:adjustRightInd w:val="0"/>
        <w:snapToGrid w:val="0"/>
        <w:spacing w:after="60"/>
        <w:ind w:left="1440"/>
        <w:textAlignment w:val="baseline"/>
        <w:rPr>
          <w:rFonts w:cs="Tahoma"/>
          <w:szCs w:val="18"/>
        </w:rPr>
      </w:pPr>
      <w:r w:rsidRPr="009078BB">
        <w:rPr>
          <w:rFonts w:cs="Tahoma"/>
          <w:szCs w:val="18"/>
        </w:rPr>
        <w:t>Clientes com uma assinatura de varejo ativa para qualquer um dos softwares acima</w:t>
      </w:r>
    </w:p>
    <w:p w:rsidR="0032113C" w:rsidRPr="009078BB" w:rsidRDefault="0032113C" w:rsidP="007A4659">
      <w:pPr>
        <w:tabs>
          <w:tab w:val="num" w:pos="900"/>
        </w:tabs>
        <w:adjustRightInd w:val="0"/>
        <w:ind w:left="1440"/>
        <w:textAlignment w:val="baseline"/>
        <w:rPr>
          <w:rFonts w:cs="Tahoma"/>
          <w:szCs w:val="18"/>
        </w:rPr>
      </w:pPr>
    </w:p>
    <w:p w:rsidR="0032113C" w:rsidRPr="009078BB" w:rsidRDefault="0032113C" w:rsidP="007A4659">
      <w:pPr>
        <w:adjustRightInd w:val="0"/>
        <w:ind w:left="720"/>
        <w:textAlignment w:val="baseline"/>
        <w:rPr>
          <w:rFonts w:cs="Tahoma"/>
          <w:szCs w:val="18"/>
        </w:rPr>
      </w:pPr>
      <w:r w:rsidRPr="009078BB">
        <w:rPr>
          <w:rFonts w:cs="Tahoma"/>
          <w:szCs w:val="18"/>
        </w:rPr>
        <w:t xml:space="preserve">Os clientes com Software Assurance próximo à data de término referente ao Visual Studio Ultimate 2013 com MSDN estão qualificados a renovar suas coberturas como: </w:t>
      </w:r>
    </w:p>
    <w:p w:rsidR="007A4659" w:rsidRPr="004B208C" w:rsidRDefault="007A4659" w:rsidP="007A4659">
      <w:pPr>
        <w:adjustRightInd w:val="0"/>
        <w:ind w:left="720"/>
        <w:textAlignment w:val="baseline"/>
        <w:rPr>
          <w:rFonts w:cs="Tahoma"/>
        </w:rPr>
      </w:pPr>
    </w:p>
    <w:p w:rsidR="0032113C" w:rsidRPr="004B208C" w:rsidRDefault="0032113C" w:rsidP="007A4659">
      <w:pPr>
        <w:numPr>
          <w:ilvl w:val="0"/>
          <w:numId w:val="6"/>
        </w:numPr>
        <w:adjustRightInd w:val="0"/>
        <w:snapToGrid w:val="0"/>
        <w:spacing w:after="60"/>
        <w:ind w:left="1440"/>
        <w:textAlignment w:val="baseline"/>
        <w:rPr>
          <w:rFonts w:cs="Tahoma"/>
        </w:rPr>
      </w:pPr>
      <w:r w:rsidRPr="004B208C">
        <w:rPr>
          <w:rFonts w:cs="Tahoma"/>
          <w:szCs w:val="24"/>
        </w:rPr>
        <w:t>Visual Studio Premium com MSDN</w:t>
      </w:r>
    </w:p>
    <w:p w:rsidR="0032113C" w:rsidRPr="004B208C" w:rsidRDefault="0032113C" w:rsidP="007A4659">
      <w:pPr>
        <w:numPr>
          <w:ilvl w:val="0"/>
          <w:numId w:val="6"/>
        </w:numPr>
        <w:adjustRightInd w:val="0"/>
        <w:snapToGrid w:val="0"/>
        <w:spacing w:after="60"/>
        <w:ind w:left="1440"/>
        <w:textAlignment w:val="baseline"/>
        <w:rPr>
          <w:rFonts w:cs="Tahoma"/>
        </w:rPr>
      </w:pPr>
      <w:r w:rsidRPr="004B208C">
        <w:rPr>
          <w:rFonts w:cs="Tahoma"/>
          <w:szCs w:val="24"/>
        </w:rPr>
        <w:t>Visual Studio Professional com MSDN</w:t>
      </w:r>
    </w:p>
    <w:p w:rsidR="0032113C" w:rsidRPr="004B208C" w:rsidRDefault="0032113C" w:rsidP="007A4659">
      <w:pPr>
        <w:numPr>
          <w:ilvl w:val="0"/>
          <w:numId w:val="6"/>
        </w:numPr>
        <w:adjustRightInd w:val="0"/>
        <w:snapToGrid w:val="0"/>
        <w:spacing w:after="60"/>
        <w:ind w:left="1440"/>
        <w:textAlignment w:val="baseline"/>
        <w:rPr>
          <w:rFonts w:cs="Tahoma"/>
        </w:rPr>
      </w:pPr>
      <w:r w:rsidRPr="004B208C">
        <w:rPr>
          <w:rFonts w:cs="Tahoma"/>
          <w:szCs w:val="24"/>
        </w:rPr>
        <w:t>Visual Studio Test Professional com MSDN</w:t>
      </w:r>
    </w:p>
    <w:p w:rsidR="0032113C" w:rsidRPr="004B208C" w:rsidRDefault="0032113C" w:rsidP="007A4659">
      <w:pPr>
        <w:numPr>
          <w:ilvl w:val="0"/>
          <w:numId w:val="6"/>
        </w:numPr>
        <w:adjustRightInd w:val="0"/>
        <w:snapToGrid w:val="0"/>
        <w:spacing w:after="60"/>
        <w:ind w:left="1440"/>
        <w:textAlignment w:val="baseline"/>
        <w:rPr>
          <w:rFonts w:cs="Tahoma"/>
        </w:rPr>
      </w:pPr>
      <w:r w:rsidRPr="004B208C">
        <w:rPr>
          <w:rFonts w:cs="Tahoma"/>
          <w:szCs w:val="24"/>
        </w:rPr>
        <w:t>MSDN Operating Systems</w:t>
      </w:r>
    </w:p>
    <w:p w:rsidR="00413D8A" w:rsidRPr="004B208C" w:rsidRDefault="00413D8A">
      <w:pPr>
        <w:rPr>
          <w:rFonts w:cs="Tahoma"/>
        </w:rPr>
      </w:pPr>
    </w:p>
    <w:p w:rsidR="0055611F" w:rsidRPr="004B208C" w:rsidRDefault="009B2474" w:rsidP="007B35CE">
      <w:pPr>
        <w:keepNext/>
        <w:spacing w:after="60"/>
        <w:ind w:left="720"/>
        <w:rPr>
          <w:rFonts w:cs="Tahoma"/>
        </w:rPr>
      </w:pPr>
      <w:r w:rsidRPr="004B208C">
        <w:rPr>
          <w:rFonts w:cs="Tahoma"/>
          <w:b/>
        </w:rPr>
        <w:t>Serviços de Assinatura</w:t>
      </w:r>
    </w:p>
    <w:p w:rsidR="0055611F" w:rsidRPr="009078BB" w:rsidRDefault="0055611F" w:rsidP="007A4659">
      <w:pPr>
        <w:pStyle w:val="FootnoteBulletLevel2"/>
        <w:tabs>
          <w:tab w:val="clear" w:pos="1260"/>
        </w:tabs>
        <w:spacing w:before="0"/>
        <w:ind w:left="720" w:firstLine="0"/>
        <w:rPr>
          <w:rFonts w:ascii="Tahoma" w:hAnsi="Tahoma" w:cs="Tahoma"/>
          <w:sz w:val="18"/>
          <w:szCs w:val="18"/>
        </w:rPr>
      </w:pPr>
      <w:r w:rsidRPr="009078BB">
        <w:rPr>
          <w:rFonts w:ascii="Tahoma" w:hAnsi="Tahoma" w:cs="Tahoma"/>
          <w:sz w:val="18"/>
          <w:szCs w:val="18"/>
        </w:rPr>
        <w:t>Os serviços de assinatura MSDN, que podem incluir downloads, chaves de produto, benefícios do Windows Azure, benefícios do Office 365 Developer, e-learning, suporte técnico, benefícios do Windows Store e outros serviços, só estarão disponíveis enquanto a assinatura estiver ativa.</w:t>
      </w:r>
    </w:p>
    <w:p w:rsidR="0055611F" w:rsidRPr="009078BB" w:rsidRDefault="0055611F" w:rsidP="007A4659">
      <w:pPr>
        <w:pStyle w:val="FootnoteBulletLevel1"/>
        <w:spacing w:before="0" w:after="0"/>
        <w:ind w:left="720" w:firstLine="0"/>
        <w:rPr>
          <w:rFonts w:ascii="Tahoma" w:hAnsi="Tahoma" w:cs="Tahoma"/>
          <w:sz w:val="18"/>
          <w:szCs w:val="18"/>
        </w:rPr>
      </w:pPr>
    </w:p>
    <w:p w:rsidR="0055611F" w:rsidRPr="009078BB" w:rsidRDefault="0055611F" w:rsidP="00864B8A">
      <w:pPr>
        <w:spacing w:after="60"/>
        <w:ind w:left="720"/>
        <w:rPr>
          <w:rFonts w:cs="Tahoma"/>
          <w:szCs w:val="18"/>
        </w:rPr>
      </w:pPr>
      <w:r w:rsidRPr="009078BB">
        <w:rPr>
          <w:rFonts w:cs="Tahoma"/>
          <w:b/>
          <w:szCs w:val="18"/>
        </w:rPr>
        <w:t>Serviços da Plataforma do Windows Azure</w:t>
      </w:r>
    </w:p>
    <w:p w:rsidR="007A4659" w:rsidRDefault="0055611F" w:rsidP="007B35CE">
      <w:pPr>
        <w:adjustRightInd w:val="0"/>
        <w:snapToGrid w:val="0"/>
        <w:ind w:left="720"/>
        <w:textAlignment w:val="baseline"/>
        <w:rPr>
          <w:rFonts w:cs="Tahoma"/>
          <w:szCs w:val="18"/>
        </w:rPr>
      </w:pPr>
      <w:r w:rsidRPr="009078BB">
        <w:rPr>
          <w:rFonts w:cs="Tahoma"/>
          <w:szCs w:val="18"/>
        </w:rPr>
        <w:t>Os benefícios do Windows Azure não podem ser combinados de várias assinaturas do MSDN em uma única conta do Windows Azure. O uso do Windows Azure está sujeito aos termos de uso do Windows Azure.</w:t>
      </w:r>
      <w:bookmarkStart w:id="1061" w:name="Aps_19VS2010TestMSDN"/>
    </w:p>
    <w:p w:rsidR="00FC515F" w:rsidRDefault="00FC515F" w:rsidP="007B35CE">
      <w:pPr>
        <w:adjustRightInd w:val="0"/>
        <w:snapToGrid w:val="0"/>
        <w:ind w:left="720"/>
        <w:textAlignment w:val="baseline"/>
        <w:rPr>
          <w:rFonts w:cs="Tahoma"/>
          <w:szCs w:val="18"/>
        </w:rPr>
      </w:pPr>
    </w:p>
    <w:p w:rsidR="00FC515F" w:rsidRPr="009078BB" w:rsidRDefault="00FC515F" w:rsidP="007B35CE">
      <w:pPr>
        <w:adjustRightInd w:val="0"/>
        <w:snapToGrid w:val="0"/>
        <w:ind w:left="720"/>
        <w:textAlignment w:val="baseline"/>
        <w:rPr>
          <w:rFonts w:cs="Tahoma"/>
          <w:szCs w:val="18"/>
        </w:rPr>
      </w:pPr>
    </w:p>
    <w:p w:rsidR="00223A77" w:rsidRPr="004B208C" w:rsidRDefault="00A560B6" w:rsidP="00D824E9">
      <w:pPr>
        <w:pStyle w:val="Heading3"/>
        <w:keepNext/>
        <w:rPr>
          <w:rFonts w:ascii="Tahoma" w:hAnsi="Tahoma" w:cs="Tahoma"/>
        </w:rPr>
      </w:pPr>
      <w:bookmarkStart w:id="1062" w:name="_23_Visual_Studio"/>
      <w:bookmarkStart w:id="1063" w:name="_Toc336338279"/>
      <w:bookmarkStart w:id="1064" w:name="_Toc370981396"/>
      <w:bookmarkEnd w:id="1062"/>
      <w:r w:rsidRPr="004B208C">
        <w:rPr>
          <w:rFonts w:ascii="Tahoma" w:hAnsi="Tahoma" w:cs="Tahoma"/>
          <w:caps/>
          <w:color w:val="F66400"/>
          <w:sz w:val="22"/>
          <w:vertAlign w:val="superscript"/>
        </w:rPr>
        <w:t>24</w:t>
      </w:r>
      <w:r w:rsidRPr="004B208C">
        <w:rPr>
          <w:rFonts w:ascii="Tahoma" w:hAnsi="Tahoma" w:cs="Tahoma"/>
          <w:color w:val="F66400"/>
          <w:sz w:val="22"/>
        </w:rPr>
        <w:t xml:space="preserve"> Visual Studio Test Professional 2013 com </w:t>
      </w:r>
      <w:bookmarkEnd w:id="1061"/>
      <w:r w:rsidRPr="004B208C">
        <w:rPr>
          <w:rFonts w:ascii="Tahoma" w:hAnsi="Tahoma" w:cs="Tahoma"/>
          <w:color w:val="F66400"/>
          <w:sz w:val="22"/>
        </w:rPr>
        <w:t>MSDN</w:t>
      </w:r>
      <w:bookmarkEnd w:id="1063"/>
      <w:bookmarkEnd w:id="1064"/>
      <w:r w:rsidRPr="004B208C">
        <w:rPr>
          <w:rFonts w:ascii="Tahoma" w:hAnsi="Tahoma" w:cs="Tahoma"/>
          <w:color w:val="F66400"/>
          <w:sz w:val="22"/>
        </w:rPr>
        <w:t xml:space="preserve"> </w:t>
      </w:r>
    </w:p>
    <w:p w:rsidR="00AC4485" w:rsidRPr="009078BB" w:rsidRDefault="00AC4485" w:rsidP="00D824E9">
      <w:pPr>
        <w:pStyle w:val="FootnoteBulletLevel1"/>
        <w:keepNext/>
        <w:spacing w:before="0" w:after="0"/>
        <w:rPr>
          <w:rFonts w:ascii="Tahoma" w:hAnsi="Tahoma" w:cs="Tahoma"/>
          <w:sz w:val="18"/>
          <w:szCs w:val="18"/>
        </w:rPr>
      </w:pPr>
    </w:p>
    <w:p w:rsidR="001026FD" w:rsidRPr="009078BB" w:rsidRDefault="001026FD" w:rsidP="00D824E9">
      <w:pPr>
        <w:keepNext/>
        <w:spacing w:after="60"/>
        <w:ind w:left="720"/>
        <w:rPr>
          <w:rFonts w:cs="Tahoma"/>
          <w:szCs w:val="18"/>
        </w:rPr>
      </w:pPr>
      <w:r w:rsidRPr="009078BB">
        <w:rPr>
          <w:rFonts w:cs="Tahoma"/>
          <w:b/>
          <w:szCs w:val="18"/>
        </w:rPr>
        <w:t>Visual Studio Team Foundation Server 2013</w:t>
      </w:r>
    </w:p>
    <w:p w:rsidR="001026FD" w:rsidRPr="009078BB" w:rsidRDefault="001026FD" w:rsidP="00E7500D">
      <w:pPr>
        <w:pStyle w:val="EndnoteText"/>
        <w:ind w:left="720"/>
        <w:rPr>
          <w:rFonts w:ascii="Tahoma" w:hAnsi="Tahoma" w:cs="Tahoma"/>
          <w:sz w:val="18"/>
          <w:szCs w:val="18"/>
        </w:rPr>
      </w:pPr>
      <w:r w:rsidRPr="009078BB">
        <w:rPr>
          <w:rFonts w:ascii="Tahoma" w:hAnsi="Tahoma" w:cs="Tahoma"/>
          <w:sz w:val="18"/>
          <w:szCs w:val="18"/>
        </w:rPr>
        <w:t>O assinante está qualificado para uma licença de servidor para o Visual Studio Team Foundation Server 2013 e uma CAL de Usuário do Team Foundation Server.</w:t>
      </w:r>
      <w:r w:rsidR="00172F11" w:rsidRPr="009078BB">
        <w:rPr>
          <w:rFonts w:ascii="Tahoma" w:hAnsi="Tahoma" w:cs="Tahoma"/>
          <w:sz w:val="18"/>
          <w:szCs w:val="18"/>
        </w:rPr>
        <w:t xml:space="preserve"> </w:t>
      </w:r>
      <w:r w:rsidRPr="009078BB">
        <w:rPr>
          <w:rFonts w:ascii="Tahoma" w:hAnsi="Tahoma" w:cs="Tahoma"/>
          <w:sz w:val="18"/>
          <w:szCs w:val="18"/>
        </w:rPr>
        <w:t>A CAL é reservada unicamente para uso do assinante.</w:t>
      </w:r>
    </w:p>
    <w:p w:rsidR="001026FD" w:rsidRPr="009078BB" w:rsidRDefault="001026FD" w:rsidP="00E7500D">
      <w:pPr>
        <w:pStyle w:val="EndnoteText"/>
        <w:ind w:left="720"/>
        <w:rPr>
          <w:rFonts w:ascii="Tahoma" w:hAnsi="Tahoma" w:cs="Tahoma"/>
          <w:sz w:val="18"/>
          <w:szCs w:val="18"/>
        </w:rPr>
      </w:pPr>
    </w:p>
    <w:p w:rsidR="001026FD" w:rsidRPr="009078BB" w:rsidRDefault="001026FD" w:rsidP="00864B8A">
      <w:pPr>
        <w:spacing w:after="60"/>
        <w:ind w:left="720"/>
        <w:rPr>
          <w:rFonts w:cs="Tahoma"/>
          <w:szCs w:val="18"/>
        </w:rPr>
      </w:pPr>
      <w:r w:rsidRPr="009078BB">
        <w:rPr>
          <w:rFonts w:cs="Tahoma"/>
          <w:b/>
          <w:szCs w:val="18"/>
        </w:rPr>
        <w:t>SQL Server Parallel Data Warehouse Developer</w:t>
      </w:r>
    </w:p>
    <w:p w:rsidR="001026FD" w:rsidRPr="009078BB" w:rsidRDefault="001026FD" w:rsidP="00E7500D">
      <w:pPr>
        <w:pStyle w:val="EndnoteText"/>
        <w:ind w:left="720"/>
        <w:rPr>
          <w:rFonts w:ascii="Tahoma" w:hAnsi="Tahoma" w:cs="Tahoma"/>
          <w:sz w:val="18"/>
          <w:szCs w:val="18"/>
        </w:rPr>
      </w:pPr>
      <w:r w:rsidRPr="009078BB">
        <w:rPr>
          <w:rFonts w:ascii="Tahoma" w:hAnsi="Tahoma" w:cs="Tahoma"/>
          <w:sz w:val="18"/>
          <w:szCs w:val="18"/>
        </w:rPr>
        <w:t>O assinante é qualificado para uma licença do SQL Server 2012 Parallel Data Warehouse Developer.</w:t>
      </w:r>
    </w:p>
    <w:p w:rsidR="00E7500D" w:rsidRPr="009078BB" w:rsidRDefault="00E7500D" w:rsidP="00E7500D">
      <w:pPr>
        <w:pStyle w:val="FootnoteBulletLevel1"/>
        <w:tabs>
          <w:tab w:val="clear" w:pos="900"/>
        </w:tabs>
        <w:spacing w:before="0" w:after="0"/>
        <w:ind w:left="720" w:firstLine="0"/>
        <w:rPr>
          <w:rFonts w:ascii="Tahoma" w:hAnsi="Tahoma" w:cs="Tahoma"/>
          <w:sz w:val="18"/>
          <w:szCs w:val="18"/>
        </w:rPr>
      </w:pPr>
    </w:p>
    <w:p w:rsidR="00223A77" w:rsidRPr="009078BB" w:rsidRDefault="00223A77" w:rsidP="001760D6">
      <w:pPr>
        <w:keepNext/>
        <w:spacing w:after="60"/>
        <w:ind w:left="720"/>
        <w:rPr>
          <w:rFonts w:cs="Tahoma"/>
          <w:szCs w:val="18"/>
        </w:rPr>
      </w:pPr>
      <w:r w:rsidRPr="009078BB">
        <w:rPr>
          <w:rFonts w:cs="Tahoma"/>
          <w:b/>
          <w:szCs w:val="18"/>
        </w:rPr>
        <w:t>Qualificação do Software Assurance</w:t>
      </w:r>
    </w:p>
    <w:p w:rsidR="00223A77" w:rsidRPr="009078BB" w:rsidRDefault="00223A77" w:rsidP="00F40C90">
      <w:pPr>
        <w:tabs>
          <w:tab w:val="num" w:pos="1170"/>
        </w:tabs>
        <w:ind w:left="720"/>
        <w:rPr>
          <w:rFonts w:cs="Tahoma"/>
          <w:szCs w:val="18"/>
        </w:rPr>
      </w:pPr>
      <w:r w:rsidRPr="009078BB">
        <w:rPr>
          <w:rFonts w:cs="Tahoma"/>
          <w:szCs w:val="18"/>
        </w:rPr>
        <w:t>Os clientes com Software Assurance próximo à data de término referente aos produtos a seguir estão qualificados a renovar suas coberturas como Visual Studio Test Professional 2013 com MSDN. Ao renovar para um nível de assinatura do MSDN diferente, os novos termos de uso substituirão os termos de uso anteriores, e qualquer software não incluído na nova assinatura do MSDN deverá ser removido.</w:t>
      </w:r>
    </w:p>
    <w:p w:rsidR="00223A77" w:rsidRPr="009078BB" w:rsidRDefault="00223A77" w:rsidP="00E7500D">
      <w:pPr>
        <w:pStyle w:val="EndnoteText"/>
        <w:rPr>
          <w:rFonts w:ascii="Tahoma" w:hAnsi="Tahoma" w:cs="Tahoma"/>
          <w:sz w:val="18"/>
          <w:szCs w:val="18"/>
        </w:rPr>
      </w:pPr>
    </w:p>
    <w:p w:rsidR="00223A77" w:rsidRPr="009078BB" w:rsidRDefault="00223A77" w:rsidP="00E7500D">
      <w:pPr>
        <w:pStyle w:val="FootnoteBulletLevel2"/>
        <w:numPr>
          <w:ilvl w:val="0"/>
          <w:numId w:val="5"/>
        </w:numPr>
        <w:spacing w:before="0" w:after="60"/>
        <w:ind w:left="1440"/>
        <w:rPr>
          <w:rFonts w:ascii="Tahoma" w:hAnsi="Tahoma" w:cs="Tahoma"/>
          <w:sz w:val="18"/>
          <w:szCs w:val="18"/>
        </w:rPr>
      </w:pPr>
      <w:r w:rsidRPr="009078BB">
        <w:rPr>
          <w:rFonts w:ascii="Tahoma" w:hAnsi="Tahoma" w:cs="Tahoma"/>
          <w:sz w:val="18"/>
          <w:szCs w:val="18"/>
        </w:rPr>
        <w:t>Visual Studio Ultimate com MSDN</w:t>
      </w:r>
    </w:p>
    <w:p w:rsidR="00061A45" w:rsidRPr="009078BB" w:rsidRDefault="00BE4D27" w:rsidP="00E7500D">
      <w:pPr>
        <w:pStyle w:val="FootnoteBulletLevel2"/>
        <w:numPr>
          <w:ilvl w:val="0"/>
          <w:numId w:val="5"/>
        </w:numPr>
        <w:spacing w:before="0" w:after="60"/>
        <w:ind w:left="1440"/>
        <w:rPr>
          <w:rFonts w:ascii="Tahoma" w:hAnsi="Tahoma" w:cs="Tahoma"/>
          <w:sz w:val="18"/>
          <w:szCs w:val="18"/>
        </w:rPr>
      </w:pPr>
      <w:r w:rsidRPr="009078BB">
        <w:rPr>
          <w:rFonts w:ascii="Tahoma" w:hAnsi="Tahoma" w:cs="Tahoma"/>
          <w:sz w:val="18"/>
          <w:szCs w:val="18"/>
        </w:rPr>
        <w:t>Visual Studio Premium com MSDN</w:t>
      </w:r>
    </w:p>
    <w:p w:rsidR="00223A77" w:rsidRPr="009078BB" w:rsidRDefault="00223A77" w:rsidP="00E7500D">
      <w:pPr>
        <w:pStyle w:val="FootnoteBulletLevel2"/>
        <w:numPr>
          <w:ilvl w:val="0"/>
          <w:numId w:val="5"/>
        </w:numPr>
        <w:spacing w:before="0" w:after="60"/>
        <w:ind w:left="1440"/>
        <w:rPr>
          <w:rFonts w:ascii="Tahoma" w:hAnsi="Tahoma" w:cs="Tahoma"/>
          <w:sz w:val="18"/>
          <w:szCs w:val="18"/>
        </w:rPr>
      </w:pPr>
      <w:r w:rsidRPr="009078BB">
        <w:rPr>
          <w:rFonts w:ascii="Tahoma" w:hAnsi="Tahoma" w:cs="Tahoma"/>
          <w:sz w:val="18"/>
          <w:szCs w:val="18"/>
        </w:rPr>
        <w:t>Visual Studio Test Professional com MSDN</w:t>
      </w:r>
    </w:p>
    <w:p w:rsidR="00223A77" w:rsidRPr="009078BB" w:rsidRDefault="00223A77" w:rsidP="00E7500D">
      <w:pPr>
        <w:pStyle w:val="FootnoteBulletLevel2"/>
        <w:numPr>
          <w:ilvl w:val="0"/>
          <w:numId w:val="5"/>
        </w:numPr>
        <w:spacing w:before="0" w:after="60"/>
        <w:ind w:left="1440"/>
        <w:rPr>
          <w:rFonts w:ascii="Tahoma" w:hAnsi="Tahoma" w:cs="Tahoma"/>
          <w:sz w:val="18"/>
          <w:szCs w:val="18"/>
        </w:rPr>
      </w:pPr>
      <w:r w:rsidRPr="009078BB">
        <w:rPr>
          <w:rFonts w:ascii="Tahoma" w:hAnsi="Tahoma" w:cs="Tahoma"/>
          <w:sz w:val="18"/>
          <w:szCs w:val="18"/>
        </w:rPr>
        <w:lastRenderedPageBreak/>
        <w:t>Clientes com uma assinatura de varejo ativa para qualquer um dos softwares acima</w:t>
      </w:r>
    </w:p>
    <w:p w:rsidR="00223A77" w:rsidRPr="009078BB" w:rsidRDefault="00223A77" w:rsidP="00E7500D">
      <w:pPr>
        <w:pStyle w:val="FootnoteBulletLevel1"/>
        <w:spacing w:before="0" w:after="0"/>
        <w:ind w:firstLine="0"/>
        <w:rPr>
          <w:rFonts w:ascii="Tahoma" w:hAnsi="Tahoma" w:cs="Tahoma"/>
          <w:sz w:val="18"/>
          <w:szCs w:val="18"/>
        </w:rPr>
      </w:pPr>
    </w:p>
    <w:p w:rsidR="00E7500D" w:rsidRPr="009078BB" w:rsidRDefault="00223A77" w:rsidP="00E7500D">
      <w:pPr>
        <w:pStyle w:val="FootnoteBulletLevel2"/>
        <w:tabs>
          <w:tab w:val="clear" w:pos="1260"/>
        </w:tabs>
        <w:spacing w:before="0"/>
        <w:ind w:left="720" w:firstLine="0"/>
        <w:rPr>
          <w:rFonts w:ascii="Tahoma" w:hAnsi="Tahoma" w:cs="Tahoma"/>
          <w:sz w:val="18"/>
          <w:szCs w:val="18"/>
        </w:rPr>
      </w:pPr>
      <w:r w:rsidRPr="009078BB">
        <w:rPr>
          <w:rFonts w:ascii="Tahoma" w:hAnsi="Tahoma" w:cs="Tahoma"/>
          <w:sz w:val="18"/>
          <w:szCs w:val="18"/>
        </w:rPr>
        <w:t xml:space="preserve">Os clientes do Enterprise, Select ou Open Value com cobertura do Software Assurance ativa para o Visual Studio Test Professional 2013 com MSDN também podem fazer step-up para o Visual Studio Premium 2013 com MSDN por meio da aquisição de </w:t>
      </w:r>
      <w:hyperlink w:anchor="Step_Up" w:history="1">
        <w:r w:rsidRPr="009078BB">
          <w:rPr>
            <w:rFonts w:ascii="Tahoma" w:hAnsi="Tahoma" w:cs="Tahoma"/>
            <w:sz w:val="18"/>
            <w:szCs w:val="18"/>
          </w:rPr>
          <w:t>SKUs de Step-up</w:t>
        </w:r>
      </w:hyperlink>
      <w:r w:rsidRPr="009078BB">
        <w:rPr>
          <w:rFonts w:ascii="Tahoma" w:hAnsi="Tahoma" w:cs="Tahoma"/>
          <w:sz w:val="18"/>
          <w:szCs w:val="18"/>
        </w:rPr>
        <w:t xml:space="preserve"> apropriadas</w:t>
      </w:r>
    </w:p>
    <w:p w:rsidR="00101859" w:rsidRPr="009078BB" w:rsidRDefault="00101859">
      <w:pPr>
        <w:rPr>
          <w:rFonts w:cs="Tahoma"/>
          <w:szCs w:val="18"/>
        </w:rPr>
      </w:pPr>
    </w:p>
    <w:p w:rsidR="005C11D1" w:rsidRPr="009078BB" w:rsidRDefault="009B2474" w:rsidP="00864B8A">
      <w:pPr>
        <w:spacing w:after="60"/>
        <w:ind w:left="720"/>
        <w:rPr>
          <w:rFonts w:cs="Tahoma"/>
          <w:szCs w:val="18"/>
        </w:rPr>
      </w:pPr>
      <w:r w:rsidRPr="009078BB">
        <w:rPr>
          <w:rFonts w:cs="Tahoma"/>
          <w:b/>
          <w:szCs w:val="18"/>
        </w:rPr>
        <w:t>Serviços de Assinatura</w:t>
      </w:r>
    </w:p>
    <w:p w:rsidR="001051D1" w:rsidRPr="009078BB" w:rsidRDefault="005C11D1" w:rsidP="00E7500D">
      <w:pPr>
        <w:ind w:left="720"/>
        <w:rPr>
          <w:rFonts w:cs="Tahoma"/>
          <w:szCs w:val="18"/>
        </w:rPr>
      </w:pPr>
      <w:r w:rsidRPr="009078BB">
        <w:rPr>
          <w:rFonts w:cs="Tahoma"/>
          <w:szCs w:val="18"/>
        </w:rPr>
        <w:t>Os serviços de assinatura MSDN, que podem incluir downloads, chaves de produto, benefícios do Windows Azure, benefícios do Office 365 Developer, e-learning, suporte técnico, benefícios do Windows Store e</w:t>
      </w:r>
      <w:r w:rsidR="003D6A93">
        <w:rPr>
          <w:rFonts w:cs="Tahoma"/>
          <w:szCs w:val="18"/>
        </w:rPr>
        <w:t> </w:t>
      </w:r>
      <w:r w:rsidRPr="009078BB">
        <w:rPr>
          <w:rFonts w:cs="Tahoma"/>
          <w:szCs w:val="18"/>
        </w:rPr>
        <w:t>outros serviços, só estarão disponíveis enquanto a assinatura estiver ativa.</w:t>
      </w:r>
      <w:bookmarkStart w:id="1065" w:name="_14_Operating_System"/>
      <w:bookmarkEnd w:id="1065"/>
    </w:p>
    <w:p w:rsidR="00E03856" w:rsidRPr="009078BB" w:rsidRDefault="001051D1">
      <w:pPr>
        <w:rPr>
          <w:rFonts w:cs="Tahoma"/>
          <w:szCs w:val="18"/>
        </w:rPr>
      </w:pPr>
      <w:r w:rsidRPr="009078BB">
        <w:rPr>
          <w:rFonts w:cs="Tahoma"/>
          <w:szCs w:val="18"/>
        </w:rPr>
        <w:br w:type="page"/>
      </w:r>
      <w:bookmarkStart w:id="1066" w:name="_Toc336338280"/>
    </w:p>
    <w:p w:rsidR="00023FE7" w:rsidRPr="004B208C" w:rsidRDefault="00023FE7" w:rsidP="002E57CF">
      <w:pPr>
        <w:pStyle w:val="Heading2"/>
        <w:ind w:left="0"/>
        <w:rPr>
          <w:rFonts w:ascii="Tahoma" w:hAnsi="Tahoma" w:cs="Tahoma"/>
        </w:rPr>
      </w:pPr>
      <w:bookmarkStart w:id="1067" w:name="_Toc370981397"/>
      <w:r w:rsidRPr="004B208C">
        <w:rPr>
          <w:rFonts w:ascii="Tahoma" w:hAnsi="Tahoma" w:cs="Tahoma"/>
          <w:sz w:val="28"/>
        </w:rPr>
        <w:lastRenderedPageBreak/>
        <w:t>Pool de Sistemas</w:t>
      </w:r>
      <w:bookmarkEnd w:id="1066"/>
      <w:bookmarkEnd w:id="1067"/>
    </w:p>
    <w:p w:rsidR="00023FE7" w:rsidRPr="004B208C" w:rsidRDefault="00023FE7">
      <w:pPr>
        <w:rPr>
          <w:rFonts w:cs="Tahoma"/>
        </w:rPr>
      </w:pPr>
    </w:p>
    <w:p w:rsidR="009C2B6B" w:rsidRPr="004B208C" w:rsidRDefault="009C2B6B">
      <w:pPr>
        <w:rPr>
          <w:rFonts w:cs="Tahoma"/>
        </w:rPr>
      </w:pPr>
    </w:p>
    <w:p w:rsidR="00E14FF2" w:rsidRPr="004B208C" w:rsidRDefault="00A560B6" w:rsidP="00A53269">
      <w:pPr>
        <w:pStyle w:val="Heading3"/>
        <w:rPr>
          <w:rFonts w:ascii="Tahoma" w:hAnsi="Tahoma" w:cs="Tahoma"/>
        </w:rPr>
      </w:pPr>
      <w:bookmarkStart w:id="1068" w:name="_24_Microsoft_Desktop"/>
      <w:bookmarkStart w:id="1069" w:name="_Toc336338283"/>
      <w:bookmarkStart w:id="1070" w:name="Sys_21MDOPforSA"/>
      <w:bookmarkStart w:id="1071" w:name="Sys_25MDOPforSA"/>
      <w:bookmarkStart w:id="1072" w:name="_Toc370981398"/>
      <w:bookmarkEnd w:id="1068"/>
      <w:r w:rsidRPr="004B208C">
        <w:rPr>
          <w:rFonts w:ascii="Tahoma" w:hAnsi="Tahoma" w:cs="Tahoma"/>
          <w:caps/>
          <w:color w:val="F66400"/>
          <w:sz w:val="22"/>
          <w:vertAlign w:val="superscript"/>
        </w:rPr>
        <w:t>25</w:t>
      </w:r>
      <w:r w:rsidRPr="004B208C">
        <w:rPr>
          <w:rFonts w:ascii="Tahoma" w:hAnsi="Tahoma" w:cs="Tahoma"/>
          <w:color w:val="F66400"/>
          <w:sz w:val="22"/>
        </w:rPr>
        <w:t xml:space="preserve"> Microsoft Desktop Optimization Pack para Software Assurance</w:t>
      </w:r>
      <w:bookmarkEnd w:id="1069"/>
      <w:bookmarkEnd w:id="1072"/>
    </w:p>
    <w:bookmarkEnd w:id="1070"/>
    <w:p w:rsidR="007A73DF" w:rsidRPr="004B208C" w:rsidRDefault="007A73DF" w:rsidP="00483B3D">
      <w:pPr>
        <w:rPr>
          <w:rFonts w:cs="Tahoma"/>
        </w:rPr>
      </w:pPr>
    </w:p>
    <w:p w:rsidR="00475147" w:rsidRPr="004B208C" w:rsidRDefault="0037362E" w:rsidP="00483B3D">
      <w:pPr>
        <w:ind w:left="720"/>
        <w:rPr>
          <w:rFonts w:cs="Tahoma"/>
        </w:rPr>
      </w:pPr>
      <w:r w:rsidRPr="004B208C">
        <w:rPr>
          <w:rFonts w:eastAsia="Calibri" w:cs="Tahoma"/>
          <w:color w:val="000000"/>
          <w:szCs w:val="18"/>
        </w:rPr>
        <w:t>Os Clientes que desejam adquirir o Microsoft Desktop Optimization Pack for Software Assurance (MDOP) devem primeiro adquirir e atribuir a seu desktop um dos seguintes:</w:t>
      </w:r>
    </w:p>
    <w:p w:rsidR="00676723" w:rsidRPr="004B208C" w:rsidRDefault="00676723" w:rsidP="00483B3D">
      <w:pPr>
        <w:ind w:left="720"/>
        <w:rPr>
          <w:rFonts w:cs="Tahoma"/>
        </w:rPr>
      </w:pPr>
    </w:p>
    <w:p w:rsidR="00475147" w:rsidRPr="004B208C" w:rsidRDefault="00475147" w:rsidP="00A1385C">
      <w:pPr>
        <w:numPr>
          <w:ilvl w:val="0"/>
          <w:numId w:val="48"/>
        </w:numPr>
        <w:tabs>
          <w:tab w:val="left" w:pos="1440"/>
        </w:tabs>
        <w:ind w:left="1440" w:hanging="446"/>
        <w:rPr>
          <w:rFonts w:cs="Tahoma"/>
        </w:rPr>
      </w:pPr>
      <w:r w:rsidRPr="004B208C">
        <w:rPr>
          <w:rFonts w:eastAsia="Calibri" w:cs="Tahoma"/>
          <w:color w:val="000000"/>
          <w:szCs w:val="18"/>
        </w:rPr>
        <w:t>Software Assurance ativo para o Sistema Operacional Windows Desktop ou</w:t>
      </w:r>
    </w:p>
    <w:p w:rsidR="00475147" w:rsidRPr="004B208C" w:rsidRDefault="00475147" w:rsidP="00A1385C">
      <w:pPr>
        <w:numPr>
          <w:ilvl w:val="0"/>
          <w:numId w:val="48"/>
        </w:numPr>
        <w:tabs>
          <w:tab w:val="left" w:pos="1440"/>
        </w:tabs>
        <w:ind w:left="1440" w:hanging="446"/>
        <w:rPr>
          <w:rFonts w:cs="Tahoma"/>
        </w:rPr>
      </w:pPr>
      <w:r w:rsidRPr="004B208C">
        <w:rPr>
          <w:rFonts w:eastAsia="Calibri" w:cs="Tahoma"/>
          <w:color w:val="000000"/>
          <w:szCs w:val="18"/>
        </w:rPr>
        <w:t>Uma licença do Windows Virtual Desktop Access ou</w:t>
      </w:r>
    </w:p>
    <w:p w:rsidR="00475147" w:rsidRPr="004B208C" w:rsidRDefault="00475147" w:rsidP="00A1385C">
      <w:pPr>
        <w:numPr>
          <w:ilvl w:val="0"/>
          <w:numId w:val="48"/>
        </w:numPr>
        <w:tabs>
          <w:tab w:val="left" w:pos="1440"/>
        </w:tabs>
        <w:ind w:left="1440" w:hanging="446"/>
        <w:rPr>
          <w:rFonts w:cs="Tahoma"/>
        </w:rPr>
      </w:pPr>
      <w:r w:rsidRPr="004B208C">
        <w:rPr>
          <w:rFonts w:eastAsia="Calibri" w:cs="Tahoma"/>
          <w:color w:val="000000"/>
          <w:szCs w:val="18"/>
        </w:rPr>
        <w:t xml:space="preserve">Uma assinatura ativa para Windows Intune </w:t>
      </w:r>
      <w:r w:rsidRPr="004B208C">
        <w:rPr>
          <w:rFonts w:cs="Tahoma"/>
          <w:szCs w:val="18"/>
        </w:rPr>
        <w:t>(Por Dispositivo)</w:t>
      </w:r>
      <w:r w:rsidRPr="004B208C">
        <w:rPr>
          <w:rFonts w:eastAsia="Calibri" w:cs="Tahoma"/>
          <w:color w:val="000000"/>
          <w:szCs w:val="18"/>
        </w:rPr>
        <w:t>.</w:t>
      </w:r>
    </w:p>
    <w:p w:rsidR="00475147" w:rsidRPr="004B208C" w:rsidRDefault="00475147" w:rsidP="00483B3D">
      <w:pPr>
        <w:spacing w:before="120"/>
        <w:ind w:left="720"/>
        <w:rPr>
          <w:rFonts w:cs="Tahoma"/>
        </w:rPr>
      </w:pPr>
      <w:r w:rsidRPr="004B208C">
        <w:rPr>
          <w:rFonts w:eastAsia="Calibri" w:cs="Tahoma"/>
          <w:color w:val="000000"/>
          <w:szCs w:val="18"/>
        </w:rPr>
        <w:t>Dispositivos cobertos pela Licença de Assinatura do Windows Companion ativa também são permitidos.</w:t>
      </w:r>
    </w:p>
    <w:p w:rsidR="007A73DF" w:rsidRPr="004B208C" w:rsidRDefault="007A73DF" w:rsidP="00483B3D">
      <w:pPr>
        <w:ind w:left="720"/>
        <w:rPr>
          <w:rFonts w:cs="Tahoma"/>
        </w:rPr>
      </w:pPr>
    </w:p>
    <w:p w:rsidR="00F7027D" w:rsidRPr="004B208C" w:rsidRDefault="00F7027D" w:rsidP="00483B3D">
      <w:pPr>
        <w:ind w:left="720"/>
        <w:rPr>
          <w:rFonts w:cs="Tahoma"/>
        </w:rPr>
      </w:pPr>
      <w:r w:rsidRPr="004B208C">
        <w:rPr>
          <w:rFonts w:eastAsia="Calibri" w:cs="Tahoma"/>
          <w:color w:val="000000"/>
          <w:szCs w:val="18"/>
        </w:rPr>
        <w:t>Os clientes de Licenciamento por Volume com licenças ativas para o MDOP receberão os seguintes softwares (conforme forem disponibilizados).</w:t>
      </w:r>
    </w:p>
    <w:p w:rsidR="007A73DF" w:rsidRPr="004B208C" w:rsidRDefault="007A73DF" w:rsidP="00483B3D">
      <w:pPr>
        <w:ind w:left="720"/>
        <w:rPr>
          <w:rFonts w:cs="Tahoma"/>
        </w:rPr>
      </w:pPr>
    </w:p>
    <w:p w:rsidR="00E52A26" w:rsidRPr="004B208C" w:rsidRDefault="00E52A26" w:rsidP="00A1385C">
      <w:pPr>
        <w:numPr>
          <w:ilvl w:val="0"/>
          <w:numId w:val="48"/>
        </w:numPr>
        <w:tabs>
          <w:tab w:val="left" w:pos="1440"/>
        </w:tabs>
        <w:spacing w:after="60"/>
        <w:ind w:left="1440" w:hanging="446"/>
        <w:rPr>
          <w:rFonts w:cs="Tahoma"/>
        </w:rPr>
      </w:pPr>
      <w:r w:rsidRPr="004B208C">
        <w:rPr>
          <w:rFonts w:eastAsia="Calibri" w:cs="Tahoma"/>
          <w:color w:val="000000"/>
          <w:szCs w:val="18"/>
        </w:rPr>
        <w:t>Microsoft Application Virtualization para Windows Desktops (App-V)</w:t>
      </w:r>
    </w:p>
    <w:p w:rsidR="00E52A26" w:rsidRPr="004B208C" w:rsidRDefault="00E52A26" w:rsidP="00A1385C">
      <w:pPr>
        <w:numPr>
          <w:ilvl w:val="0"/>
          <w:numId w:val="48"/>
        </w:numPr>
        <w:tabs>
          <w:tab w:val="left" w:pos="1440"/>
        </w:tabs>
        <w:spacing w:after="60"/>
        <w:ind w:left="1440" w:hanging="446"/>
        <w:rPr>
          <w:rFonts w:cs="Tahoma"/>
        </w:rPr>
      </w:pPr>
      <w:r w:rsidRPr="004B208C">
        <w:rPr>
          <w:rFonts w:eastAsia="Calibri" w:cs="Tahoma"/>
          <w:color w:val="000000"/>
          <w:szCs w:val="18"/>
        </w:rPr>
        <w:t>Gerenciamento da Política do Grupo Avançado da Microsoft (AGPM)</w:t>
      </w:r>
    </w:p>
    <w:p w:rsidR="00E52A26" w:rsidRPr="004B208C" w:rsidRDefault="00E52A26" w:rsidP="00A1385C">
      <w:pPr>
        <w:numPr>
          <w:ilvl w:val="0"/>
          <w:numId w:val="48"/>
        </w:numPr>
        <w:tabs>
          <w:tab w:val="left" w:pos="1440"/>
        </w:tabs>
        <w:spacing w:after="60"/>
        <w:ind w:left="1440" w:hanging="446"/>
        <w:rPr>
          <w:rFonts w:cs="Tahoma"/>
        </w:rPr>
      </w:pPr>
      <w:r w:rsidRPr="004B208C">
        <w:rPr>
          <w:rFonts w:eastAsia="Calibri" w:cs="Tahoma"/>
          <w:color w:val="000000"/>
          <w:szCs w:val="18"/>
        </w:rPr>
        <w:t>Ferramentas de Diagnóstico e Recuperação da Microsoft (DART)</w:t>
      </w:r>
    </w:p>
    <w:p w:rsidR="00E52A26" w:rsidRPr="004B208C" w:rsidRDefault="00E52A26" w:rsidP="00A1385C">
      <w:pPr>
        <w:numPr>
          <w:ilvl w:val="0"/>
          <w:numId w:val="48"/>
        </w:numPr>
        <w:tabs>
          <w:tab w:val="left" w:pos="1440"/>
        </w:tabs>
        <w:spacing w:after="60"/>
        <w:ind w:left="1440" w:hanging="446"/>
        <w:rPr>
          <w:rFonts w:cs="Tahoma"/>
        </w:rPr>
      </w:pPr>
      <w:r w:rsidRPr="004B208C">
        <w:rPr>
          <w:rFonts w:eastAsia="Calibri" w:cs="Tahoma"/>
          <w:color w:val="000000"/>
          <w:szCs w:val="18"/>
        </w:rPr>
        <w:t>Microsoft Enterprise Desktop Virtualization (MED-V)</w:t>
      </w:r>
    </w:p>
    <w:p w:rsidR="00E52A26" w:rsidRPr="004B208C" w:rsidRDefault="00E52A26" w:rsidP="00A1385C">
      <w:pPr>
        <w:numPr>
          <w:ilvl w:val="0"/>
          <w:numId w:val="48"/>
        </w:numPr>
        <w:tabs>
          <w:tab w:val="left" w:pos="1440"/>
        </w:tabs>
        <w:spacing w:after="60"/>
        <w:ind w:left="1440" w:hanging="446"/>
        <w:rPr>
          <w:rFonts w:cs="Tahoma"/>
        </w:rPr>
      </w:pPr>
      <w:r w:rsidRPr="004B208C">
        <w:rPr>
          <w:rFonts w:eastAsia="Calibri" w:cs="Tahoma"/>
          <w:color w:val="000000"/>
          <w:szCs w:val="18"/>
        </w:rPr>
        <w:t>Microsoft BitLocker</w:t>
      </w:r>
      <w:r w:rsidR="00172F11" w:rsidRPr="00172F11">
        <w:rPr>
          <w:rFonts w:eastAsia="Calibri" w:cs="Tahoma"/>
          <w:color w:val="000000"/>
          <w:szCs w:val="18"/>
          <w:vertAlign w:val="superscript"/>
        </w:rPr>
        <w:t>®</w:t>
      </w:r>
      <w:r w:rsidRPr="004B208C">
        <w:rPr>
          <w:rFonts w:eastAsia="Calibri" w:cs="Tahoma"/>
          <w:color w:val="000000"/>
          <w:szCs w:val="18"/>
        </w:rPr>
        <w:t xml:space="preserve"> Administration and Monitoring (MBAM)</w:t>
      </w:r>
    </w:p>
    <w:p w:rsidR="00670296" w:rsidRPr="004B208C" w:rsidRDefault="00670296" w:rsidP="00A1385C">
      <w:pPr>
        <w:numPr>
          <w:ilvl w:val="0"/>
          <w:numId w:val="48"/>
        </w:numPr>
        <w:tabs>
          <w:tab w:val="left" w:pos="1440"/>
        </w:tabs>
        <w:spacing w:after="60"/>
        <w:ind w:left="1440" w:hanging="446"/>
        <w:rPr>
          <w:rFonts w:cs="Tahoma"/>
        </w:rPr>
      </w:pPr>
      <w:r w:rsidRPr="004B208C">
        <w:rPr>
          <w:rFonts w:eastAsia="Calibri" w:cs="Tahoma"/>
          <w:color w:val="000000"/>
          <w:szCs w:val="18"/>
        </w:rPr>
        <w:t>Microsoft User Experience Virtualization (UE-V)</w:t>
      </w:r>
    </w:p>
    <w:p w:rsidR="007A73DF" w:rsidRPr="004B208C" w:rsidRDefault="007A73DF" w:rsidP="00483B3D">
      <w:pPr>
        <w:tabs>
          <w:tab w:val="left" w:pos="1440"/>
        </w:tabs>
        <w:ind w:left="994"/>
        <w:rPr>
          <w:rFonts w:cs="Tahoma"/>
        </w:rPr>
      </w:pPr>
    </w:p>
    <w:p w:rsidR="007045C0" w:rsidRPr="004B208C" w:rsidRDefault="007045C0" w:rsidP="00483B3D">
      <w:pPr>
        <w:spacing w:after="60"/>
        <w:ind w:left="720"/>
        <w:rPr>
          <w:rFonts w:cs="Tahoma"/>
        </w:rPr>
      </w:pPr>
      <w:r w:rsidRPr="004B208C">
        <w:rPr>
          <w:rFonts w:eastAsia="Calibri" w:cs="Tahoma"/>
          <w:b/>
          <w:color w:val="000000"/>
          <w:szCs w:val="18"/>
        </w:rPr>
        <w:t>Licença de Assinatura do Windows Companion (CSL) e MDOP</w:t>
      </w:r>
    </w:p>
    <w:p w:rsidR="007045C0" w:rsidRPr="004B208C" w:rsidRDefault="007045C0" w:rsidP="00483B3D">
      <w:pPr>
        <w:tabs>
          <w:tab w:val="left" w:pos="1440"/>
        </w:tabs>
        <w:ind w:left="720"/>
        <w:rPr>
          <w:rFonts w:cs="Tahoma"/>
        </w:rPr>
      </w:pPr>
      <w:r w:rsidRPr="004B208C">
        <w:rPr>
          <w:rFonts w:cs="Tahoma"/>
          <w:color w:val="000000"/>
          <w:szCs w:val="18"/>
        </w:rPr>
        <w:t>Usuários Principais de um dispositivo cobertos com uma licença MDOP ativa e CSL pode acessar a</w:t>
      </w:r>
      <w:r w:rsidR="009078BB">
        <w:rPr>
          <w:rFonts w:cs="Tahoma"/>
          <w:color w:val="000000"/>
          <w:szCs w:val="18"/>
        </w:rPr>
        <w:t> </w:t>
      </w:r>
      <w:r w:rsidRPr="004B208C">
        <w:rPr>
          <w:rFonts w:cs="Tahoma"/>
          <w:color w:val="000000"/>
          <w:szCs w:val="18"/>
        </w:rPr>
        <w:t>funcionalidade MDOP por meio de seus Companion Devices sem a necessidade de comprar licenças MDOP</w:t>
      </w:r>
      <w:r w:rsidR="009078BB">
        <w:rPr>
          <w:rFonts w:cs="Tahoma"/>
          <w:color w:val="000000"/>
          <w:szCs w:val="18"/>
        </w:rPr>
        <w:t> </w:t>
      </w:r>
      <w:r w:rsidRPr="004B208C">
        <w:rPr>
          <w:rFonts w:cs="Tahoma"/>
          <w:color w:val="000000"/>
          <w:szCs w:val="18"/>
        </w:rPr>
        <w:t>adicionais para cada Companion Device.</w:t>
      </w:r>
    </w:p>
    <w:p w:rsidR="007045C0" w:rsidRPr="004B208C" w:rsidRDefault="007045C0" w:rsidP="00483B3D">
      <w:pPr>
        <w:tabs>
          <w:tab w:val="left" w:pos="1440"/>
        </w:tabs>
        <w:ind w:left="994"/>
        <w:rPr>
          <w:rFonts w:cs="Tahoma"/>
        </w:rPr>
      </w:pPr>
    </w:p>
    <w:p w:rsidR="0031394C" w:rsidRPr="004B208C" w:rsidRDefault="0031394C" w:rsidP="00483B3D">
      <w:pPr>
        <w:spacing w:after="60"/>
        <w:ind w:left="720"/>
        <w:rPr>
          <w:rFonts w:cs="Tahoma"/>
        </w:rPr>
      </w:pPr>
      <w:r w:rsidRPr="004B208C">
        <w:rPr>
          <w:rFonts w:eastAsia="Calibri" w:cs="Tahoma"/>
          <w:b/>
          <w:color w:val="000000"/>
          <w:szCs w:val="18"/>
        </w:rPr>
        <w:t>Oferta do Windows Intune (Por Dispositivo) para Clientes do Microsoft Desktop Optimization Pack (MDOP) que Usam o Asset Inventory Service</w:t>
      </w:r>
    </w:p>
    <w:p w:rsidR="006529B0" w:rsidRPr="004B208C" w:rsidRDefault="006529B0" w:rsidP="006529B0">
      <w:pPr>
        <w:ind w:left="720"/>
        <w:rPr>
          <w:rFonts w:cs="Tahoma"/>
        </w:rPr>
      </w:pPr>
      <w:r w:rsidRPr="004B208C">
        <w:rPr>
          <w:rFonts w:cs="Tahoma"/>
          <w:color w:val="000000"/>
          <w:szCs w:val="18"/>
        </w:rPr>
        <w:t>Consulte a lista de produtos de outubro de 2013 para obter detalhes desta oferta.</w:t>
      </w:r>
    </w:p>
    <w:p w:rsidR="006714D8" w:rsidRPr="004B208C" w:rsidRDefault="006714D8" w:rsidP="001760D6">
      <w:pPr>
        <w:rPr>
          <w:rFonts w:cs="Tahoma"/>
        </w:rPr>
      </w:pPr>
      <w:bookmarkStart w:id="1073" w:name="_24_Windows®_Companion"/>
      <w:bookmarkStart w:id="1074" w:name="_24_Windows®_8"/>
      <w:bookmarkStart w:id="1075" w:name="Sys_22WindowsPartnersLearning"/>
      <w:bookmarkEnd w:id="1071"/>
      <w:bookmarkEnd w:id="1073"/>
      <w:bookmarkEnd w:id="1074"/>
    </w:p>
    <w:p w:rsidR="006714D8" w:rsidRPr="004B208C" w:rsidRDefault="006714D8" w:rsidP="001760D6">
      <w:pPr>
        <w:rPr>
          <w:rFonts w:cs="Tahoma"/>
        </w:rPr>
      </w:pPr>
    </w:p>
    <w:p w:rsidR="006714D8" w:rsidRPr="004B208C" w:rsidRDefault="00A560B6" w:rsidP="006D5161">
      <w:pPr>
        <w:pStyle w:val="Heading3"/>
        <w:rPr>
          <w:rFonts w:ascii="Tahoma" w:hAnsi="Tahoma" w:cs="Tahoma"/>
        </w:rPr>
      </w:pPr>
      <w:bookmarkStart w:id="1076" w:name="_25_Windows_Embedded"/>
      <w:bookmarkStart w:id="1077" w:name="_Toc370981399"/>
      <w:bookmarkEnd w:id="1076"/>
      <w:r w:rsidRPr="004B208C">
        <w:rPr>
          <w:rFonts w:ascii="Tahoma" w:hAnsi="Tahoma" w:cs="Tahoma"/>
          <w:caps/>
          <w:color w:val="F66400"/>
          <w:sz w:val="22"/>
          <w:vertAlign w:val="superscript"/>
        </w:rPr>
        <w:t xml:space="preserve">26 </w:t>
      </w:r>
      <w:r w:rsidRPr="004B208C">
        <w:rPr>
          <w:rFonts w:ascii="Tahoma" w:hAnsi="Tahoma" w:cs="Tahoma"/>
          <w:color w:val="F66400"/>
          <w:sz w:val="22"/>
        </w:rPr>
        <w:t>Windows Embedded 8 Standard Enterprise Kit</w:t>
      </w:r>
      <w:bookmarkEnd w:id="1077"/>
    </w:p>
    <w:p w:rsidR="006714D8" w:rsidRPr="009078BB"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p>
    <w:p w:rsidR="006714D8" w:rsidRPr="009078BB" w:rsidRDefault="006714D8" w:rsidP="006714D8">
      <w:pPr>
        <w:pStyle w:val="FootnoteBulletLevel1"/>
        <w:tabs>
          <w:tab w:val="clear" w:pos="900"/>
        </w:tabs>
        <w:adjustRightInd/>
        <w:spacing w:before="0" w:after="0"/>
        <w:ind w:left="720" w:firstLine="0"/>
        <w:textAlignment w:val="auto"/>
        <w:rPr>
          <w:rFonts w:ascii="Tahoma" w:hAnsi="Tahoma" w:cs="Tahoma"/>
          <w:sz w:val="18"/>
          <w:szCs w:val="18"/>
        </w:rPr>
      </w:pPr>
      <w:r w:rsidRPr="009078BB">
        <w:rPr>
          <w:rFonts w:ascii="Tahoma" w:hAnsi="Tahoma" w:cs="Tahoma"/>
          <w:sz w:val="18"/>
          <w:szCs w:val="18"/>
        </w:rPr>
        <w:t>Os clientes que compraram um dispositivo OEM com o software Windows Embedded 8 Standard pré-instalado podem comprar uma Licença do Windows Embedded 8 Standard Enterprise Kit para licenciar, destravar e habilitar determinados recursos de software (inclusive Windows DirectAccess, Enterprise Sideloading, BranchCache e AppLocker).</w:t>
      </w:r>
      <w:r w:rsidR="00172F11" w:rsidRPr="009078BB">
        <w:rPr>
          <w:rFonts w:ascii="Tahoma" w:hAnsi="Tahoma" w:cs="Tahoma"/>
          <w:sz w:val="18"/>
          <w:szCs w:val="18"/>
        </w:rPr>
        <w:t xml:space="preserve"> </w:t>
      </w:r>
      <w:r w:rsidRPr="009078BB">
        <w:rPr>
          <w:rFonts w:ascii="Tahoma" w:hAnsi="Tahoma" w:cs="Tahoma"/>
          <w:sz w:val="18"/>
          <w:szCs w:val="18"/>
        </w:rPr>
        <w:t>O uso dos recursos do software habilitados pela licença concedida sob esta oferta está sujeito aos termos e às condições do contrato de licenciamento do cliente e aos direitos de licenciamento de software para o software Windows Embedded 8 Standard subjacente.</w:t>
      </w:r>
      <w:r w:rsidR="00172F11" w:rsidRPr="009078BB">
        <w:rPr>
          <w:rFonts w:ascii="Tahoma" w:hAnsi="Tahoma" w:cs="Tahoma"/>
          <w:sz w:val="18"/>
          <w:szCs w:val="18"/>
        </w:rPr>
        <w:t xml:space="preserve"> </w:t>
      </w:r>
      <w:r w:rsidRPr="009078BB">
        <w:rPr>
          <w:rFonts w:ascii="Tahoma" w:hAnsi="Tahoma" w:cs="Tahoma"/>
          <w:sz w:val="18"/>
          <w:szCs w:val="18"/>
        </w:rPr>
        <w:t>O direito de usar os recursos do software expira quando o direito de usar o software Windows Embedded 8 Standard subjacente expirar. A Licença do Windows Embedded 8 Standard Enterprise Kit deve ser cedida permanentemente a um único dispositivo e não pode ser transferida para nenhum outro dispositivo. O</w:t>
      </w:r>
      <w:r w:rsidR="009078BB">
        <w:rPr>
          <w:rFonts w:ascii="Tahoma" w:hAnsi="Tahoma" w:cs="Tahoma"/>
          <w:sz w:val="18"/>
          <w:szCs w:val="18"/>
        </w:rPr>
        <w:t> </w:t>
      </w:r>
      <w:r w:rsidRPr="009078BB">
        <w:rPr>
          <w:rFonts w:ascii="Tahoma" w:hAnsi="Tahoma" w:cs="Tahoma"/>
          <w:sz w:val="18"/>
          <w:szCs w:val="18"/>
        </w:rPr>
        <w:t>Enterprise Sideloading para Windows Embedded 8 Standard só está disponível como parte do Windows</w:t>
      </w:r>
      <w:r w:rsidR="009078BB">
        <w:rPr>
          <w:rFonts w:ascii="Tahoma" w:hAnsi="Tahoma" w:cs="Tahoma"/>
          <w:sz w:val="18"/>
          <w:szCs w:val="18"/>
        </w:rPr>
        <w:t> </w:t>
      </w:r>
      <w:r w:rsidRPr="009078BB">
        <w:rPr>
          <w:rFonts w:ascii="Tahoma" w:hAnsi="Tahoma" w:cs="Tahoma"/>
          <w:sz w:val="18"/>
          <w:szCs w:val="18"/>
        </w:rPr>
        <w:t>Embedded 8 Standard Enterprise Kit.</w:t>
      </w:r>
      <w:r w:rsidR="00172F11" w:rsidRPr="009078BB">
        <w:rPr>
          <w:rFonts w:ascii="Tahoma" w:hAnsi="Tahoma" w:cs="Tahoma"/>
          <w:sz w:val="18"/>
          <w:szCs w:val="18"/>
        </w:rPr>
        <w:t xml:space="preserve"> </w:t>
      </w:r>
    </w:p>
    <w:p w:rsidR="006714D8" w:rsidRDefault="006714D8" w:rsidP="006714D8">
      <w:pPr>
        <w:contextualSpacing/>
        <w:rPr>
          <w:rFonts w:cs="Tahoma"/>
        </w:rPr>
      </w:pPr>
    </w:p>
    <w:p w:rsidR="0045327F" w:rsidRDefault="0045327F" w:rsidP="006714D8">
      <w:pPr>
        <w:contextualSpacing/>
        <w:rPr>
          <w:rFonts w:cs="Tahoma"/>
        </w:rPr>
      </w:pPr>
    </w:p>
    <w:p w:rsidR="0045327F" w:rsidRDefault="0045327F" w:rsidP="006714D8">
      <w:pPr>
        <w:contextualSpacing/>
        <w:rPr>
          <w:rFonts w:cs="Tahoma"/>
        </w:rPr>
      </w:pPr>
    </w:p>
    <w:p w:rsidR="0045327F" w:rsidRDefault="0045327F" w:rsidP="006714D8">
      <w:pPr>
        <w:contextualSpacing/>
        <w:rPr>
          <w:rFonts w:cs="Tahoma"/>
        </w:rPr>
      </w:pPr>
    </w:p>
    <w:p w:rsidR="0045327F" w:rsidRDefault="0045327F" w:rsidP="006714D8">
      <w:pPr>
        <w:contextualSpacing/>
        <w:rPr>
          <w:rFonts w:cs="Tahoma"/>
        </w:rPr>
      </w:pPr>
    </w:p>
    <w:p w:rsidR="0045327F" w:rsidRDefault="0045327F" w:rsidP="006714D8">
      <w:pPr>
        <w:contextualSpacing/>
        <w:rPr>
          <w:rFonts w:cs="Tahoma"/>
        </w:rPr>
      </w:pPr>
    </w:p>
    <w:p w:rsidR="0045327F" w:rsidRDefault="0045327F" w:rsidP="006714D8">
      <w:pPr>
        <w:contextualSpacing/>
        <w:rPr>
          <w:rFonts w:cs="Tahoma"/>
        </w:rPr>
      </w:pPr>
    </w:p>
    <w:p w:rsidR="0045327F" w:rsidRPr="004B208C" w:rsidRDefault="0045327F" w:rsidP="006714D8">
      <w:pPr>
        <w:contextualSpacing/>
        <w:rPr>
          <w:rFonts w:cs="Tahoma"/>
        </w:rPr>
      </w:pPr>
    </w:p>
    <w:p w:rsidR="006714D8" w:rsidRPr="004B208C" w:rsidRDefault="006714D8" w:rsidP="006714D8">
      <w:pPr>
        <w:contextualSpacing/>
        <w:rPr>
          <w:rFonts w:cs="Tahoma"/>
        </w:rPr>
      </w:pPr>
    </w:p>
    <w:p w:rsidR="006714D8" w:rsidRPr="004B208C" w:rsidRDefault="00A560B6" w:rsidP="006D5161">
      <w:pPr>
        <w:pStyle w:val="Heading3"/>
        <w:rPr>
          <w:rFonts w:ascii="Tahoma" w:hAnsi="Tahoma" w:cs="Tahoma"/>
        </w:rPr>
      </w:pPr>
      <w:bookmarkStart w:id="1078" w:name="_26_Windows_Embedded"/>
      <w:bookmarkStart w:id="1079" w:name="_Toc370981400"/>
      <w:bookmarkEnd w:id="1078"/>
      <w:r w:rsidRPr="004B208C">
        <w:rPr>
          <w:rFonts w:ascii="Tahoma" w:hAnsi="Tahoma" w:cs="Tahoma"/>
          <w:caps/>
          <w:color w:val="F66400"/>
          <w:sz w:val="22"/>
          <w:vertAlign w:val="superscript"/>
        </w:rPr>
        <w:lastRenderedPageBreak/>
        <w:t xml:space="preserve">27 </w:t>
      </w:r>
      <w:r w:rsidRPr="004B208C">
        <w:rPr>
          <w:rFonts w:ascii="Tahoma" w:hAnsi="Tahoma" w:cs="Tahoma"/>
          <w:color w:val="F66400"/>
          <w:sz w:val="22"/>
        </w:rPr>
        <w:t>Enterprise Sideloading para Windows Embedded 8.1</w:t>
      </w:r>
      <w:bookmarkEnd w:id="1079"/>
      <w:r w:rsidRPr="004B208C">
        <w:rPr>
          <w:rFonts w:ascii="Tahoma" w:hAnsi="Tahoma" w:cs="Tahoma"/>
          <w:caps/>
          <w:color w:val="F66400"/>
          <w:sz w:val="22"/>
          <w:vertAlign w:val="superscript"/>
        </w:rPr>
        <w:t xml:space="preserve"> </w:t>
      </w:r>
    </w:p>
    <w:p w:rsidR="006714D8" w:rsidRPr="004B208C" w:rsidRDefault="006714D8" w:rsidP="006714D8">
      <w:pPr>
        <w:spacing w:after="60"/>
        <w:ind w:left="720"/>
        <w:rPr>
          <w:rFonts w:cs="Tahoma"/>
        </w:rPr>
      </w:pPr>
    </w:p>
    <w:p w:rsidR="006714D8" w:rsidRPr="004B208C" w:rsidRDefault="006529B0" w:rsidP="006714D8">
      <w:pPr>
        <w:spacing w:after="60"/>
        <w:ind w:left="720"/>
        <w:rPr>
          <w:rFonts w:cs="Tahoma"/>
        </w:rPr>
      </w:pPr>
      <w:r w:rsidRPr="004B208C">
        <w:rPr>
          <w:rFonts w:cs="Tahoma"/>
          <w:b/>
          <w:szCs w:val="18"/>
        </w:rPr>
        <w:t>Licenças do Enterprise Sideloading para Windows Embedded 8.1 Disponíveis para Aquisição</w:t>
      </w:r>
    </w:p>
    <w:p w:rsidR="006529B0" w:rsidRPr="004B208C" w:rsidRDefault="006529B0" w:rsidP="006529B0">
      <w:pPr>
        <w:ind w:left="720"/>
        <w:rPr>
          <w:rFonts w:cs="Tahoma"/>
        </w:rPr>
      </w:pPr>
      <w:r w:rsidRPr="004B208C">
        <w:rPr>
          <w:rFonts w:cs="Tahoma"/>
          <w:szCs w:val="18"/>
        </w:rPr>
        <w:t>O Enterprise Sideloading é o processo de instalar novos Aplicativos do Windows 8.1 que estão sendo usados para o benefício do cliente, diretamente em um dispositivo, sem passar pela Windows Store. Os dispositivos que fazem parte do domínio que estão executando a edição Windows Embedded 8.1 Industry Enterprise, em qualquer programa VL, possuem recursos habilitados para Enterprise Sideloading. O Enterprise Sideloading para Windows Embedded 8.1 também pode ser habilitado em dispositivos que estão executando o Windows Embedded 8.1 Industry Enterprise que não fazem parte do domínio e em dispositivos que estão executando o Windows Embedded 8.1 Industry Pro por meio do uso de uma chave de produto. Em todos os casos, o Enterprise Sideloading só pode ser usado para implantar Aplicativos que são usados para o benefício do cliente de Licenciamento por Volume. O recurso Enterprise Sideloading é</w:t>
      </w:r>
      <w:r w:rsidR="0045327F">
        <w:rPr>
          <w:rFonts w:cs="Tahoma"/>
          <w:szCs w:val="18"/>
        </w:rPr>
        <w:t> </w:t>
      </w:r>
      <w:r w:rsidRPr="004B208C">
        <w:rPr>
          <w:rFonts w:cs="Tahoma"/>
          <w:szCs w:val="18"/>
        </w:rPr>
        <w:t>complementar para o Windows Embedded 8.1 Industry Pro e, como tal, os termos de licença aplicáveis ao</w:t>
      </w:r>
      <w:r w:rsidR="0045327F">
        <w:rPr>
          <w:rFonts w:cs="Tahoma"/>
          <w:szCs w:val="18"/>
        </w:rPr>
        <w:t> </w:t>
      </w:r>
      <w:r w:rsidRPr="004B208C">
        <w:rPr>
          <w:rFonts w:cs="Tahoma"/>
          <w:szCs w:val="18"/>
        </w:rPr>
        <w:t>Windows Embedded 8.1 Industry Pro, conforme complementado aqui, se aplicam ao uso que o cliente faz dele.</w:t>
      </w:r>
    </w:p>
    <w:p w:rsidR="006529B0" w:rsidRPr="004B208C" w:rsidRDefault="006529B0" w:rsidP="006529B0">
      <w:pPr>
        <w:ind w:left="720"/>
        <w:rPr>
          <w:rFonts w:cs="Tahoma"/>
        </w:rPr>
      </w:pPr>
    </w:p>
    <w:p w:rsidR="00C205D1" w:rsidRPr="004B208C" w:rsidRDefault="006714D8" w:rsidP="001C55B1">
      <w:pPr>
        <w:spacing w:after="120"/>
        <w:ind w:left="720"/>
        <w:rPr>
          <w:rFonts w:cs="Tahoma"/>
        </w:rPr>
      </w:pPr>
      <w:r w:rsidRPr="004B208C">
        <w:rPr>
          <w:rFonts w:cs="Tahoma"/>
          <w:szCs w:val="18"/>
        </w:rPr>
        <w:t>Os clientes podem comprar licenças do Enterprise Sideloading para Windows Embedded 8.1 para dispositivos licenciados com:</w:t>
      </w:r>
    </w:p>
    <w:p w:rsidR="00C205D1" w:rsidRPr="0045327F" w:rsidRDefault="006714D8" w:rsidP="00A1385C">
      <w:pPr>
        <w:pStyle w:val="ListParagraph"/>
        <w:numPr>
          <w:ilvl w:val="0"/>
          <w:numId w:val="128"/>
        </w:numPr>
        <w:rPr>
          <w:rFonts w:ascii="Tahoma" w:hAnsi="Tahoma" w:cs="Tahoma"/>
          <w:sz w:val="18"/>
          <w:szCs w:val="18"/>
        </w:rPr>
      </w:pPr>
      <w:r w:rsidRPr="004B208C">
        <w:rPr>
          <w:rFonts w:ascii="Tahoma" w:hAnsi="Tahoma" w:cs="Tahoma"/>
          <w:sz w:val="18"/>
          <w:szCs w:val="18"/>
        </w:rPr>
        <w:t>W</w:t>
      </w:r>
      <w:r w:rsidRPr="0045327F">
        <w:rPr>
          <w:rFonts w:ascii="Tahoma" w:hAnsi="Tahoma" w:cs="Tahoma"/>
          <w:sz w:val="18"/>
          <w:szCs w:val="18"/>
        </w:rPr>
        <w:t>indows Embedded 8 Industry Pro</w:t>
      </w:r>
    </w:p>
    <w:p w:rsidR="00C205D1" w:rsidRPr="0045327F" w:rsidRDefault="00C205D1" w:rsidP="00A1385C">
      <w:pPr>
        <w:pStyle w:val="ListParagraph"/>
        <w:numPr>
          <w:ilvl w:val="0"/>
          <w:numId w:val="128"/>
        </w:numPr>
        <w:rPr>
          <w:rFonts w:ascii="Tahoma" w:hAnsi="Tahoma" w:cs="Tahoma"/>
          <w:sz w:val="18"/>
          <w:szCs w:val="18"/>
        </w:rPr>
      </w:pPr>
      <w:r w:rsidRPr="0045327F">
        <w:rPr>
          <w:rFonts w:ascii="Tahoma" w:hAnsi="Tahoma" w:cs="Tahoma"/>
          <w:sz w:val="18"/>
          <w:szCs w:val="18"/>
        </w:rPr>
        <w:t>Windows Embedded 8.1 Pro</w:t>
      </w:r>
    </w:p>
    <w:p w:rsidR="006714D8" w:rsidRPr="004B208C" w:rsidRDefault="006714D8" w:rsidP="001C55B1">
      <w:pPr>
        <w:spacing w:before="120"/>
        <w:ind w:left="720"/>
        <w:rPr>
          <w:rFonts w:cs="Tahoma"/>
        </w:rPr>
      </w:pPr>
      <w:r w:rsidRPr="004B208C">
        <w:rPr>
          <w:rFonts w:cs="Tahoma"/>
          <w:szCs w:val="18"/>
        </w:rPr>
        <w:t>Cada licença deve ser atribuída permanentemente a um único dispositivo.</w:t>
      </w:r>
      <w:r w:rsidR="00172F11">
        <w:rPr>
          <w:rFonts w:cs="Tahoma"/>
          <w:szCs w:val="18"/>
        </w:rPr>
        <w:t xml:space="preserve"> </w:t>
      </w:r>
      <w:r w:rsidRPr="004B208C">
        <w:rPr>
          <w:rFonts w:cs="Tahoma"/>
          <w:szCs w:val="18"/>
        </w:rPr>
        <w:t>Observação: você não pode usar licenças de sideloading adquiridas para Windows Embedded 8 em dispositivos que executam o Windows Embedded 8 Industry Pro.</w:t>
      </w:r>
      <w:r w:rsidR="00172F11">
        <w:rPr>
          <w:rFonts w:cs="Tahoma"/>
          <w:szCs w:val="18"/>
        </w:rPr>
        <w:t xml:space="preserve"> </w:t>
      </w:r>
      <w:r w:rsidRPr="004B208C">
        <w:rPr>
          <w:rFonts w:cs="Tahoma"/>
          <w:szCs w:val="18"/>
        </w:rPr>
        <w:t>Para Windows Embedded 8.1.</w:t>
      </w:r>
    </w:p>
    <w:p w:rsidR="006714D8" w:rsidRPr="004B208C" w:rsidRDefault="006714D8" w:rsidP="006714D8">
      <w:pPr>
        <w:rPr>
          <w:rFonts w:cs="Tahoma"/>
        </w:rPr>
      </w:pPr>
    </w:p>
    <w:p w:rsidR="006714D8" w:rsidRPr="004B208C" w:rsidRDefault="006714D8" w:rsidP="006714D8">
      <w:pPr>
        <w:contextualSpacing/>
        <w:rPr>
          <w:rFonts w:cs="Tahoma"/>
        </w:rPr>
      </w:pPr>
    </w:p>
    <w:p w:rsidR="006714D8" w:rsidRPr="004B208C" w:rsidRDefault="00A560B6" w:rsidP="006714D8">
      <w:pPr>
        <w:pStyle w:val="Heading3"/>
        <w:rPr>
          <w:rFonts w:ascii="Tahoma" w:hAnsi="Tahoma" w:cs="Tahoma"/>
        </w:rPr>
      </w:pPr>
      <w:bookmarkStart w:id="1080" w:name="_27_Windows®_Embedded"/>
      <w:bookmarkStart w:id="1081" w:name="_Toc370981401"/>
      <w:bookmarkEnd w:id="1080"/>
      <w:r w:rsidRPr="004B208C">
        <w:rPr>
          <w:rFonts w:ascii="Tahoma" w:hAnsi="Tahoma" w:cs="Tahoma"/>
          <w:caps/>
          <w:color w:val="F66400"/>
          <w:sz w:val="22"/>
          <w:vertAlign w:val="superscript"/>
        </w:rPr>
        <w:t xml:space="preserve">28 </w:t>
      </w:r>
      <w:r w:rsidRPr="004B208C">
        <w:rPr>
          <w:rFonts w:ascii="Tahoma" w:hAnsi="Tahoma" w:cs="Tahoma"/>
          <w:color w:val="F66400"/>
          <w:sz w:val="22"/>
        </w:rPr>
        <w:t>Atualização para Windows</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Embedded 8.1 Industry Pro</w:t>
      </w:r>
      <w:bookmarkEnd w:id="1081"/>
    </w:p>
    <w:p w:rsidR="006714D8" w:rsidRPr="004B208C" w:rsidRDefault="006714D8" w:rsidP="006714D8">
      <w:pPr>
        <w:rPr>
          <w:rFonts w:cs="Tahoma"/>
        </w:rPr>
      </w:pPr>
    </w:p>
    <w:p w:rsidR="006714D8" w:rsidRPr="004B208C" w:rsidRDefault="006714D8" w:rsidP="006714D8">
      <w:pPr>
        <w:pStyle w:val="FootnoteBulletLevel1"/>
        <w:tabs>
          <w:tab w:val="clear" w:pos="900"/>
        </w:tabs>
        <w:adjustRightInd/>
        <w:spacing w:before="0" w:after="60"/>
        <w:ind w:left="720" w:firstLine="0"/>
        <w:textAlignment w:val="auto"/>
        <w:rPr>
          <w:rFonts w:ascii="Tahoma" w:hAnsi="Tahoma" w:cs="Tahoma"/>
        </w:rPr>
      </w:pPr>
      <w:r w:rsidRPr="004B208C">
        <w:rPr>
          <w:rFonts w:ascii="Tahoma" w:hAnsi="Tahoma" w:cs="Tahoma"/>
          <w:b/>
          <w:bCs/>
          <w:sz w:val="18"/>
          <w:szCs w:val="18"/>
        </w:rPr>
        <w:t>Atualização para Windows</w:t>
      </w:r>
      <w:r w:rsidR="00172F11" w:rsidRPr="00172F11">
        <w:rPr>
          <w:rFonts w:ascii="Tahoma" w:hAnsi="Tahoma" w:cs="Tahoma"/>
          <w:b/>
          <w:bCs/>
          <w:sz w:val="18"/>
          <w:szCs w:val="18"/>
          <w:vertAlign w:val="superscript"/>
        </w:rPr>
        <w:t>®</w:t>
      </w:r>
      <w:r w:rsidRPr="004B208C">
        <w:rPr>
          <w:rFonts w:ascii="Tahoma" w:hAnsi="Tahoma" w:cs="Tahoma"/>
          <w:b/>
          <w:bCs/>
          <w:sz w:val="18"/>
          <w:szCs w:val="18"/>
        </w:rPr>
        <w:t xml:space="preserve"> Embedded 8.1 Industry Pro e Software Assurance</w:t>
      </w:r>
      <w:r w:rsidRPr="004B208C">
        <w:rPr>
          <w:rFonts w:ascii="Tahoma" w:hAnsi="Tahoma" w:cs="Tahoma"/>
          <w:b/>
          <w:sz w:val="18"/>
          <w:szCs w:val="18"/>
          <w:u w:val="single"/>
        </w:rPr>
        <w:t xml:space="preserve"> </w:t>
      </w:r>
    </w:p>
    <w:p w:rsidR="006714D8" w:rsidRPr="004B208C" w:rsidRDefault="006714D8" w:rsidP="006714D8">
      <w:pPr>
        <w:ind w:left="720"/>
        <w:rPr>
          <w:rFonts w:cs="Tahoma"/>
        </w:rPr>
      </w:pPr>
      <w:r w:rsidRPr="004B208C">
        <w:rPr>
          <w:rFonts w:cs="Tahoma"/>
          <w:szCs w:val="18"/>
          <w:u w:val="single"/>
        </w:rPr>
        <w:t>Licença de Atualização do Sistema Operacional (SO) para Windows Embedded 8.1 Industry Pro</w:t>
      </w:r>
    </w:p>
    <w:p w:rsidR="006714D8" w:rsidRPr="003D6A93"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r w:rsidRPr="003D6A93">
        <w:rPr>
          <w:rFonts w:ascii="Tahoma" w:hAnsi="Tahoma" w:cs="Tahoma"/>
          <w:sz w:val="18"/>
          <w:szCs w:val="18"/>
        </w:rPr>
        <w:t>As licenças de sistema operacional concedidas para Windows Embedded 8.1 Industry Pro são apenas licenças de atualização. Não há licenças integrais de sistema operacional de desktop disponíveis. Portanto, cada dispositivo para o qual você adquirir e no qual executar a Atualização para Windows Embedded 8.1 Industry Pro deverá estar licenciado para executar um dos sistemas operacionais qualificados identificados abaixo.</w:t>
      </w:r>
    </w:p>
    <w:p w:rsidR="006714D8" w:rsidRPr="004B208C" w:rsidRDefault="006714D8" w:rsidP="006714D8">
      <w:pPr>
        <w:ind w:left="720"/>
        <w:rPr>
          <w:rFonts w:cs="Tahoma"/>
        </w:rPr>
      </w:pPr>
    </w:p>
    <w:p w:rsidR="006714D8" w:rsidRPr="004B208C" w:rsidRDefault="006714D8" w:rsidP="006714D8">
      <w:pPr>
        <w:ind w:left="720"/>
        <w:rPr>
          <w:rFonts w:cs="Tahoma"/>
        </w:rPr>
      </w:pPr>
      <w:r w:rsidRPr="004B208C">
        <w:rPr>
          <w:rFonts w:cs="Tahoma"/>
          <w:szCs w:val="18"/>
          <w:u w:val="single"/>
        </w:rPr>
        <w:t>Regras do Sistema Operacional (SO) Qualificado para Windows Embedded 8.1 Industry Pro</w:t>
      </w:r>
    </w:p>
    <w:p w:rsidR="006714D8" w:rsidRPr="004B208C" w:rsidRDefault="006714D8" w:rsidP="00A1385C">
      <w:pPr>
        <w:numPr>
          <w:ilvl w:val="0"/>
          <w:numId w:val="79"/>
        </w:numPr>
        <w:spacing w:after="60"/>
        <w:ind w:left="1440"/>
        <w:rPr>
          <w:rFonts w:cs="Tahoma"/>
        </w:rPr>
      </w:pPr>
      <w:r w:rsidRPr="004B208C">
        <w:rPr>
          <w:rFonts w:cs="Tahoma"/>
          <w:szCs w:val="18"/>
        </w:rPr>
        <w:t>O SO qualificado deverá estar instalado no dispositivo ao qual a licença de Atualização para Windows Embedded 8 Industry Pro será cedida.</w:t>
      </w:r>
    </w:p>
    <w:p w:rsidR="006714D8" w:rsidRPr="004B208C" w:rsidRDefault="006714D8" w:rsidP="00A1385C">
      <w:pPr>
        <w:numPr>
          <w:ilvl w:val="1"/>
          <w:numId w:val="81"/>
        </w:numPr>
        <w:spacing w:after="60"/>
        <w:ind w:left="1440"/>
        <w:rPr>
          <w:rFonts w:cs="Tahoma"/>
        </w:rPr>
      </w:pPr>
      <w:r w:rsidRPr="004B208C">
        <w:rPr>
          <w:rFonts w:cs="Tahoma"/>
          <w:szCs w:val="18"/>
        </w:rPr>
        <w:t xml:space="preserve">Salvo conforme estabelecido a seguir, os clientes devem remover o Sistema Operacional qualificado do dispositivo para implantar a licença de Atualização para Windows Embedded 8.1 Industry Pro. </w:t>
      </w:r>
    </w:p>
    <w:p w:rsidR="006714D8" w:rsidRPr="004B208C" w:rsidRDefault="006714D8" w:rsidP="00A1385C">
      <w:pPr>
        <w:numPr>
          <w:ilvl w:val="1"/>
          <w:numId w:val="81"/>
        </w:numPr>
        <w:spacing w:after="60"/>
        <w:ind w:left="1440"/>
        <w:rPr>
          <w:rFonts w:cs="Tahoma"/>
        </w:rPr>
      </w:pPr>
      <w:r w:rsidRPr="004B208C">
        <w:rPr>
          <w:rFonts w:cs="Tahoma"/>
          <w:szCs w:val="18"/>
        </w:rPr>
        <w:t>Os clientes que desejarem instalar ou executar mais de um sistema operacional licenciado de uma vez (incluindo o sistema operacional qualificado) poderão adquirir Software Assurance para sua licença de Atualização para Windows Embedded 8.1 Industry Pro.</w:t>
      </w:r>
    </w:p>
    <w:p w:rsidR="006714D8" w:rsidRPr="004B208C" w:rsidRDefault="006714D8" w:rsidP="00A1385C">
      <w:pPr>
        <w:numPr>
          <w:ilvl w:val="1"/>
          <w:numId w:val="81"/>
        </w:numPr>
        <w:ind w:left="1440"/>
        <w:rPr>
          <w:rFonts w:cs="Tahoma"/>
        </w:rPr>
      </w:pPr>
      <w:r w:rsidRPr="004B208C">
        <w:rPr>
          <w:rFonts w:cs="Tahoma"/>
          <w:szCs w:val="18"/>
        </w:rPr>
        <w:t>Os clientes que tiverem cobertura do Software Assurance ativa não precisarão desinstalar o SO qualificado e poderão instalar e executar o SO qualificado e o Windows Embedded 8.1 Industry Pro</w:t>
      </w:r>
      <w:r w:rsidR="003D6A93">
        <w:rPr>
          <w:rFonts w:cs="Tahoma"/>
          <w:szCs w:val="18"/>
        </w:rPr>
        <w:t> </w:t>
      </w:r>
      <w:r w:rsidRPr="004B208C">
        <w:rPr>
          <w:rFonts w:cs="Tahoma"/>
          <w:szCs w:val="18"/>
        </w:rPr>
        <w:t xml:space="preserve">ao mesmo tempo. </w:t>
      </w:r>
    </w:p>
    <w:p w:rsidR="007015CC" w:rsidRPr="004B208C" w:rsidRDefault="007015CC" w:rsidP="007015CC">
      <w:pPr>
        <w:spacing w:after="60"/>
        <w:rPr>
          <w:rFonts w:cs="Tahoma"/>
        </w:rPr>
      </w:pPr>
    </w:p>
    <w:p w:rsidR="006714D8" w:rsidRPr="004B208C" w:rsidRDefault="006714D8" w:rsidP="007015CC">
      <w:pPr>
        <w:pStyle w:val="ListParagraph"/>
        <w:rPr>
          <w:rFonts w:ascii="Tahoma" w:hAnsi="Tahoma" w:cs="Tahoma"/>
        </w:rPr>
      </w:pPr>
      <w:r w:rsidRPr="004B208C">
        <w:rPr>
          <w:rFonts w:ascii="Tahoma" w:hAnsi="Tahoma" w:cs="Tahoma"/>
          <w:sz w:val="18"/>
          <w:szCs w:val="18"/>
          <w:u w:val="single"/>
        </w:rPr>
        <w:t>Sistemas Operacionais Qualificados (“Sistema Operacional Qualificado”)</w:t>
      </w:r>
      <w:r w:rsidRPr="0045327F">
        <w:rPr>
          <w:rFonts w:ascii="Tahoma" w:hAnsi="Tahoma" w:cs="Tahoma"/>
          <w:sz w:val="18"/>
          <w:szCs w:val="18"/>
        </w:rPr>
        <w:t>:</w:t>
      </w:r>
    </w:p>
    <w:p w:rsidR="006714D8" w:rsidRPr="004B208C" w:rsidRDefault="006714D8" w:rsidP="00A1385C">
      <w:pPr>
        <w:numPr>
          <w:ilvl w:val="1"/>
          <w:numId w:val="81"/>
        </w:numPr>
        <w:spacing w:after="60"/>
        <w:ind w:left="1440"/>
        <w:rPr>
          <w:rFonts w:cs="Tahoma"/>
        </w:rPr>
      </w:pPr>
      <w:r w:rsidRPr="004B208C">
        <w:rPr>
          <w:rFonts w:cs="Tahoma"/>
          <w:szCs w:val="18"/>
        </w:rPr>
        <w:t>Windows Embedded para Point of Service (WEPOS)</w:t>
      </w:r>
    </w:p>
    <w:p w:rsidR="006714D8" w:rsidRPr="004B208C" w:rsidRDefault="006714D8" w:rsidP="00A1385C">
      <w:pPr>
        <w:numPr>
          <w:ilvl w:val="1"/>
          <w:numId w:val="81"/>
        </w:numPr>
        <w:spacing w:after="60"/>
        <w:ind w:left="1440"/>
        <w:rPr>
          <w:rFonts w:cs="Tahoma"/>
        </w:rPr>
      </w:pPr>
      <w:r w:rsidRPr="004B208C">
        <w:rPr>
          <w:rFonts w:cs="Tahoma"/>
          <w:szCs w:val="18"/>
        </w:rPr>
        <w:t>Windows Embedded POSReady 2009 e POSReady 7</w:t>
      </w:r>
    </w:p>
    <w:p w:rsidR="006714D8" w:rsidRPr="004B208C" w:rsidRDefault="006714D8" w:rsidP="00A1385C">
      <w:pPr>
        <w:numPr>
          <w:ilvl w:val="1"/>
          <w:numId w:val="81"/>
        </w:numPr>
        <w:spacing w:after="60"/>
        <w:ind w:left="1440"/>
        <w:rPr>
          <w:rFonts w:cs="Tahoma"/>
        </w:rPr>
      </w:pPr>
      <w:r w:rsidRPr="004B208C">
        <w:rPr>
          <w:rFonts w:cs="Tahoma"/>
          <w:szCs w:val="18"/>
        </w:rPr>
        <w:t xml:space="preserve">Windows XP Professional para Sistemas Incorporados </w:t>
      </w:r>
    </w:p>
    <w:p w:rsidR="006714D8" w:rsidRPr="004B208C" w:rsidRDefault="006714D8" w:rsidP="00A1385C">
      <w:pPr>
        <w:numPr>
          <w:ilvl w:val="1"/>
          <w:numId w:val="81"/>
        </w:numPr>
        <w:spacing w:after="60"/>
        <w:ind w:left="1440"/>
        <w:rPr>
          <w:rFonts w:cs="Tahoma"/>
        </w:rPr>
      </w:pPr>
      <w:r w:rsidRPr="004B208C">
        <w:rPr>
          <w:rFonts w:cs="Tahoma"/>
          <w:szCs w:val="18"/>
        </w:rPr>
        <w:t>Windows Vista Business para Sistemas Incorporados e Windows Vista Ultimate para Sistemas Incorporados</w:t>
      </w:r>
    </w:p>
    <w:p w:rsidR="006714D8" w:rsidRPr="004B208C" w:rsidRDefault="006714D8" w:rsidP="00A1385C">
      <w:pPr>
        <w:numPr>
          <w:ilvl w:val="1"/>
          <w:numId w:val="81"/>
        </w:numPr>
        <w:spacing w:after="60"/>
        <w:ind w:left="1440"/>
        <w:rPr>
          <w:rFonts w:cs="Tahoma"/>
        </w:rPr>
      </w:pPr>
      <w:r w:rsidRPr="004B208C">
        <w:rPr>
          <w:rFonts w:cs="Tahoma"/>
          <w:szCs w:val="18"/>
        </w:rPr>
        <w:lastRenderedPageBreak/>
        <w:t xml:space="preserve">Windows 2000 Professional para Sistemas Incorporados </w:t>
      </w:r>
    </w:p>
    <w:p w:rsidR="006714D8" w:rsidRPr="004B208C" w:rsidRDefault="006714D8" w:rsidP="00A1385C">
      <w:pPr>
        <w:numPr>
          <w:ilvl w:val="1"/>
          <w:numId w:val="81"/>
        </w:numPr>
        <w:spacing w:after="60"/>
        <w:ind w:left="1440"/>
        <w:rPr>
          <w:rFonts w:cs="Tahoma"/>
        </w:rPr>
      </w:pPr>
      <w:r w:rsidRPr="004B208C">
        <w:rPr>
          <w:rFonts w:cs="Tahoma"/>
          <w:szCs w:val="18"/>
        </w:rPr>
        <w:t>Windows NT Embedded para Sistemas Incorporados</w:t>
      </w:r>
    </w:p>
    <w:p w:rsidR="006714D8" w:rsidRPr="004B208C" w:rsidRDefault="006714D8" w:rsidP="00A1385C">
      <w:pPr>
        <w:numPr>
          <w:ilvl w:val="1"/>
          <w:numId w:val="81"/>
        </w:numPr>
        <w:spacing w:after="60"/>
        <w:ind w:left="1440"/>
        <w:rPr>
          <w:rFonts w:cs="Tahoma"/>
        </w:rPr>
      </w:pPr>
      <w:r w:rsidRPr="004B208C">
        <w:rPr>
          <w:rFonts w:cs="Tahoma"/>
          <w:szCs w:val="18"/>
        </w:rPr>
        <w:t>Windows 7 Professional para Sistemas Incorporados</w:t>
      </w:r>
    </w:p>
    <w:p w:rsidR="006714D8" w:rsidRPr="004B208C" w:rsidRDefault="006714D8" w:rsidP="00A1385C">
      <w:pPr>
        <w:numPr>
          <w:ilvl w:val="1"/>
          <w:numId w:val="81"/>
        </w:numPr>
        <w:spacing w:after="60"/>
        <w:ind w:left="1440"/>
        <w:rPr>
          <w:rFonts w:cs="Tahoma"/>
        </w:rPr>
      </w:pPr>
      <w:r w:rsidRPr="004B208C">
        <w:rPr>
          <w:rFonts w:cs="Tahoma"/>
          <w:szCs w:val="18"/>
        </w:rPr>
        <w:t>Windows 7 Ultimate para Sistemas Incorporados</w:t>
      </w:r>
    </w:p>
    <w:p w:rsidR="006714D8" w:rsidRPr="004B208C" w:rsidRDefault="006714D8" w:rsidP="00A1385C">
      <w:pPr>
        <w:numPr>
          <w:ilvl w:val="1"/>
          <w:numId w:val="81"/>
        </w:numPr>
        <w:spacing w:after="60"/>
        <w:ind w:left="1440"/>
        <w:rPr>
          <w:rFonts w:cs="Tahoma"/>
        </w:rPr>
      </w:pPr>
      <w:r w:rsidRPr="004B208C">
        <w:rPr>
          <w:rFonts w:cs="Tahoma"/>
          <w:szCs w:val="18"/>
        </w:rPr>
        <w:t>Windows XP Embedded</w:t>
      </w:r>
    </w:p>
    <w:p w:rsidR="006714D8" w:rsidRPr="004B208C" w:rsidRDefault="006714D8" w:rsidP="00A1385C">
      <w:pPr>
        <w:numPr>
          <w:ilvl w:val="1"/>
          <w:numId w:val="81"/>
        </w:numPr>
        <w:spacing w:after="60"/>
        <w:ind w:left="1440"/>
        <w:rPr>
          <w:rFonts w:cs="Tahoma"/>
        </w:rPr>
      </w:pPr>
      <w:r w:rsidRPr="004B208C">
        <w:rPr>
          <w:rFonts w:cs="Tahoma"/>
          <w:szCs w:val="18"/>
        </w:rPr>
        <w:t>Windows Embedded Standard 7, 2009 e Windows Embedded 8 Standard</w:t>
      </w:r>
    </w:p>
    <w:p w:rsidR="006714D8" w:rsidRPr="004B208C" w:rsidRDefault="006714D8" w:rsidP="00A1385C">
      <w:pPr>
        <w:numPr>
          <w:ilvl w:val="1"/>
          <w:numId w:val="81"/>
        </w:numPr>
        <w:spacing w:after="60"/>
        <w:ind w:left="1440"/>
        <w:rPr>
          <w:rFonts w:cs="Tahoma"/>
        </w:rPr>
      </w:pPr>
      <w:r w:rsidRPr="004B208C">
        <w:rPr>
          <w:rFonts w:cs="Tahoma"/>
          <w:szCs w:val="18"/>
        </w:rPr>
        <w:t>Windows Embedded 8 e 8.1 Pro</w:t>
      </w:r>
    </w:p>
    <w:p w:rsidR="006714D8" w:rsidRPr="004B208C" w:rsidRDefault="006714D8" w:rsidP="00A1385C">
      <w:pPr>
        <w:numPr>
          <w:ilvl w:val="1"/>
          <w:numId w:val="81"/>
        </w:numPr>
        <w:spacing w:after="60"/>
        <w:ind w:left="1440"/>
        <w:rPr>
          <w:rFonts w:cs="Tahoma"/>
        </w:rPr>
      </w:pPr>
      <w:r w:rsidRPr="004B208C">
        <w:rPr>
          <w:rFonts w:cs="Tahoma"/>
          <w:szCs w:val="18"/>
        </w:rPr>
        <w:t>Windows Embedded 8 e 8.1 Industry Pro: Tanto Geral quanto Varejo</w:t>
      </w:r>
    </w:p>
    <w:p w:rsidR="006714D8" w:rsidRPr="004B208C" w:rsidRDefault="006714D8" w:rsidP="006714D8">
      <w:pPr>
        <w:rPr>
          <w:rFonts w:cs="Tahoma"/>
        </w:rPr>
      </w:pPr>
    </w:p>
    <w:p w:rsidR="006714D8" w:rsidRPr="0045327F" w:rsidRDefault="006714D8" w:rsidP="007015CC">
      <w:pPr>
        <w:pStyle w:val="FootnoteBulletLevel1"/>
        <w:tabs>
          <w:tab w:val="clear" w:pos="900"/>
        </w:tabs>
        <w:spacing w:before="0" w:after="0"/>
        <w:ind w:left="0" w:firstLine="0"/>
        <w:rPr>
          <w:rFonts w:ascii="Tahoma" w:hAnsi="Tahoma" w:cs="Tahoma"/>
          <w:sz w:val="18"/>
          <w:szCs w:val="18"/>
        </w:rPr>
      </w:pPr>
      <w:r w:rsidRPr="0045327F">
        <w:rPr>
          <w:rFonts w:ascii="Tahoma" w:hAnsi="Tahoma" w:cs="Tahoma"/>
          <w:sz w:val="18"/>
          <w:szCs w:val="18"/>
        </w:rPr>
        <w:t>Qualquer sistema operacional não listado acima não é um SO qualificado.</w:t>
      </w:r>
      <w:r w:rsidR="00172F11" w:rsidRPr="0045327F">
        <w:rPr>
          <w:rFonts w:ascii="Tahoma" w:hAnsi="Tahoma" w:cs="Tahoma"/>
          <w:sz w:val="18"/>
          <w:szCs w:val="18"/>
        </w:rPr>
        <w:t xml:space="preserve"> </w:t>
      </w:r>
      <w:r w:rsidRPr="0045327F">
        <w:rPr>
          <w:rFonts w:ascii="Tahoma" w:hAnsi="Tahoma" w:cs="Tahoma"/>
          <w:sz w:val="18"/>
          <w:szCs w:val="18"/>
        </w:rPr>
        <w:t>Por exemplo, uma licença do Windows 8 Pro não está qualificada para Atualização para Windows Embedded 8 Industry.</w:t>
      </w:r>
    </w:p>
    <w:p w:rsidR="00C205D1" w:rsidRPr="0045327F" w:rsidRDefault="00C205D1" w:rsidP="00C205D1">
      <w:pPr>
        <w:pStyle w:val="FootnoteBulletLevel1"/>
        <w:spacing w:before="0" w:after="0"/>
        <w:ind w:left="720" w:firstLine="0"/>
        <w:rPr>
          <w:rFonts w:ascii="Tahoma" w:hAnsi="Tahoma" w:cs="Tahoma"/>
          <w:sz w:val="18"/>
          <w:szCs w:val="18"/>
        </w:rPr>
      </w:pPr>
    </w:p>
    <w:p w:rsidR="00C205D1" w:rsidRPr="0045327F" w:rsidRDefault="00C205D1" w:rsidP="001C55B1">
      <w:pPr>
        <w:pStyle w:val="FootnoteBulletLevel1"/>
        <w:spacing w:before="0" w:after="0"/>
        <w:ind w:left="0" w:firstLine="0"/>
        <w:rPr>
          <w:rFonts w:ascii="Tahoma" w:hAnsi="Tahoma" w:cs="Tahoma"/>
          <w:sz w:val="18"/>
          <w:szCs w:val="18"/>
        </w:rPr>
      </w:pPr>
      <w:r w:rsidRPr="0045327F">
        <w:rPr>
          <w:rFonts w:ascii="Tahoma" w:hAnsi="Tahoma" w:cs="Tahoma"/>
          <w:sz w:val="18"/>
          <w:szCs w:val="18"/>
        </w:rPr>
        <w:t>Os clientes que desejarem se registrar no Software Assurance do Windows Embedded 8.1 Industry Pro têm as seguintes opções:</w:t>
      </w:r>
    </w:p>
    <w:p w:rsidR="00C205D1" w:rsidRPr="0045327F" w:rsidRDefault="00C205D1" w:rsidP="00C205D1">
      <w:pPr>
        <w:pStyle w:val="FootnoteBulletLevel1"/>
        <w:spacing w:before="0" w:after="0"/>
        <w:ind w:left="720" w:firstLine="0"/>
        <w:rPr>
          <w:rFonts w:ascii="Tahoma" w:hAnsi="Tahoma" w:cs="Tahoma"/>
          <w:sz w:val="18"/>
          <w:szCs w:val="18"/>
        </w:rPr>
      </w:pPr>
    </w:p>
    <w:p w:rsidR="00C205D1" w:rsidRPr="0045327F" w:rsidRDefault="00C205D1" w:rsidP="00A1385C">
      <w:pPr>
        <w:pStyle w:val="FootnoteBulletLevel1"/>
        <w:numPr>
          <w:ilvl w:val="0"/>
          <w:numId w:val="28"/>
        </w:numPr>
        <w:adjustRightInd/>
        <w:spacing w:before="0" w:after="60"/>
        <w:textAlignment w:val="auto"/>
        <w:rPr>
          <w:rFonts w:ascii="Tahoma" w:hAnsi="Tahoma" w:cs="Tahoma"/>
          <w:sz w:val="18"/>
          <w:szCs w:val="18"/>
        </w:rPr>
      </w:pPr>
      <w:r w:rsidRPr="0045327F">
        <w:rPr>
          <w:rFonts w:ascii="Tahoma" w:hAnsi="Tahoma" w:cs="Tahoma"/>
          <w:sz w:val="18"/>
          <w:szCs w:val="18"/>
        </w:rPr>
        <w:t xml:space="preserve">Select. Programas Open Value (Não extensivo a toda a empresa) e Licença Open </w:t>
      </w:r>
    </w:p>
    <w:p w:rsidR="00C205D1" w:rsidRPr="0045327F" w:rsidRDefault="00C205D1" w:rsidP="00A1385C">
      <w:pPr>
        <w:pStyle w:val="Footnotedash"/>
        <w:numPr>
          <w:ilvl w:val="0"/>
          <w:numId w:val="29"/>
        </w:numPr>
        <w:adjustRightInd/>
        <w:spacing w:before="0"/>
        <w:ind w:left="1800"/>
        <w:textAlignment w:val="auto"/>
        <w:rPr>
          <w:rFonts w:ascii="Tahoma" w:hAnsi="Tahoma" w:cs="Tahoma"/>
          <w:sz w:val="18"/>
          <w:szCs w:val="18"/>
        </w:rPr>
      </w:pPr>
      <w:r w:rsidRPr="0045327F">
        <w:rPr>
          <w:rFonts w:ascii="Tahoma" w:hAnsi="Tahoma" w:cs="Tahoma"/>
          <w:sz w:val="18"/>
          <w:szCs w:val="18"/>
        </w:rPr>
        <w:t>Adquirir a cobertura do Software Assurance para o POSReady 2009, POSReady 7, Windows Embedded 8 Industry Pro ou Windows Embedded 8.1 Industry Pro licenciados por meio de OEM, no prazo de 90 dias da data de compra da licença OEM.</w:t>
      </w:r>
    </w:p>
    <w:p w:rsidR="00C205D1" w:rsidRPr="0045327F" w:rsidRDefault="00C205D1" w:rsidP="00A1385C">
      <w:pPr>
        <w:pStyle w:val="Footnotedash"/>
        <w:numPr>
          <w:ilvl w:val="0"/>
          <w:numId w:val="29"/>
        </w:numPr>
        <w:adjustRightInd/>
        <w:spacing w:before="0"/>
        <w:ind w:left="1800"/>
        <w:textAlignment w:val="auto"/>
        <w:rPr>
          <w:rFonts w:ascii="Tahoma" w:hAnsi="Tahoma" w:cs="Tahoma"/>
          <w:sz w:val="18"/>
          <w:szCs w:val="18"/>
        </w:rPr>
      </w:pPr>
      <w:r w:rsidRPr="0045327F">
        <w:rPr>
          <w:rFonts w:ascii="Tahoma" w:hAnsi="Tahoma" w:cs="Tahoma"/>
          <w:sz w:val="18"/>
          <w:szCs w:val="18"/>
        </w:rPr>
        <w:t>Renovar o Software Assurance para o sistema operacional Windows Embedded ao término da</w:t>
      </w:r>
      <w:r w:rsidR="0045327F">
        <w:rPr>
          <w:rFonts w:ascii="Tahoma" w:hAnsi="Tahoma" w:cs="Tahoma"/>
          <w:sz w:val="18"/>
          <w:szCs w:val="18"/>
        </w:rPr>
        <w:t> </w:t>
      </w:r>
      <w:r w:rsidRPr="0045327F">
        <w:rPr>
          <w:rFonts w:ascii="Tahoma" w:hAnsi="Tahoma" w:cs="Tahoma"/>
          <w:sz w:val="18"/>
          <w:szCs w:val="18"/>
        </w:rPr>
        <w:t xml:space="preserve">cobertura do Software Assurance do POSReady 2009, POSReady 7, Windows Embedded 8 Industry Pro ou Windows Embedded 8.1 Industry Pro. </w:t>
      </w:r>
    </w:p>
    <w:p w:rsidR="00C205D1" w:rsidRPr="0045327F" w:rsidRDefault="00C205D1" w:rsidP="00C205D1">
      <w:pPr>
        <w:pStyle w:val="Footnotedash"/>
        <w:spacing w:before="0" w:after="0"/>
        <w:ind w:left="720" w:firstLine="0"/>
        <w:rPr>
          <w:rFonts w:ascii="Tahoma" w:hAnsi="Tahoma" w:cs="Tahoma"/>
          <w:sz w:val="18"/>
          <w:szCs w:val="18"/>
        </w:rPr>
      </w:pPr>
    </w:p>
    <w:p w:rsidR="00C205D1" w:rsidRPr="004B208C" w:rsidRDefault="00C205D1" w:rsidP="00C205D1">
      <w:pPr>
        <w:pStyle w:val="FootnoteBulletLevel2"/>
        <w:numPr>
          <w:ilvl w:val="0"/>
          <w:numId w:val="25"/>
        </w:numPr>
        <w:adjustRightInd/>
        <w:spacing w:before="0"/>
        <w:ind w:left="1440"/>
        <w:textAlignment w:val="auto"/>
        <w:rPr>
          <w:rFonts w:ascii="Tahoma" w:hAnsi="Tahoma" w:cs="Tahoma"/>
        </w:rPr>
      </w:pPr>
      <w:r w:rsidRPr="004B208C">
        <w:rPr>
          <w:rFonts w:ascii="Tahoma" w:hAnsi="Tahoma" w:cs="Tahoma"/>
          <w:sz w:val="18"/>
          <w:szCs w:val="18"/>
        </w:rPr>
        <w:t>Registros Enterprise: ao término de um Registro Enterprise existente que cubra o Sistema Operacional Windows Embedded, renovar a respectiva cobertura sob um novo Registro Enterprise para o Sistema Operacional Windows Embedded.</w:t>
      </w:r>
    </w:p>
    <w:p w:rsidR="007015CC" w:rsidRPr="0045327F" w:rsidRDefault="007015CC" w:rsidP="007015CC">
      <w:pPr>
        <w:pStyle w:val="FootnoteBulletLevel1"/>
        <w:tabs>
          <w:tab w:val="clear" w:pos="900"/>
        </w:tabs>
        <w:spacing w:before="0" w:after="0"/>
        <w:ind w:left="0" w:firstLine="0"/>
        <w:rPr>
          <w:rFonts w:ascii="Tahoma" w:hAnsi="Tahoma" w:cs="Tahoma"/>
          <w:sz w:val="18"/>
          <w:szCs w:val="18"/>
        </w:rPr>
      </w:pPr>
    </w:p>
    <w:p w:rsidR="006714D8" w:rsidRPr="0045327F" w:rsidRDefault="006714D8" w:rsidP="006714D8">
      <w:pPr>
        <w:pStyle w:val="FootnoteBulletLevel2"/>
        <w:tabs>
          <w:tab w:val="clear" w:pos="1260"/>
        </w:tabs>
        <w:adjustRightInd/>
        <w:spacing w:before="0"/>
        <w:ind w:left="0" w:firstLine="0"/>
        <w:textAlignment w:val="auto"/>
        <w:rPr>
          <w:rFonts w:ascii="Tahoma" w:hAnsi="Tahoma" w:cs="Tahoma"/>
          <w:sz w:val="18"/>
          <w:szCs w:val="18"/>
        </w:rPr>
      </w:pPr>
      <w:r w:rsidRPr="0045327F">
        <w:rPr>
          <w:rFonts w:ascii="Tahoma" w:hAnsi="Tahoma" w:cs="Tahoma"/>
          <w:sz w:val="18"/>
          <w:szCs w:val="18"/>
        </w:rPr>
        <w:t>Os clientes que desejarem adquirir a Atualização e Software Assurance do Windows Embedded 8 Industry Pro em conjunto têm as seguintes opções:</w:t>
      </w:r>
    </w:p>
    <w:p w:rsidR="006714D8" w:rsidRPr="0045327F" w:rsidRDefault="006714D8" w:rsidP="007015CC">
      <w:pPr>
        <w:pStyle w:val="FootnoteBulletLevel2"/>
        <w:numPr>
          <w:ilvl w:val="0"/>
          <w:numId w:val="25"/>
        </w:numPr>
        <w:adjustRightInd/>
        <w:spacing w:before="0" w:after="60"/>
        <w:ind w:left="1440"/>
        <w:textAlignment w:val="auto"/>
        <w:rPr>
          <w:rFonts w:ascii="Tahoma" w:hAnsi="Tahoma" w:cs="Tahoma"/>
          <w:sz w:val="18"/>
          <w:szCs w:val="18"/>
        </w:rPr>
      </w:pPr>
      <w:r w:rsidRPr="0045327F">
        <w:rPr>
          <w:rFonts w:ascii="Tahoma" w:hAnsi="Tahoma" w:cs="Tahoma"/>
          <w:sz w:val="18"/>
          <w:szCs w:val="18"/>
        </w:rPr>
        <w:t>Contrato Enterprise, Select Plus, Open Value (Não extensivo a toda a empresa) e programas com</w:t>
      </w:r>
      <w:r w:rsidR="0045327F" w:rsidRPr="0045327F">
        <w:rPr>
          <w:rFonts w:ascii="Tahoma" w:hAnsi="Tahoma" w:cs="Tahoma"/>
          <w:sz w:val="18"/>
          <w:szCs w:val="18"/>
        </w:rPr>
        <w:t> </w:t>
      </w:r>
      <w:r w:rsidRPr="0045327F">
        <w:rPr>
          <w:rFonts w:ascii="Tahoma" w:hAnsi="Tahoma" w:cs="Tahoma"/>
          <w:sz w:val="18"/>
          <w:szCs w:val="18"/>
        </w:rPr>
        <w:t>Licença Open:</w:t>
      </w:r>
    </w:p>
    <w:p w:rsidR="006714D8" w:rsidRPr="0045327F" w:rsidRDefault="006714D8" w:rsidP="00A1385C">
      <w:pPr>
        <w:pStyle w:val="AppendixBodyText"/>
        <w:numPr>
          <w:ilvl w:val="0"/>
          <w:numId w:val="76"/>
        </w:numPr>
        <w:ind w:left="1800" w:right="720"/>
        <w:rPr>
          <w:rFonts w:ascii="Tahoma" w:hAnsi="Tahoma" w:cs="Tahoma"/>
          <w:sz w:val="18"/>
          <w:szCs w:val="18"/>
        </w:rPr>
      </w:pPr>
      <w:r w:rsidRPr="0045327F">
        <w:rPr>
          <w:rFonts w:ascii="Tahoma" w:hAnsi="Tahoma" w:cs="Tahoma"/>
          <w:color w:val="000000"/>
          <w:sz w:val="18"/>
          <w:szCs w:val="18"/>
        </w:rPr>
        <w:t>Adquirir a Atualização e Software Assurance do Windows Embedded 8 Industry Pro</w:t>
      </w:r>
      <w:r w:rsidR="003D6A93">
        <w:rPr>
          <w:rFonts w:ascii="Tahoma" w:hAnsi="Tahoma" w:cs="Tahoma"/>
          <w:color w:val="000000"/>
          <w:sz w:val="18"/>
          <w:szCs w:val="18"/>
        </w:rPr>
        <w:t> </w:t>
      </w:r>
      <w:r w:rsidRPr="0045327F">
        <w:rPr>
          <w:rFonts w:ascii="Tahoma" w:hAnsi="Tahoma" w:cs="Tahoma"/>
          <w:color w:val="000000"/>
          <w:sz w:val="18"/>
          <w:szCs w:val="18"/>
        </w:rPr>
        <w:t>para Industry Devices nos quais o cliente licenciou e instalou um dos sistemas operacionais qualificados listados na lista de Atualização do Windows Embedded acima.</w:t>
      </w:r>
    </w:p>
    <w:p w:rsidR="006714D8" w:rsidRPr="0045327F" w:rsidRDefault="006714D8" w:rsidP="00A1385C">
      <w:pPr>
        <w:pStyle w:val="AppendixBodyText"/>
        <w:numPr>
          <w:ilvl w:val="0"/>
          <w:numId w:val="76"/>
        </w:numPr>
        <w:ind w:left="1800" w:right="720"/>
        <w:rPr>
          <w:rFonts w:ascii="Tahoma" w:hAnsi="Tahoma" w:cs="Tahoma"/>
          <w:sz w:val="18"/>
          <w:szCs w:val="18"/>
        </w:rPr>
      </w:pPr>
      <w:r w:rsidRPr="0045327F">
        <w:rPr>
          <w:rFonts w:ascii="Tahoma" w:hAnsi="Tahoma" w:cs="Tahoma"/>
          <w:color w:val="000000"/>
          <w:sz w:val="18"/>
          <w:szCs w:val="18"/>
        </w:rPr>
        <w:t>O Cliente pode transferir a cobertura do Software Assurance do Windows Embedded 8 Industry Pro do dispositivo original para um dispositivo substituto, mas não a curto prazo (ou seja, em 90 dias da última alocação), desde que (1) o cliente tenha licenciado e instalado no desktop substituto a versão mais recente daquele sistema operacional e (2) o cliente tenha removido quaisquer atualizações de sistema operacional de desktop do dispositivo original.</w:t>
      </w:r>
    </w:p>
    <w:p w:rsidR="006714D8" w:rsidRPr="0045327F" w:rsidRDefault="006714D8" w:rsidP="006714D8">
      <w:pPr>
        <w:pStyle w:val="Footnotedash"/>
        <w:spacing w:before="0" w:after="0"/>
        <w:ind w:left="360"/>
        <w:rPr>
          <w:rFonts w:ascii="Tahoma" w:hAnsi="Tahoma" w:cs="Tahoma"/>
          <w:sz w:val="18"/>
          <w:szCs w:val="18"/>
        </w:rPr>
      </w:pPr>
      <w:r w:rsidRPr="0045327F">
        <w:rPr>
          <w:rFonts w:ascii="Tahoma" w:hAnsi="Tahoma" w:cs="Tahoma"/>
          <w:sz w:val="18"/>
          <w:szCs w:val="18"/>
          <w:u w:val="single"/>
        </w:rPr>
        <w:t>Direitos de downgrade</w:t>
      </w:r>
    </w:p>
    <w:p w:rsidR="006714D8" w:rsidRPr="0045327F" w:rsidRDefault="006714D8" w:rsidP="006714D8">
      <w:pPr>
        <w:pStyle w:val="ListParagraph"/>
        <w:ind w:left="0"/>
        <w:contextualSpacing w:val="0"/>
        <w:rPr>
          <w:rFonts w:ascii="Tahoma" w:hAnsi="Tahoma" w:cs="Tahoma"/>
          <w:sz w:val="18"/>
          <w:szCs w:val="18"/>
        </w:rPr>
      </w:pPr>
      <w:r w:rsidRPr="0045327F">
        <w:rPr>
          <w:rFonts w:ascii="Tahoma" w:hAnsi="Tahoma" w:cs="Tahoma"/>
          <w:bCs/>
          <w:sz w:val="18"/>
          <w:szCs w:val="18"/>
        </w:rPr>
        <w:t>Microsoft Windows Embedded 8.1 Industry Pro:</w:t>
      </w:r>
      <w:r w:rsidRPr="0045327F">
        <w:rPr>
          <w:rFonts w:ascii="Tahoma" w:hAnsi="Tahoma" w:cs="Tahoma"/>
          <w:b/>
          <w:bCs/>
          <w:sz w:val="18"/>
          <w:szCs w:val="18"/>
        </w:rPr>
        <w:t xml:space="preserve"> </w:t>
      </w:r>
      <w:r w:rsidRPr="0045327F">
        <w:rPr>
          <w:rFonts w:ascii="Tahoma" w:hAnsi="Tahoma" w:cs="Tahoma"/>
          <w:sz w:val="18"/>
          <w:szCs w:val="18"/>
        </w:rPr>
        <w:t>Os clientes de licenciamento por volume com uma licença válida para</w:t>
      </w:r>
      <w:r w:rsidR="003D6A93">
        <w:rPr>
          <w:rFonts w:ascii="Tahoma" w:hAnsi="Tahoma" w:cs="Tahoma"/>
          <w:sz w:val="18"/>
          <w:szCs w:val="18"/>
        </w:rPr>
        <w:t> </w:t>
      </w:r>
      <w:r w:rsidRPr="0045327F">
        <w:rPr>
          <w:rFonts w:ascii="Tahoma" w:hAnsi="Tahoma" w:cs="Tahoma"/>
          <w:sz w:val="18"/>
          <w:szCs w:val="18"/>
        </w:rPr>
        <w:t>Windows Embedded 8.1 Industry Pro obtida por meio do programa de licenciamento por volume para Windows Embedded 8.1 Industry estão qualificados para usar uma versão anterior em vez da versão licenciada.</w:t>
      </w:r>
      <w:r w:rsidR="00172F11" w:rsidRPr="0045327F">
        <w:rPr>
          <w:rFonts w:ascii="Tahoma" w:hAnsi="Tahoma" w:cs="Tahoma"/>
          <w:sz w:val="18"/>
          <w:szCs w:val="18"/>
        </w:rPr>
        <w:t xml:space="preserve"> </w:t>
      </w:r>
      <w:r w:rsidRPr="0045327F">
        <w:rPr>
          <w:rFonts w:ascii="Tahoma" w:hAnsi="Tahoma" w:cs="Tahoma"/>
          <w:sz w:val="18"/>
          <w:szCs w:val="18"/>
        </w:rPr>
        <w:t>As versões anteriores qualificadas do Windows Embedded 8.1 Industry Pro são Windows Embedded 8 Industry Pro, Windows Embedded POSReady 7 e Windows Embedded POSReady 2009.</w:t>
      </w:r>
    </w:p>
    <w:p w:rsidR="006714D8" w:rsidRPr="0045327F" w:rsidRDefault="006714D8" w:rsidP="006714D8">
      <w:pPr>
        <w:pStyle w:val="FootnoteBulletLevel2"/>
        <w:tabs>
          <w:tab w:val="clear" w:pos="1260"/>
        </w:tabs>
        <w:spacing w:before="0"/>
        <w:ind w:left="0" w:firstLine="0"/>
        <w:rPr>
          <w:rFonts w:ascii="Tahoma" w:hAnsi="Tahoma" w:cs="Tahoma"/>
          <w:sz w:val="18"/>
          <w:szCs w:val="18"/>
        </w:rPr>
      </w:pPr>
    </w:p>
    <w:p w:rsidR="006714D8" w:rsidRPr="0045327F" w:rsidRDefault="006714D8" w:rsidP="006714D8">
      <w:pPr>
        <w:pStyle w:val="FootnoteBulletLevel2"/>
        <w:tabs>
          <w:tab w:val="clear" w:pos="1260"/>
        </w:tabs>
        <w:spacing w:before="0"/>
        <w:ind w:left="0" w:firstLine="0"/>
        <w:rPr>
          <w:rFonts w:ascii="Tahoma" w:hAnsi="Tahoma" w:cs="Tahoma"/>
          <w:sz w:val="18"/>
          <w:szCs w:val="18"/>
        </w:rPr>
      </w:pPr>
      <w:r w:rsidRPr="0045327F">
        <w:rPr>
          <w:rFonts w:ascii="Tahoma" w:hAnsi="Tahoma" w:cs="Tahoma"/>
          <w:sz w:val="18"/>
          <w:szCs w:val="18"/>
          <w:u w:val="single"/>
        </w:rPr>
        <w:t>Os requisitos a seguir se aplicam à restauração ao estado anterior do Windows Embedded</w:t>
      </w:r>
      <w:r w:rsidRPr="0045327F">
        <w:rPr>
          <w:rFonts w:ascii="Tahoma" w:hAnsi="Tahoma" w:cs="Tahoma"/>
          <w:sz w:val="18"/>
          <w:szCs w:val="18"/>
        </w:rPr>
        <w:t>:</w:t>
      </w:r>
    </w:p>
    <w:p w:rsidR="006714D8" w:rsidRPr="0045327F" w:rsidRDefault="00200E1A" w:rsidP="006714D8">
      <w:pPr>
        <w:pStyle w:val="Footnotedash"/>
        <w:tabs>
          <w:tab w:val="clear" w:pos="1620"/>
        </w:tabs>
        <w:spacing w:before="0"/>
        <w:ind w:left="0" w:firstLine="0"/>
        <w:rPr>
          <w:rFonts w:ascii="Tahoma" w:hAnsi="Tahoma" w:cs="Tahoma"/>
          <w:sz w:val="18"/>
          <w:szCs w:val="18"/>
        </w:rPr>
      </w:pPr>
      <w:r w:rsidRPr="0045327F">
        <w:rPr>
          <w:rFonts w:ascii="Tahoma" w:hAnsi="Tahoma" w:cs="Tahoma"/>
          <w:sz w:val="18"/>
          <w:szCs w:val="18"/>
        </w:rPr>
        <w:t xml:space="preserve">Se um terceiro restaurar ao estado anterior os produtos Windows Embedded no PC de um cliente, o cliente deverá primeiro fornecer ao terceiro uma documentação impressa provando que o cliente possui as licenças para o software que o terceiro instalará. Por exemplo, uma cópia do formulário de assinatura do contrato de Licenciamento por Volume da Microsoft aplicável ao software de atualização do sistema operacional Microsoft Embedded que está sendo instalado pode ser usada como documentação. </w:t>
      </w:r>
    </w:p>
    <w:p w:rsidR="006714D8" w:rsidRPr="003D6A93" w:rsidRDefault="006714D8" w:rsidP="007015CC">
      <w:pPr>
        <w:pStyle w:val="Footnotedash"/>
        <w:tabs>
          <w:tab w:val="clear" w:pos="1620"/>
        </w:tabs>
        <w:spacing w:before="0" w:after="0"/>
        <w:ind w:left="360"/>
        <w:rPr>
          <w:rFonts w:ascii="Tahoma" w:hAnsi="Tahoma" w:cs="Tahoma"/>
          <w:sz w:val="18"/>
          <w:szCs w:val="18"/>
        </w:rPr>
      </w:pPr>
      <w:r w:rsidRPr="003D6A93">
        <w:rPr>
          <w:rFonts w:ascii="Tahoma" w:eastAsia="Calibri" w:hAnsi="Tahoma" w:cs="Tahoma"/>
          <w:sz w:val="18"/>
          <w:szCs w:val="18"/>
          <w:u w:val="single"/>
        </w:rPr>
        <w:lastRenderedPageBreak/>
        <w:t>Limitação para Industry Devices</w:t>
      </w:r>
    </w:p>
    <w:p w:rsidR="006714D8" w:rsidRPr="0045327F" w:rsidRDefault="006714D8" w:rsidP="006714D8">
      <w:pPr>
        <w:pStyle w:val="Footnotedash"/>
        <w:tabs>
          <w:tab w:val="clear" w:pos="1620"/>
        </w:tabs>
        <w:spacing w:before="0"/>
        <w:ind w:left="0" w:firstLine="0"/>
        <w:rPr>
          <w:rFonts w:ascii="Tahoma" w:hAnsi="Tahoma" w:cs="Tahoma"/>
          <w:sz w:val="18"/>
          <w:szCs w:val="18"/>
        </w:rPr>
      </w:pPr>
      <w:r w:rsidRPr="0045327F">
        <w:rPr>
          <w:rFonts w:ascii="Tahoma" w:eastAsia="Calibri" w:hAnsi="Tahoma" w:cs="Tahoma"/>
          <w:sz w:val="18"/>
          <w:szCs w:val="18"/>
        </w:rPr>
        <w:t>O Windows Embedded 8.1 Industry Pro só poderá ser instalado nos Industry Devices.</w:t>
      </w:r>
      <w:r w:rsidR="00172F11" w:rsidRPr="0045327F">
        <w:rPr>
          <w:rFonts w:ascii="Tahoma" w:eastAsia="Calibri" w:hAnsi="Tahoma" w:cs="Tahoma"/>
          <w:sz w:val="18"/>
          <w:szCs w:val="18"/>
        </w:rPr>
        <w:t xml:space="preserve"> </w:t>
      </w:r>
      <w:r w:rsidRPr="0045327F">
        <w:rPr>
          <w:rFonts w:ascii="Tahoma" w:eastAsia="Calibri" w:hAnsi="Tahoma" w:cs="Tahoma"/>
          <w:sz w:val="18"/>
          <w:szCs w:val="18"/>
        </w:rPr>
        <w:t>Nenhum outro dispositivo é permitido.</w:t>
      </w:r>
      <w:r w:rsidR="00172F11" w:rsidRPr="0045327F">
        <w:rPr>
          <w:rFonts w:ascii="Tahoma" w:eastAsia="Calibri" w:hAnsi="Tahoma" w:cs="Tahoma"/>
          <w:sz w:val="18"/>
          <w:szCs w:val="18"/>
        </w:rPr>
        <w:t xml:space="preserve"> </w:t>
      </w:r>
      <w:r w:rsidRPr="0045327F">
        <w:rPr>
          <w:rFonts w:ascii="Tahoma" w:hAnsi="Tahoma" w:cs="Tahoma"/>
          <w:sz w:val="18"/>
          <w:szCs w:val="18"/>
        </w:rPr>
        <w:t>“Industry Device” (também conhecido como linha de dispositivo de negócios) significa qualquer dispositivo que: (1) não pode ser usado em sua configuração implantada com a finalidade geral de dispositivo de computação pessoal (por exemplo, como computador pessoal), servidor multifuncional ou um substituto comercialmente viável para um desses sistemas e (2) emprega somente um programa de software industrial ou específico a tarefa (por exemplo, um programa de design auxiliado por computador usado por um arquiteto ou um programa de ponto de venda) (</w:t>
      </w:r>
      <w:r w:rsidR="00172F11" w:rsidRPr="0045327F">
        <w:rPr>
          <w:rFonts w:ascii="Tahoma" w:hAnsi="Tahoma" w:cs="Tahoma"/>
          <w:sz w:val="18"/>
          <w:szCs w:val="18"/>
        </w:rPr>
        <w:t>“</w:t>
      </w:r>
      <w:r w:rsidRPr="0045327F">
        <w:rPr>
          <w:rFonts w:ascii="Tahoma" w:hAnsi="Tahoma" w:cs="Tahoma"/>
          <w:sz w:val="18"/>
          <w:szCs w:val="18"/>
        </w:rPr>
        <w:t>Programa Industrial</w:t>
      </w:r>
      <w:r w:rsidR="00172F11" w:rsidRPr="0045327F">
        <w:rPr>
          <w:rFonts w:ascii="Tahoma" w:hAnsi="Tahoma" w:cs="Tahoma"/>
          <w:sz w:val="18"/>
          <w:szCs w:val="18"/>
        </w:rPr>
        <w:t>”</w:t>
      </w:r>
      <w:r w:rsidRPr="0045327F">
        <w:rPr>
          <w:rFonts w:ascii="Tahoma" w:hAnsi="Tahoma" w:cs="Tahoma"/>
          <w:sz w:val="18"/>
          <w:szCs w:val="18"/>
        </w:rPr>
        <w:t>).</w:t>
      </w:r>
      <w:r w:rsidR="00172F11" w:rsidRPr="0045327F">
        <w:rPr>
          <w:rFonts w:ascii="Tahoma" w:hAnsi="Tahoma" w:cs="Tahoma"/>
          <w:sz w:val="18"/>
          <w:szCs w:val="18"/>
        </w:rPr>
        <w:t xml:space="preserve"> </w:t>
      </w:r>
      <w:r w:rsidRPr="0045327F">
        <w:rPr>
          <w:rFonts w:ascii="Tahoma" w:hAnsi="Tahoma" w:cs="Tahoma"/>
          <w:sz w:val="18"/>
          <w:szCs w:val="18"/>
        </w:rPr>
        <w:t>O dispositivo pode incluir funções e recursos derivados de software da Microsoft ou de terceiros.</w:t>
      </w:r>
      <w:r w:rsidR="00172F11" w:rsidRPr="0045327F">
        <w:rPr>
          <w:rFonts w:ascii="Tahoma" w:hAnsi="Tahoma" w:cs="Tahoma"/>
          <w:sz w:val="18"/>
          <w:szCs w:val="18"/>
        </w:rPr>
        <w:t xml:space="preserve"> </w:t>
      </w:r>
      <w:r w:rsidRPr="0045327F">
        <w:rPr>
          <w:rFonts w:ascii="Tahoma" w:hAnsi="Tahoma" w:cs="Tahoma"/>
          <w:sz w:val="18"/>
          <w:szCs w:val="18"/>
        </w:rPr>
        <w:t>Se o dispositivo executar funções de desktop (por exemplo, email, processamento de texto, planilhas, banco de dados, navegação na rede ou Internet, agendamento de compromissos ou finanças pessoais), as funções de desktop: (1) poderão ser usadas para fins de suporte à funcionalidade do Programa Industrial e (2) deverão ser tecnicamente integradas ao Programa Industrial ou empregar diretivas ou arquiteturas impostas tecnicamente para funcionar apenas quando usadas com a funcionalidade do Programa Industrial.</w:t>
      </w:r>
      <w:r w:rsidR="00172F11" w:rsidRPr="0045327F">
        <w:rPr>
          <w:rFonts w:ascii="Tahoma" w:hAnsi="Tahoma" w:cs="Tahoma"/>
          <w:sz w:val="18"/>
          <w:szCs w:val="18"/>
        </w:rPr>
        <w:t xml:space="preserve"> </w:t>
      </w:r>
    </w:p>
    <w:p w:rsidR="00810479" w:rsidRPr="004B208C" w:rsidRDefault="00810479" w:rsidP="007A73DF">
      <w:pPr>
        <w:contextualSpacing/>
        <w:rPr>
          <w:rFonts w:cs="Tahoma"/>
        </w:rPr>
      </w:pPr>
    </w:p>
    <w:p w:rsidR="00483B3D" w:rsidRPr="004B208C" w:rsidRDefault="00483B3D" w:rsidP="007A73DF">
      <w:pPr>
        <w:contextualSpacing/>
        <w:rPr>
          <w:rFonts w:cs="Tahoma"/>
        </w:rPr>
      </w:pPr>
    </w:p>
    <w:p w:rsidR="00483B3D" w:rsidRPr="004B208C" w:rsidRDefault="00A560B6" w:rsidP="007015CC">
      <w:pPr>
        <w:pStyle w:val="Heading3"/>
        <w:keepNext/>
        <w:rPr>
          <w:rFonts w:ascii="Tahoma" w:hAnsi="Tahoma" w:cs="Tahoma"/>
        </w:rPr>
      </w:pPr>
      <w:bookmarkStart w:id="1082" w:name="_25_Windows®_Companion"/>
      <w:bookmarkStart w:id="1083" w:name="_28_Windows®_Companion"/>
      <w:bookmarkStart w:id="1084" w:name="_Toc336338281"/>
      <w:bookmarkStart w:id="1085" w:name="_Toc370981402"/>
      <w:bookmarkEnd w:id="1082"/>
      <w:bookmarkEnd w:id="1083"/>
      <w:r w:rsidRPr="004B208C">
        <w:rPr>
          <w:rFonts w:ascii="Tahoma" w:hAnsi="Tahoma" w:cs="Tahoma"/>
          <w:caps/>
          <w:color w:val="F66400"/>
          <w:sz w:val="22"/>
          <w:vertAlign w:val="superscript"/>
        </w:rPr>
        <w:t xml:space="preserve">29 </w:t>
      </w:r>
      <w:r w:rsidRPr="004B208C">
        <w:rPr>
          <w:rFonts w:ascii="Tahoma" w:hAnsi="Tahoma" w:cs="Tahoma"/>
          <w:color w:val="F66400"/>
          <w:sz w:val="22"/>
        </w:rPr>
        <w:t>Licença de Assinatura do Windows</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Companion</w:t>
      </w:r>
      <w:bookmarkEnd w:id="1084"/>
      <w:bookmarkEnd w:id="1085"/>
    </w:p>
    <w:p w:rsidR="00483B3D" w:rsidRPr="004B208C" w:rsidRDefault="00483B3D" w:rsidP="00483B3D">
      <w:pPr>
        <w:rPr>
          <w:rFonts w:cs="Tahoma"/>
        </w:rPr>
      </w:pPr>
    </w:p>
    <w:p w:rsidR="00483B3D" w:rsidRPr="004B208C" w:rsidRDefault="00483B3D" w:rsidP="00483B3D">
      <w:pPr>
        <w:spacing w:after="60"/>
        <w:ind w:left="720"/>
        <w:rPr>
          <w:rFonts w:cs="Tahoma"/>
        </w:rPr>
      </w:pPr>
      <w:r w:rsidRPr="004B208C">
        <w:rPr>
          <w:rFonts w:cs="Tahoma"/>
          <w:b/>
          <w:color w:val="000000"/>
        </w:rPr>
        <w:t>Instituições com um Contrato para Campus e School</w:t>
      </w:r>
    </w:p>
    <w:p w:rsidR="00483B3D" w:rsidRPr="004B208C" w:rsidRDefault="00483B3D" w:rsidP="00483B3D">
      <w:pPr>
        <w:ind w:left="720"/>
        <w:rPr>
          <w:rFonts w:cs="Tahoma"/>
        </w:rPr>
      </w:pPr>
      <w:r w:rsidRPr="004B208C">
        <w:rPr>
          <w:rFonts w:cs="Tahoma"/>
          <w:color w:val="000000"/>
        </w:rPr>
        <w:t>As Instituições podem comprar a Licença de Assinatura do Windows Companion (CSL) se elas tiverem cobertura para os produtos qualificados.</w:t>
      </w:r>
      <w:r w:rsidR="00172F11">
        <w:rPr>
          <w:rFonts w:cs="Tahoma"/>
          <w:color w:val="000000"/>
        </w:rPr>
        <w:t xml:space="preserve"> </w:t>
      </w:r>
      <w:r w:rsidRPr="004B208C">
        <w:rPr>
          <w:rFonts w:cs="Tahoma"/>
          <w:color w:val="000000"/>
        </w:rPr>
        <w:t>A quantidade máxima de CSLs que podem ser compradas é igual à</w:t>
      </w:r>
      <w:r w:rsidR="0045327F">
        <w:rPr>
          <w:rFonts w:cs="Tahoma"/>
          <w:color w:val="000000"/>
        </w:rPr>
        <w:t> </w:t>
      </w:r>
      <w:r w:rsidRPr="004B208C">
        <w:rPr>
          <w:rFonts w:cs="Tahoma"/>
          <w:color w:val="000000"/>
        </w:rPr>
        <w:t>contagem de PC Qualificado da instituição dos produtos qualificados.</w:t>
      </w:r>
    </w:p>
    <w:p w:rsidR="00483B3D" w:rsidRPr="004B208C" w:rsidRDefault="00483B3D" w:rsidP="00483B3D">
      <w:pPr>
        <w:rPr>
          <w:rFonts w:cs="Tahoma"/>
        </w:rPr>
      </w:pPr>
    </w:p>
    <w:p w:rsidR="00483B3D" w:rsidRPr="004B208C" w:rsidRDefault="00483B3D" w:rsidP="00483B3D">
      <w:pPr>
        <w:spacing w:after="60"/>
        <w:ind w:left="720"/>
        <w:rPr>
          <w:rFonts w:cs="Tahoma"/>
        </w:rPr>
      </w:pPr>
      <w:r w:rsidRPr="004B208C">
        <w:rPr>
          <w:rFonts w:cs="Tahoma"/>
          <w:b/>
          <w:color w:val="000000"/>
        </w:rPr>
        <w:t>Companion Devices e Dispositivos Qualificados</w:t>
      </w:r>
    </w:p>
    <w:p w:rsidR="00483B3D" w:rsidRPr="004B208C" w:rsidRDefault="00483B3D" w:rsidP="00483B3D">
      <w:pPr>
        <w:ind w:left="720"/>
        <w:rPr>
          <w:rFonts w:cs="Tahoma"/>
        </w:rPr>
      </w:pPr>
      <w:r w:rsidRPr="004B208C">
        <w:rPr>
          <w:rFonts w:cs="Tahoma"/>
          <w:color w:val="000000"/>
        </w:rPr>
        <w:t>Os Companion Devices que usam os direitos de uso fornecidos pelo CSL são Dispositivos Qualificados.</w:t>
      </w:r>
      <w:r w:rsidR="00172F11">
        <w:rPr>
          <w:rFonts w:cs="Tahoma"/>
          <w:color w:val="000000"/>
        </w:rPr>
        <w:t xml:space="preserve"> </w:t>
      </w:r>
      <w:r w:rsidRPr="004B208C">
        <w:rPr>
          <w:rFonts w:cs="Tahoma"/>
          <w:color w:val="000000"/>
        </w:rPr>
        <w:t>O</w:t>
      </w:r>
      <w:r w:rsidR="0045327F">
        <w:rPr>
          <w:rFonts w:cs="Tahoma"/>
          <w:color w:val="000000"/>
        </w:rPr>
        <w:t> </w:t>
      </w:r>
      <w:r w:rsidRPr="004B208C">
        <w:rPr>
          <w:rFonts w:cs="Tahoma"/>
          <w:color w:val="000000"/>
        </w:rPr>
        <w:t>CSL é um Produto Enterprise e, portanto, preenche a parte dos Sistemas de qualquer compromisso de compra de Dispositivos Qualificados.</w:t>
      </w:r>
      <w:r w:rsidR="00172F11">
        <w:rPr>
          <w:rFonts w:cs="Tahoma"/>
          <w:color w:val="000000"/>
        </w:rPr>
        <w:t xml:space="preserve"> </w:t>
      </w:r>
      <w:r w:rsidRPr="004B208C">
        <w:rPr>
          <w:rFonts w:cs="Tahoma"/>
          <w:color w:val="000000"/>
        </w:rPr>
        <w:t xml:space="preserve">O CSL pode ser adquirido em qualquer quantidade e não precisa ser comprado para todos os Dispositivos </w:t>
      </w:r>
      <w:r w:rsidRPr="004B208C">
        <w:rPr>
          <w:rFonts w:cs="Tahoma"/>
        </w:rPr>
        <w:t>Qualificados de uma organização, mas de nenhuma forma a contagem de CSL pode exceder a combinação de todas as contagens de Licença VDA e Windows Upgrade.</w:t>
      </w:r>
    </w:p>
    <w:p w:rsidR="00483B3D" w:rsidRPr="004B208C" w:rsidRDefault="00483B3D" w:rsidP="00483B3D">
      <w:pPr>
        <w:rPr>
          <w:rFonts w:cs="Tahoma"/>
        </w:rPr>
      </w:pPr>
    </w:p>
    <w:p w:rsidR="00483B3D" w:rsidRPr="004B208C" w:rsidRDefault="00483B3D" w:rsidP="00483B3D">
      <w:pPr>
        <w:rPr>
          <w:rFonts w:cs="Tahoma"/>
        </w:rPr>
      </w:pPr>
    </w:p>
    <w:p w:rsidR="00D513A8" w:rsidRPr="004B208C" w:rsidRDefault="00A560B6" w:rsidP="00D513A8">
      <w:pPr>
        <w:pStyle w:val="Heading3"/>
        <w:rPr>
          <w:rFonts w:ascii="Tahoma" w:hAnsi="Tahoma" w:cs="Tahoma"/>
        </w:rPr>
      </w:pPr>
      <w:bookmarkStart w:id="1086" w:name="_26_Windows_Vista"/>
      <w:bookmarkStart w:id="1087" w:name="_29_Windows_Vista"/>
      <w:bookmarkStart w:id="1088" w:name="_29_30_Windows"/>
      <w:bookmarkStart w:id="1089" w:name="_30_Parceiros_na"/>
      <w:bookmarkStart w:id="1090" w:name="_Toc336338282"/>
      <w:bookmarkStart w:id="1091" w:name="Sys_24WindowsVistaDVDPack"/>
      <w:bookmarkStart w:id="1092" w:name="_Toc370981403"/>
      <w:bookmarkEnd w:id="1086"/>
      <w:bookmarkEnd w:id="1087"/>
      <w:bookmarkEnd w:id="1088"/>
      <w:bookmarkEnd w:id="1089"/>
      <w:r w:rsidRPr="004B208C">
        <w:rPr>
          <w:rFonts w:ascii="Tahoma" w:hAnsi="Tahoma" w:cs="Tahoma"/>
          <w:caps/>
          <w:color w:val="F66400"/>
          <w:sz w:val="22"/>
          <w:vertAlign w:val="superscript"/>
        </w:rPr>
        <w:t>30</w:t>
      </w:r>
      <w:r w:rsidRPr="004B208C">
        <w:rPr>
          <w:rFonts w:ascii="Tahoma" w:eastAsia="Times New Roman" w:hAnsi="Tahoma" w:cs="Tahoma"/>
          <w:bCs/>
          <w:color w:val="F66400"/>
          <w:sz w:val="22"/>
          <w:szCs w:val="22"/>
        </w:rPr>
        <w:t xml:space="preserve"> </w:t>
      </w:r>
      <w:bookmarkStart w:id="1093" w:name="_30_Windows®_7"/>
      <w:bookmarkStart w:id="1094" w:name="Sys_25WindowsPartnersLearning"/>
      <w:bookmarkStart w:id="1095" w:name="_Toc336338284"/>
      <w:bookmarkEnd w:id="1090"/>
      <w:bookmarkEnd w:id="1091"/>
      <w:bookmarkEnd w:id="1093"/>
      <w:r w:rsidRPr="004B208C">
        <w:rPr>
          <w:rFonts w:ascii="Tahoma" w:hAnsi="Tahoma" w:cs="Tahoma"/>
          <w:color w:val="F66400"/>
          <w:sz w:val="22"/>
        </w:rPr>
        <w:t>Parceiros na Aprendizagem do Windows</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7</w:t>
      </w:r>
      <w:bookmarkEnd w:id="1092"/>
      <w:bookmarkEnd w:id="1094"/>
    </w:p>
    <w:p w:rsidR="00D513A8" w:rsidRPr="004B208C" w:rsidRDefault="00D513A8" w:rsidP="00D513A8">
      <w:pPr>
        <w:rPr>
          <w:rFonts w:cs="Tahoma"/>
        </w:rPr>
      </w:pPr>
    </w:p>
    <w:p w:rsidR="00D513A8" w:rsidRPr="004B208C" w:rsidRDefault="00D513A8" w:rsidP="00D513A8">
      <w:pPr>
        <w:ind w:left="720" w:right="-810"/>
        <w:rPr>
          <w:rFonts w:cs="Tahoma"/>
        </w:rPr>
      </w:pPr>
      <w:r w:rsidRPr="004B208C">
        <w:rPr>
          <w:rFonts w:cs="Tahoma"/>
          <w:color w:val="000000"/>
          <w:szCs w:val="18"/>
        </w:rPr>
        <w:t xml:space="preserve">Para obter informações sobre qualificação de licenças e registro de parceiros, consulte o site </w:t>
      </w:r>
      <w:hyperlink r:id="rId40" w:history="1">
        <w:r w:rsidR="0045327F" w:rsidRPr="00FE5F1D">
          <w:rPr>
            <w:rStyle w:val="Hyperlink"/>
            <w:rFonts w:cs="Tahoma"/>
            <w:szCs w:val="18"/>
          </w:rPr>
          <w:t>http://www.microsoft.com/education/pil/partnersinlearning.aspx</w:t>
        </w:r>
      </w:hyperlink>
      <w:r w:rsidRPr="004B208C">
        <w:rPr>
          <w:rFonts w:cs="Tahoma"/>
          <w:color w:val="000000"/>
        </w:rPr>
        <w:t xml:space="preserve"> </w:t>
      </w:r>
    </w:p>
    <w:p w:rsidR="00D513A8" w:rsidRPr="004B208C" w:rsidRDefault="00D513A8" w:rsidP="00D513A8">
      <w:pPr>
        <w:ind w:right="-810"/>
        <w:rPr>
          <w:rFonts w:cs="Tahoma"/>
        </w:rPr>
      </w:pPr>
    </w:p>
    <w:p w:rsidR="00D513A8" w:rsidRPr="004B208C" w:rsidRDefault="00D513A8" w:rsidP="00D513A8">
      <w:pPr>
        <w:ind w:right="-810"/>
        <w:rPr>
          <w:rFonts w:cs="Tahoma"/>
        </w:rPr>
      </w:pPr>
    </w:p>
    <w:p w:rsidR="005D4DAB" w:rsidRPr="004B208C" w:rsidRDefault="00A560B6" w:rsidP="00C646B3">
      <w:pPr>
        <w:pStyle w:val="Heading3"/>
        <w:rPr>
          <w:rFonts w:ascii="Tahoma" w:hAnsi="Tahoma" w:cs="Tahoma"/>
        </w:rPr>
      </w:pPr>
      <w:bookmarkStart w:id="1096" w:name="_28_Windows®_8"/>
      <w:bookmarkStart w:id="1097" w:name="_31_Windows®_8"/>
      <w:bookmarkStart w:id="1098" w:name="_Toc370981404"/>
      <w:bookmarkEnd w:id="1096"/>
      <w:bookmarkEnd w:id="1097"/>
      <w:r w:rsidRPr="004B208C">
        <w:rPr>
          <w:rFonts w:ascii="Tahoma" w:hAnsi="Tahoma" w:cs="Tahoma"/>
          <w:caps/>
          <w:color w:val="F66400"/>
          <w:sz w:val="22"/>
          <w:vertAlign w:val="superscript"/>
        </w:rPr>
        <w:t>31</w:t>
      </w:r>
      <w:r w:rsidRPr="004B208C">
        <w:rPr>
          <w:rFonts w:ascii="Tahoma" w:hAnsi="Tahoma" w:cs="Tahoma"/>
          <w:color w:val="F66400"/>
          <w:sz w:val="22"/>
        </w:rPr>
        <w:t xml:space="preserve"> Windows</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8.1 Enterprise Sideloading</w:t>
      </w:r>
      <w:bookmarkEnd w:id="1095"/>
      <w:bookmarkEnd w:id="1098"/>
    </w:p>
    <w:p w:rsidR="009B2474" w:rsidRPr="004B208C" w:rsidRDefault="009B2474" w:rsidP="009B2474">
      <w:pPr>
        <w:rPr>
          <w:rFonts w:cs="Tahoma"/>
        </w:rPr>
      </w:pPr>
    </w:p>
    <w:p w:rsidR="009B2474" w:rsidRPr="004B208C"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3010"/>
        <w:gridCol w:w="1488"/>
        <w:gridCol w:w="1340"/>
      </w:tblGrid>
      <w:tr w:rsidR="005D4DAB" w:rsidRPr="004B208C" w:rsidTr="0045327F">
        <w:trPr>
          <w:trHeight w:val="900"/>
          <w:tblHeader/>
        </w:trPr>
        <w:tc>
          <w:tcPr>
            <w:tcW w:w="301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4B208C" w:rsidRDefault="00433F5F" w:rsidP="005D4DAB">
            <w:pPr>
              <w:jc w:val="center"/>
              <w:rPr>
                <w:rFonts w:eastAsia="Calibri" w:cs="Tahoma"/>
                <w:b/>
                <w:bCs/>
                <w:szCs w:val="18"/>
              </w:rPr>
            </w:pPr>
            <w:r w:rsidRPr="004B208C">
              <w:rPr>
                <w:rFonts w:cs="Tahoma"/>
                <w:b/>
                <w:bCs/>
                <w:szCs w:val="18"/>
              </w:rPr>
              <w:t>Disponibilidade do Produto</w:t>
            </w:r>
          </w:p>
        </w:tc>
        <w:tc>
          <w:tcPr>
            <w:tcW w:w="1488" w:type="dxa"/>
            <w:tcBorders>
              <w:top w:val="single" w:sz="4" w:space="0" w:color="auto"/>
              <w:left w:val="nil"/>
              <w:bottom w:val="single" w:sz="4" w:space="0" w:color="auto"/>
              <w:right w:val="single" w:sz="4" w:space="0" w:color="auto"/>
            </w:tcBorders>
            <w:shd w:val="clear" w:color="auto" w:fill="FABF8F"/>
            <w:vAlign w:val="bottom"/>
          </w:tcPr>
          <w:p w:rsidR="005D4DAB" w:rsidRPr="004B208C" w:rsidRDefault="005D4DAB" w:rsidP="005D4DAB">
            <w:pPr>
              <w:jc w:val="center"/>
              <w:rPr>
                <w:rFonts w:cs="Tahoma"/>
                <w:b/>
                <w:bCs/>
                <w:szCs w:val="18"/>
              </w:rPr>
            </w:pPr>
            <w:r w:rsidRPr="004B208C">
              <w:rPr>
                <w:rFonts w:cs="Tahoma"/>
                <w:b/>
                <w:bCs/>
                <w:szCs w:val="18"/>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4B208C" w:rsidRDefault="005D4DAB" w:rsidP="0045327F">
            <w:pPr>
              <w:jc w:val="center"/>
              <w:rPr>
                <w:rFonts w:eastAsia="Calibri" w:cs="Tahoma"/>
                <w:b/>
                <w:bCs/>
                <w:szCs w:val="18"/>
              </w:rPr>
            </w:pPr>
            <w:r w:rsidRPr="004B208C">
              <w:rPr>
                <w:rFonts w:cs="Tahoma"/>
                <w:b/>
                <w:bCs/>
                <w:szCs w:val="18"/>
              </w:rPr>
              <w:t>Disponível como um Benefício do</w:t>
            </w:r>
            <w:r w:rsidR="0045327F">
              <w:rPr>
                <w:rFonts w:cs="Tahoma"/>
                <w:b/>
                <w:bCs/>
                <w:szCs w:val="18"/>
              </w:rPr>
              <w:t> </w:t>
            </w:r>
            <w:r w:rsidRPr="004B208C">
              <w:rPr>
                <w:rFonts w:cs="Tahoma"/>
                <w:b/>
                <w:bCs/>
                <w:szCs w:val="18"/>
              </w:rPr>
              <w:t>SA</w:t>
            </w:r>
          </w:p>
        </w:tc>
      </w:tr>
      <w:tr w:rsidR="005D4DAB" w:rsidRPr="004B208C" w:rsidTr="0045327F">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B208C" w:rsidRDefault="005D4DAB" w:rsidP="005D4DAB">
            <w:pPr>
              <w:jc w:val="center"/>
              <w:rPr>
                <w:rFonts w:eastAsia="Calibri" w:cs="Tahoma"/>
                <w:b/>
                <w:bCs/>
                <w:szCs w:val="18"/>
              </w:rPr>
            </w:pPr>
            <w:r w:rsidRPr="004B208C">
              <w:rPr>
                <w:rFonts w:cs="Tahoma"/>
                <w:b/>
                <w:bCs/>
                <w:szCs w:val="18"/>
              </w:rPr>
              <w:t>Licença Open</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4B208C" w:rsidRDefault="005D4DAB" w:rsidP="005D4DAB">
            <w:pPr>
              <w:jc w:val="center"/>
              <w:rPr>
                <w:rFonts w:cs="Tahoma"/>
                <w:szCs w:val="18"/>
              </w:rPr>
            </w:pPr>
            <w:r w:rsidRPr="004B208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4B208C" w:rsidRDefault="005D4DAB" w:rsidP="005D4DAB">
            <w:pPr>
              <w:jc w:val="center"/>
              <w:rPr>
                <w:rFonts w:eastAsia="Calibri" w:cs="Tahoma"/>
                <w:szCs w:val="18"/>
              </w:rPr>
            </w:pPr>
          </w:p>
        </w:tc>
      </w:tr>
      <w:tr w:rsidR="005D4DAB" w:rsidRPr="004B208C" w:rsidTr="0045327F">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B208C" w:rsidRDefault="005D4DAB" w:rsidP="005D4DAB">
            <w:pPr>
              <w:jc w:val="center"/>
              <w:rPr>
                <w:rFonts w:cs="Tahoma"/>
                <w:b/>
                <w:bCs/>
                <w:szCs w:val="18"/>
              </w:rPr>
            </w:pPr>
            <w:r w:rsidRPr="004B208C">
              <w:rPr>
                <w:rFonts w:cs="Tahoma"/>
                <w:b/>
                <w:bCs/>
                <w:szCs w:val="18"/>
              </w:rPr>
              <w:t>Select/Select Plus</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4B208C" w:rsidRDefault="005D4DAB" w:rsidP="005D4DAB">
            <w:pPr>
              <w:jc w:val="center"/>
              <w:rPr>
                <w:rFonts w:cs="Tahoma"/>
                <w:szCs w:val="18"/>
              </w:rPr>
            </w:pPr>
            <w:r w:rsidRPr="004B208C">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B208C" w:rsidRDefault="005D4DAB" w:rsidP="005D4DAB">
            <w:pPr>
              <w:jc w:val="center"/>
              <w:rPr>
                <w:rFonts w:eastAsia="Calibri" w:cs="Tahoma"/>
                <w:szCs w:val="18"/>
              </w:rPr>
            </w:pPr>
            <w:r w:rsidRPr="004B208C">
              <w:rPr>
                <w:rFonts w:eastAsia="Calibri" w:cs="Tahoma"/>
                <w:szCs w:val="18"/>
              </w:rPr>
              <w:t>x</w:t>
            </w:r>
          </w:p>
        </w:tc>
      </w:tr>
      <w:tr w:rsidR="005D4DAB" w:rsidRPr="004B208C" w:rsidTr="0045327F">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B208C" w:rsidRDefault="005D4DAB" w:rsidP="005D4DAB">
            <w:pPr>
              <w:jc w:val="center"/>
              <w:rPr>
                <w:rFonts w:cs="Tahoma"/>
                <w:b/>
                <w:bCs/>
                <w:szCs w:val="18"/>
              </w:rPr>
            </w:pPr>
            <w:r w:rsidRPr="004B208C">
              <w:rPr>
                <w:rFonts w:cs="Tahoma"/>
                <w:b/>
                <w:bCs/>
                <w:szCs w:val="18"/>
              </w:rPr>
              <w:t>Contrato Enterprise/EAS</w:t>
            </w:r>
          </w:p>
        </w:tc>
        <w:tc>
          <w:tcPr>
            <w:tcW w:w="1488" w:type="dxa"/>
            <w:tcBorders>
              <w:top w:val="single" w:sz="4" w:space="0" w:color="auto"/>
              <w:left w:val="single" w:sz="4" w:space="0" w:color="auto"/>
              <w:bottom w:val="single" w:sz="4" w:space="0" w:color="auto"/>
              <w:right w:val="single" w:sz="4" w:space="0" w:color="auto"/>
            </w:tcBorders>
            <w:vAlign w:val="center"/>
          </w:tcPr>
          <w:p w:rsidR="005D4DAB" w:rsidRPr="004B208C"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4B208C" w:rsidRDefault="005D4DAB" w:rsidP="005D4DAB">
            <w:pPr>
              <w:jc w:val="center"/>
              <w:rPr>
                <w:rFonts w:eastAsia="Calibri" w:cs="Tahoma"/>
                <w:szCs w:val="18"/>
              </w:rPr>
            </w:pPr>
            <w:r w:rsidRPr="004B208C">
              <w:rPr>
                <w:rFonts w:eastAsia="Calibri" w:cs="Tahoma"/>
                <w:szCs w:val="18"/>
              </w:rPr>
              <w:t>x</w:t>
            </w:r>
          </w:p>
        </w:tc>
      </w:tr>
      <w:tr w:rsidR="00755633" w:rsidRPr="004B208C" w:rsidTr="0045327F">
        <w:trPr>
          <w:trHeight w:val="337"/>
        </w:trPr>
        <w:tc>
          <w:tcPr>
            <w:tcW w:w="30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B208C" w:rsidRDefault="00EB3A5F" w:rsidP="005D4DAB">
            <w:pPr>
              <w:jc w:val="center"/>
              <w:rPr>
                <w:rFonts w:cs="Tahoma"/>
                <w:b/>
                <w:bCs/>
                <w:szCs w:val="18"/>
              </w:rPr>
            </w:pPr>
            <w:r w:rsidRPr="004B208C">
              <w:rPr>
                <w:rFonts w:cs="Tahoma"/>
                <w:b/>
                <w:bCs/>
                <w:szCs w:val="18"/>
              </w:rPr>
              <w:t>Enrollment for Education Solutions</w:t>
            </w:r>
          </w:p>
        </w:tc>
        <w:tc>
          <w:tcPr>
            <w:tcW w:w="1488" w:type="dxa"/>
            <w:tcBorders>
              <w:top w:val="single" w:sz="4" w:space="0" w:color="auto"/>
              <w:left w:val="single" w:sz="4" w:space="0" w:color="auto"/>
              <w:bottom w:val="single" w:sz="4" w:space="0" w:color="auto"/>
              <w:right w:val="single" w:sz="4" w:space="0" w:color="auto"/>
            </w:tcBorders>
            <w:vAlign w:val="center"/>
          </w:tcPr>
          <w:p w:rsidR="00755633" w:rsidRPr="004B208C"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4B208C" w:rsidRDefault="00755633" w:rsidP="005D4DAB">
            <w:pPr>
              <w:jc w:val="center"/>
              <w:rPr>
                <w:rFonts w:eastAsia="Calibri" w:cs="Tahoma"/>
                <w:szCs w:val="18"/>
              </w:rPr>
            </w:pPr>
            <w:r w:rsidRPr="004B208C">
              <w:rPr>
                <w:rFonts w:eastAsia="Calibri" w:cs="Tahoma"/>
                <w:szCs w:val="18"/>
              </w:rPr>
              <w:t>x</w:t>
            </w:r>
          </w:p>
        </w:tc>
      </w:tr>
    </w:tbl>
    <w:p w:rsidR="005D4DAB" w:rsidRDefault="005D4DAB" w:rsidP="00572128">
      <w:pPr>
        <w:ind w:left="900"/>
        <w:rPr>
          <w:rFonts w:cs="Tahoma"/>
        </w:rPr>
      </w:pPr>
    </w:p>
    <w:p w:rsidR="0045327F" w:rsidRDefault="0045327F" w:rsidP="00572128">
      <w:pPr>
        <w:ind w:left="900"/>
        <w:rPr>
          <w:rFonts w:cs="Tahoma"/>
        </w:rPr>
      </w:pPr>
    </w:p>
    <w:p w:rsidR="0045327F" w:rsidRDefault="0045327F" w:rsidP="00572128">
      <w:pPr>
        <w:ind w:left="900"/>
        <w:rPr>
          <w:rFonts w:cs="Tahoma"/>
        </w:rPr>
      </w:pPr>
    </w:p>
    <w:p w:rsidR="0045327F" w:rsidRDefault="0045327F" w:rsidP="00572128">
      <w:pPr>
        <w:ind w:left="900"/>
        <w:rPr>
          <w:rFonts w:cs="Tahoma"/>
        </w:rPr>
      </w:pPr>
    </w:p>
    <w:p w:rsidR="0045327F" w:rsidRDefault="0045327F" w:rsidP="00572128">
      <w:pPr>
        <w:ind w:left="900"/>
        <w:rPr>
          <w:rFonts w:cs="Tahoma"/>
        </w:rPr>
      </w:pPr>
    </w:p>
    <w:p w:rsidR="0045327F" w:rsidRPr="004B208C" w:rsidRDefault="0045327F" w:rsidP="00572128">
      <w:pPr>
        <w:ind w:left="900"/>
        <w:rPr>
          <w:rFonts w:cs="Tahoma"/>
        </w:rPr>
      </w:pPr>
    </w:p>
    <w:p w:rsidR="005D4DAB" w:rsidRPr="004B208C" w:rsidRDefault="005D4DAB" w:rsidP="00EE035D">
      <w:pPr>
        <w:ind w:left="720"/>
        <w:rPr>
          <w:rFonts w:cs="Tahoma"/>
        </w:rPr>
      </w:pPr>
      <w:r w:rsidRPr="004B208C">
        <w:rPr>
          <w:rFonts w:cs="Tahoma"/>
          <w:szCs w:val="18"/>
        </w:rPr>
        <w:lastRenderedPageBreak/>
        <w:t>O Windows Enterprise Sideloading é o processo de instalar novos Aplicativos do Windows 8.1 que estão sendo usados para o benefício do cliente, diretamente em um dispositivo, sem passar pela Windows Store.</w:t>
      </w:r>
      <w:r w:rsidR="00172F11">
        <w:rPr>
          <w:rFonts w:cs="Tahoma"/>
          <w:szCs w:val="18"/>
        </w:rPr>
        <w:t xml:space="preserve"> </w:t>
      </w:r>
      <w:r w:rsidRPr="004B208C">
        <w:rPr>
          <w:rFonts w:cs="Tahoma"/>
          <w:szCs w:val="18"/>
        </w:rPr>
        <w:t>Os dispositivos que fazem parte do domínio que estão executando a edição Windows 8.1 Enterprise, em qualquer programa VL, possuem recursos habilitados para Windows Enterprise Sideloading.</w:t>
      </w:r>
      <w:r w:rsidR="00172F11">
        <w:rPr>
          <w:rFonts w:cs="Tahoma"/>
          <w:szCs w:val="18"/>
        </w:rPr>
        <w:t xml:space="preserve"> </w:t>
      </w:r>
      <w:r w:rsidRPr="004B208C">
        <w:rPr>
          <w:rFonts w:cs="Tahoma"/>
          <w:szCs w:val="18"/>
        </w:rPr>
        <w:t>O Windows Enterprise Sideloading também pode ser habilitado em dispositivos que estão executando o Windows 8.1 Enterprise que não fazem parte do domínio e em dispositivos que estão executando o Windows 8.1 Pro, Windows RT ou Windows RT 8.1 por meio do uso de uma chave de produto.</w:t>
      </w:r>
      <w:r w:rsidR="00172F11">
        <w:rPr>
          <w:rFonts w:cs="Tahoma"/>
          <w:szCs w:val="18"/>
        </w:rPr>
        <w:t xml:space="preserve"> </w:t>
      </w:r>
      <w:r w:rsidRPr="004B208C">
        <w:rPr>
          <w:rFonts w:cs="Tahoma"/>
          <w:szCs w:val="18"/>
        </w:rPr>
        <w:t>Em todos os casos, o Windows Enterprise Sideloading só pode ser usado para implantar Aplicativos que são usados para o benefício do cliente de Licenciamento por Volume.</w:t>
      </w:r>
      <w:r w:rsidR="00172F11">
        <w:rPr>
          <w:rFonts w:cs="Tahoma"/>
          <w:szCs w:val="18"/>
        </w:rPr>
        <w:t xml:space="preserve"> </w:t>
      </w:r>
      <w:r w:rsidRPr="004B208C">
        <w:rPr>
          <w:rFonts w:cs="Tahoma"/>
          <w:szCs w:val="18"/>
        </w:rPr>
        <w:t>O recurso Windows Enterprise Sideloading é complementar para o Sistema Operacional Windows Desktop e, como tal, os termos de licença aplicáveis ao Sistema Operacional Windows Desktop, conforme complementado aqui, se aplicam ao uso que o cliente faz dele.</w:t>
      </w:r>
    </w:p>
    <w:p w:rsidR="005D4DAB" w:rsidRPr="004B208C" w:rsidRDefault="005D4DAB" w:rsidP="00572128">
      <w:pPr>
        <w:ind w:left="900"/>
        <w:rPr>
          <w:rFonts w:cs="Tahoma"/>
        </w:rPr>
      </w:pPr>
    </w:p>
    <w:p w:rsidR="005D4DAB" w:rsidRPr="004B208C" w:rsidRDefault="005D4DAB" w:rsidP="009B2474">
      <w:pPr>
        <w:spacing w:after="60"/>
        <w:ind w:left="720"/>
        <w:rPr>
          <w:rFonts w:cs="Tahoma"/>
        </w:rPr>
      </w:pPr>
      <w:r w:rsidRPr="004B208C">
        <w:rPr>
          <w:rFonts w:cs="Tahoma"/>
          <w:b/>
          <w:szCs w:val="18"/>
        </w:rPr>
        <w:t>Benefício do Software Assurance</w:t>
      </w:r>
    </w:p>
    <w:p w:rsidR="005D4DAB" w:rsidRPr="004B208C" w:rsidRDefault="005D4DAB" w:rsidP="00EE035D">
      <w:pPr>
        <w:ind w:left="720"/>
        <w:rPr>
          <w:rFonts w:cs="Tahoma"/>
        </w:rPr>
      </w:pPr>
      <w:r w:rsidRPr="004B208C">
        <w:rPr>
          <w:rFonts w:cs="Tahoma"/>
          <w:szCs w:val="18"/>
        </w:rPr>
        <w:t>Uma chave de produto pode ser usada para habilitar o Windows Enterprise Sideloading em qualquer um dos dispositivos a seguir:</w:t>
      </w:r>
    </w:p>
    <w:p w:rsidR="009B2474" w:rsidRPr="004B208C" w:rsidRDefault="009B2474" w:rsidP="00EE035D">
      <w:pPr>
        <w:ind w:left="720"/>
        <w:rPr>
          <w:rFonts w:cs="Tahoma"/>
        </w:rPr>
      </w:pPr>
    </w:p>
    <w:p w:rsidR="005D4DAB" w:rsidRPr="0045327F" w:rsidRDefault="005D4DAB" w:rsidP="00A1385C">
      <w:pPr>
        <w:pStyle w:val="ListParagraph"/>
        <w:numPr>
          <w:ilvl w:val="0"/>
          <w:numId w:val="78"/>
        </w:numPr>
        <w:spacing w:after="60"/>
        <w:ind w:left="1440"/>
        <w:contextualSpacing w:val="0"/>
        <w:rPr>
          <w:rFonts w:ascii="Tahoma" w:hAnsi="Tahoma" w:cs="Tahoma"/>
          <w:sz w:val="18"/>
          <w:szCs w:val="18"/>
        </w:rPr>
      </w:pPr>
      <w:r w:rsidRPr="0045327F">
        <w:rPr>
          <w:rFonts w:ascii="Tahoma" w:hAnsi="Tahoma" w:cs="Tahoma"/>
          <w:sz w:val="18"/>
          <w:szCs w:val="18"/>
        </w:rPr>
        <w:t>Dispositivos com cobertura ativa do Software Assurance do Windows</w:t>
      </w:r>
    </w:p>
    <w:p w:rsidR="005D4DAB" w:rsidRPr="0045327F" w:rsidRDefault="005D4DAB" w:rsidP="00A1385C">
      <w:pPr>
        <w:pStyle w:val="ListParagraph"/>
        <w:numPr>
          <w:ilvl w:val="0"/>
          <w:numId w:val="78"/>
        </w:numPr>
        <w:spacing w:after="60"/>
        <w:ind w:left="1440"/>
        <w:contextualSpacing w:val="0"/>
        <w:rPr>
          <w:rFonts w:ascii="Tahoma" w:hAnsi="Tahoma" w:cs="Tahoma"/>
          <w:sz w:val="18"/>
          <w:szCs w:val="18"/>
        </w:rPr>
      </w:pPr>
      <w:r w:rsidRPr="0045327F">
        <w:rPr>
          <w:rFonts w:ascii="Tahoma" w:hAnsi="Tahoma" w:cs="Tahoma"/>
          <w:sz w:val="18"/>
          <w:szCs w:val="18"/>
        </w:rPr>
        <w:t>Dispositivos com uma assinatura ativa do Windows Intune (Por Dispositivo) ou VDA</w:t>
      </w:r>
    </w:p>
    <w:p w:rsidR="005D4DAB" w:rsidRPr="0045327F" w:rsidRDefault="005D4DAB" w:rsidP="00A1385C">
      <w:pPr>
        <w:pStyle w:val="ListParagraph"/>
        <w:numPr>
          <w:ilvl w:val="0"/>
          <w:numId w:val="78"/>
        </w:numPr>
        <w:spacing w:after="60"/>
        <w:ind w:left="1440"/>
        <w:contextualSpacing w:val="0"/>
        <w:rPr>
          <w:rFonts w:ascii="Tahoma" w:hAnsi="Tahoma" w:cs="Tahoma"/>
          <w:sz w:val="18"/>
          <w:szCs w:val="18"/>
        </w:rPr>
      </w:pPr>
      <w:r w:rsidRPr="0045327F">
        <w:rPr>
          <w:rFonts w:ascii="Tahoma" w:hAnsi="Tahoma" w:cs="Tahoma"/>
          <w:sz w:val="18"/>
          <w:szCs w:val="18"/>
        </w:rPr>
        <w:t>Dispositivos do Windows RT e Windows RT 8.1</w:t>
      </w:r>
    </w:p>
    <w:p w:rsidR="00EB2B3F" w:rsidRPr="0045327F" w:rsidRDefault="00EB2B3F" w:rsidP="00A1385C">
      <w:pPr>
        <w:pStyle w:val="ListParagraph"/>
        <w:numPr>
          <w:ilvl w:val="0"/>
          <w:numId w:val="78"/>
        </w:numPr>
        <w:spacing w:after="60"/>
        <w:ind w:left="1440"/>
        <w:contextualSpacing w:val="0"/>
        <w:rPr>
          <w:rFonts w:ascii="Tahoma" w:hAnsi="Tahoma" w:cs="Tahoma"/>
          <w:sz w:val="18"/>
          <w:szCs w:val="18"/>
        </w:rPr>
      </w:pPr>
      <w:r w:rsidRPr="0045327F">
        <w:rPr>
          <w:rFonts w:ascii="Tahoma" w:hAnsi="Tahoma" w:cs="Tahoma"/>
          <w:sz w:val="18"/>
          <w:szCs w:val="18"/>
        </w:rPr>
        <w:t>Dispositivos cobertos pela Licença de Assinatura do Windows Companion</w:t>
      </w:r>
    </w:p>
    <w:p w:rsidR="005D4DAB" w:rsidRPr="004B208C" w:rsidRDefault="005D4DAB" w:rsidP="00572128">
      <w:pPr>
        <w:ind w:left="900"/>
        <w:rPr>
          <w:rFonts w:cs="Tahoma"/>
        </w:rPr>
      </w:pPr>
    </w:p>
    <w:p w:rsidR="005D4DAB" w:rsidRPr="004B208C" w:rsidRDefault="005D4DAB" w:rsidP="00EE035D">
      <w:pPr>
        <w:ind w:left="720"/>
        <w:rPr>
          <w:rFonts w:cs="Tahoma"/>
        </w:rPr>
      </w:pPr>
      <w:r w:rsidRPr="004B208C">
        <w:rPr>
          <w:rFonts w:cs="Tahoma"/>
          <w:szCs w:val="18"/>
        </w:rPr>
        <w:t xml:space="preserve">O Windows Enterprise Sideloading só pode ser habilitado em um dispositivo permitido antes do término da cobertura do Software Assurance correspondente ou da Licença de Assinatura. </w:t>
      </w:r>
      <w:r w:rsidRPr="004B208C">
        <w:rPr>
          <w:rFonts w:cs="Tahoma"/>
        </w:rPr>
        <w:t>Nos programas Academic, o</w:t>
      </w:r>
      <w:r w:rsidR="0002786F">
        <w:rPr>
          <w:rFonts w:cs="Tahoma"/>
        </w:rPr>
        <w:t> </w:t>
      </w:r>
      <w:r w:rsidRPr="004B208C">
        <w:rPr>
          <w:rFonts w:cs="Tahoma"/>
        </w:rPr>
        <w:t>Windows Enterprise Sideloading só pode ser habilitado em dispositivos pertencentes à instituição</w:t>
      </w:r>
      <w:r w:rsidRPr="004B208C">
        <w:rPr>
          <w:rFonts w:cs="Tahoma"/>
          <w:szCs w:val="18"/>
        </w:rPr>
        <w:t>.</w:t>
      </w:r>
    </w:p>
    <w:p w:rsidR="005D4DAB" w:rsidRPr="004B208C" w:rsidRDefault="005D4DAB" w:rsidP="00572128">
      <w:pPr>
        <w:ind w:left="900"/>
        <w:rPr>
          <w:rFonts w:cs="Tahoma"/>
        </w:rPr>
      </w:pPr>
    </w:p>
    <w:p w:rsidR="005D4DAB" w:rsidRPr="004B208C" w:rsidRDefault="009B2474" w:rsidP="009B2474">
      <w:pPr>
        <w:spacing w:after="60"/>
        <w:ind w:left="720"/>
        <w:rPr>
          <w:rFonts w:cs="Tahoma"/>
        </w:rPr>
      </w:pPr>
      <w:r w:rsidRPr="004B208C">
        <w:rPr>
          <w:rFonts w:cs="Tahoma"/>
          <w:b/>
          <w:szCs w:val="18"/>
        </w:rPr>
        <w:t>Licenças do Enterprise Sideloading Disponíveis para Aquisição</w:t>
      </w:r>
    </w:p>
    <w:p w:rsidR="00697E59" w:rsidRPr="004B208C" w:rsidRDefault="005D4DAB" w:rsidP="00AF3B19">
      <w:pPr>
        <w:ind w:left="720"/>
        <w:rPr>
          <w:rFonts w:cs="Tahoma"/>
        </w:rPr>
      </w:pPr>
      <w:r w:rsidRPr="004B208C">
        <w:rPr>
          <w:rFonts w:cs="Tahoma"/>
          <w:szCs w:val="18"/>
        </w:rPr>
        <w:t>Os clientes podem adquirir licenças do Enterprise Sideloading.</w:t>
      </w:r>
      <w:r w:rsidR="00172F11">
        <w:rPr>
          <w:rFonts w:cs="Tahoma"/>
          <w:szCs w:val="18"/>
        </w:rPr>
        <w:t xml:space="preserve"> </w:t>
      </w:r>
      <w:r w:rsidRPr="004B208C">
        <w:rPr>
          <w:rFonts w:cs="Tahoma"/>
          <w:szCs w:val="18"/>
        </w:rPr>
        <w:t xml:space="preserve">Cada licença do Enterprise Sideloading deve ser atribuída permanentemente a um único dispositivo. </w:t>
      </w:r>
      <w:r w:rsidRPr="004B208C">
        <w:rPr>
          <w:rFonts w:cs="Tahoma"/>
        </w:rPr>
        <w:t>Nos programas Academic, o Windows Enterprise Sideloading só pode ser habilitado em dispositivos pertencentes à instituição</w:t>
      </w:r>
      <w:r w:rsidRPr="004B208C">
        <w:rPr>
          <w:rFonts w:cs="Tahoma"/>
          <w:szCs w:val="18"/>
        </w:rPr>
        <w:t>.</w:t>
      </w:r>
      <w:bookmarkStart w:id="1099" w:name="_Toc336338285"/>
      <w:r w:rsidRPr="004B208C">
        <w:rPr>
          <w:rFonts w:cs="Tahoma"/>
          <w:szCs w:val="18"/>
        </w:rPr>
        <w:t xml:space="preserve"> Licenças do Windows Enterprise Sideloading para Windows 8 e Windows 8.1 podem ser usadas de forma intercambiável. Por</w:t>
      </w:r>
      <w:r w:rsidR="0045327F">
        <w:rPr>
          <w:rFonts w:cs="Tahoma"/>
          <w:szCs w:val="18"/>
        </w:rPr>
        <w:t> </w:t>
      </w:r>
      <w:r w:rsidRPr="004B208C">
        <w:rPr>
          <w:rFonts w:cs="Tahoma"/>
          <w:szCs w:val="18"/>
        </w:rPr>
        <w:t>exemplo, um dispositivo licenciado para Window 8 Enterprise Sideloading que foi atualizado para Windows 8.1 não precisa ser relicenciado separadamente para sideload no sistema operacional atualizado.</w:t>
      </w:r>
    </w:p>
    <w:p w:rsidR="00AF3B19" w:rsidRPr="004B208C" w:rsidRDefault="00AF3B19" w:rsidP="00B50A5B">
      <w:pPr>
        <w:spacing w:after="60"/>
        <w:rPr>
          <w:rFonts w:cs="Tahoma"/>
        </w:rPr>
      </w:pPr>
    </w:p>
    <w:p w:rsidR="00AF3B19" w:rsidRPr="004B208C" w:rsidRDefault="00AF3B19" w:rsidP="00AF3B19">
      <w:pPr>
        <w:rPr>
          <w:rFonts w:cs="Tahoma"/>
        </w:rPr>
      </w:pPr>
    </w:p>
    <w:p w:rsidR="00B73A46" w:rsidRPr="004B208C" w:rsidRDefault="00A560B6" w:rsidP="00B73A46">
      <w:pPr>
        <w:pStyle w:val="Heading3"/>
        <w:rPr>
          <w:rFonts w:ascii="Tahoma" w:hAnsi="Tahoma" w:cs="Tahoma"/>
        </w:rPr>
      </w:pPr>
      <w:bookmarkStart w:id="1100" w:name="_29_Windows®_8"/>
      <w:bookmarkStart w:id="1101" w:name="_32_Windows®_8"/>
      <w:bookmarkStart w:id="1102" w:name="_Toc336338286"/>
      <w:bookmarkStart w:id="1103" w:name="Sys_27Win7ProUpgradeWinIntune"/>
      <w:bookmarkStart w:id="1104" w:name="Sys_26WinVistaBizUpgrade"/>
      <w:bookmarkStart w:id="1105" w:name="Sys_23Windows7ProUpgrade"/>
      <w:bookmarkStart w:id="1106" w:name="Sys_27WindowsVistaProUpgrade"/>
      <w:bookmarkStart w:id="1107" w:name="_Toc370981405"/>
      <w:bookmarkEnd w:id="1075"/>
      <w:bookmarkEnd w:id="1099"/>
      <w:bookmarkEnd w:id="1100"/>
      <w:bookmarkEnd w:id="1101"/>
      <w:r w:rsidRPr="004B208C">
        <w:rPr>
          <w:rFonts w:ascii="Tahoma" w:hAnsi="Tahoma" w:cs="Tahoma"/>
          <w:caps/>
          <w:color w:val="F66400"/>
          <w:sz w:val="22"/>
          <w:vertAlign w:val="superscript"/>
        </w:rPr>
        <w:t>32</w:t>
      </w:r>
      <w:r w:rsidRPr="004B208C">
        <w:rPr>
          <w:rFonts w:ascii="Tahoma" w:hAnsi="Tahoma" w:cs="Tahoma"/>
          <w:color w:val="F66400"/>
          <w:sz w:val="22"/>
        </w:rPr>
        <w:t xml:space="preserve"> </w:t>
      </w:r>
      <w:r w:rsidRPr="004B208C">
        <w:rPr>
          <w:rFonts w:ascii="Tahoma" w:hAnsi="Tahoma" w:cs="Tahoma"/>
          <w:color w:val="FF6D09"/>
          <w:sz w:val="22"/>
        </w:rPr>
        <w:t>Atualização do Windows</w:t>
      </w:r>
      <w:r w:rsidR="00172F11" w:rsidRPr="00172F11">
        <w:rPr>
          <w:rFonts w:ascii="Tahoma" w:hAnsi="Tahoma" w:cs="Tahoma"/>
          <w:color w:val="FF6D09"/>
          <w:sz w:val="22"/>
          <w:vertAlign w:val="superscript"/>
        </w:rPr>
        <w:t>®</w:t>
      </w:r>
      <w:r w:rsidRPr="004B208C">
        <w:rPr>
          <w:rFonts w:ascii="Tahoma" w:hAnsi="Tahoma" w:cs="Tahoma"/>
          <w:color w:val="FF6D09"/>
          <w:sz w:val="22"/>
        </w:rPr>
        <w:t xml:space="preserve"> 8.1 Pro</w:t>
      </w:r>
      <w:bookmarkEnd w:id="1102"/>
      <w:bookmarkEnd w:id="1107"/>
    </w:p>
    <w:bookmarkEnd w:id="1103"/>
    <w:p w:rsidR="003C65F4" w:rsidRPr="004B208C" w:rsidRDefault="003C65F4" w:rsidP="003C65F4">
      <w:pPr>
        <w:rPr>
          <w:rFonts w:cs="Tahoma"/>
        </w:rPr>
      </w:pPr>
    </w:p>
    <w:p w:rsidR="00B73A46" w:rsidRPr="004B208C" w:rsidRDefault="00B73A46" w:rsidP="00435C70">
      <w:pPr>
        <w:pStyle w:val="FootnoteBulletLevel1"/>
        <w:tabs>
          <w:tab w:val="clear" w:pos="900"/>
        </w:tabs>
        <w:adjustRightInd/>
        <w:spacing w:before="0" w:after="60"/>
        <w:ind w:left="720" w:firstLine="0"/>
        <w:textAlignment w:val="auto"/>
        <w:rPr>
          <w:rFonts w:ascii="Tahoma" w:hAnsi="Tahoma" w:cs="Tahoma"/>
        </w:rPr>
      </w:pPr>
      <w:r w:rsidRPr="004B208C">
        <w:rPr>
          <w:rFonts w:ascii="Tahoma" w:hAnsi="Tahoma" w:cs="Tahoma"/>
          <w:b/>
          <w:bCs/>
          <w:sz w:val="18"/>
          <w:szCs w:val="18"/>
        </w:rPr>
        <w:t>Atualização do Windows 8.1 Pro</w:t>
      </w:r>
    </w:p>
    <w:p w:rsidR="00BB756B" w:rsidRPr="004B208C" w:rsidRDefault="00BB756B" w:rsidP="00435C70">
      <w:pPr>
        <w:ind w:left="720"/>
        <w:rPr>
          <w:rFonts w:cs="Tahoma"/>
        </w:rPr>
      </w:pPr>
      <w:r w:rsidRPr="004B208C">
        <w:rPr>
          <w:rFonts w:cs="Tahoma"/>
          <w:szCs w:val="18"/>
        </w:rPr>
        <w:t>Os clientes de Licenciamento por Volume licenciados para Windows 8 Pro (ou Windows Intune (Por</w:t>
      </w:r>
      <w:r w:rsidR="0045327F">
        <w:rPr>
          <w:rFonts w:cs="Tahoma"/>
          <w:szCs w:val="18"/>
        </w:rPr>
        <w:t> </w:t>
      </w:r>
      <w:r w:rsidRPr="004B208C">
        <w:rPr>
          <w:rFonts w:cs="Tahoma"/>
          <w:szCs w:val="18"/>
        </w:rPr>
        <w:t>Dispositivo)) são licenciados para Windows 8.1 Pro mesmo se o Software Assurance para o sistema operacional Windows Desktop tiver expirado antes da liberação do Windows 8.1 Pro.</w:t>
      </w:r>
      <w:r w:rsidR="00172F11">
        <w:rPr>
          <w:rFonts w:cs="Tahoma"/>
          <w:szCs w:val="18"/>
        </w:rPr>
        <w:t xml:space="preserve"> </w:t>
      </w:r>
      <w:r w:rsidRPr="004B208C">
        <w:rPr>
          <w:rFonts w:cs="Tahoma"/>
          <w:szCs w:val="18"/>
        </w:rPr>
        <w:t>Isso não se aplica ao</w:t>
      </w:r>
      <w:r w:rsidR="0002786F">
        <w:rPr>
          <w:rFonts w:cs="Tahoma"/>
          <w:szCs w:val="18"/>
        </w:rPr>
        <w:t> </w:t>
      </w:r>
      <w:r w:rsidRPr="004B208C">
        <w:rPr>
          <w:rFonts w:cs="Tahoma"/>
          <w:szCs w:val="18"/>
        </w:rPr>
        <w:t>Windows 8 Enterprise; você deve ter o Software Assurance ativo para o sistema operacional Windows Desktop para ter direitos ao Windows 8.1 Enterprise.</w:t>
      </w:r>
    </w:p>
    <w:p w:rsidR="00BB756B" w:rsidRPr="004B208C" w:rsidRDefault="00BB756B" w:rsidP="00435C70">
      <w:pPr>
        <w:ind w:left="720"/>
        <w:rPr>
          <w:rFonts w:cs="Tahoma"/>
        </w:rPr>
      </w:pPr>
    </w:p>
    <w:p w:rsidR="00B73A46" w:rsidRPr="004B208C" w:rsidRDefault="00B73A46" w:rsidP="00435C70">
      <w:pPr>
        <w:ind w:left="720"/>
        <w:rPr>
          <w:rFonts w:cs="Tahoma"/>
        </w:rPr>
      </w:pPr>
      <w:r w:rsidRPr="004B208C">
        <w:rPr>
          <w:rFonts w:cs="Tahoma"/>
          <w:szCs w:val="18"/>
          <w:u w:val="single"/>
        </w:rPr>
        <w:t>Licença de Atualização de Sistema Operacional (SO)</w:t>
      </w:r>
    </w:p>
    <w:p w:rsidR="00B73A46" w:rsidRPr="0045327F" w:rsidRDefault="00B73A46" w:rsidP="00435C70">
      <w:pPr>
        <w:pStyle w:val="FootnoteBulletLevel1"/>
        <w:tabs>
          <w:tab w:val="clear" w:pos="900"/>
        </w:tabs>
        <w:adjustRightInd/>
        <w:spacing w:before="0" w:after="0"/>
        <w:ind w:left="720" w:hanging="7"/>
        <w:textAlignment w:val="auto"/>
        <w:rPr>
          <w:rFonts w:ascii="Tahoma" w:hAnsi="Tahoma" w:cs="Tahoma"/>
          <w:sz w:val="18"/>
          <w:szCs w:val="18"/>
        </w:rPr>
      </w:pPr>
      <w:r w:rsidRPr="0045327F">
        <w:rPr>
          <w:rFonts w:ascii="Tahoma" w:hAnsi="Tahoma" w:cs="Tahoma"/>
          <w:sz w:val="18"/>
          <w:szCs w:val="18"/>
        </w:rPr>
        <w:t>As licenças de sistema operacional de desktop concedidas são apenas licenças de atualização. Não há licenças integrais de sistema operacional de desktop disponíveis. Portanto, cada desktop para o qual você adquirir e no qual executar a Atualização para Windows 8.1 Pro deverá estar licenciado para executar um dos sistemas operacionais qualificados identificados abaixo.</w:t>
      </w:r>
    </w:p>
    <w:p w:rsidR="00435C70" w:rsidRPr="004B208C" w:rsidRDefault="00435C70" w:rsidP="00435C70">
      <w:pPr>
        <w:ind w:left="720"/>
        <w:rPr>
          <w:rFonts w:cs="Tahoma"/>
        </w:rPr>
      </w:pPr>
    </w:p>
    <w:p w:rsidR="00B24C9D" w:rsidRPr="004B208C" w:rsidRDefault="00B73A46" w:rsidP="009C2B6B">
      <w:pPr>
        <w:ind w:left="720"/>
        <w:rPr>
          <w:rFonts w:cs="Tahoma"/>
        </w:rPr>
      </w:pPr>
      <w:r w:rsidRPr="004B208C">
        <w:rPr>
          <w:rFonts w:cs="Tahoma"/>
          <w:szCs w:val="18"/>
          <w:u w:val="single"/>
        </w:rPr>
        <w:t>Regras de Sistemas Operacionais Qualificados</w:t>
      </w:r>
    </w:p>
    <w:p w:rsidR="00B73A46" w:rsidRPr="004B208C" w:rsidRDefault="00B73A46" w:rsidP="00A1385C">
      <w:pPr>
        <w:numPr>
          <w:ilvl w:val="1"/>
          <w:numId w:val="79"/>
        </w:numPr>
        <w:spacing w:after="60"/>
        <w:ind w:left="1440"/>
        <w:rPr>
          <w:rFonts w:cs="Tahoma"/>
        </w:rPr>
      </w:pPr>
      <w:r w:rsidRPr="004B208C">
        <w:rPr>
          <w:rFonts w:cs="Tahoma"/>
          <w:szCs w:val="18"/>
        </w:rPr>
        <w:t>O SO qualificado deverá estar instalado no dispositivo ao qual a licença de Atualização de VL será cedida.</w:t>
      </w:r>
    </w:p>
    <w:p w:rsidR="00827F06" w:rsidRPr="004B208C" w:rsidRDefault="00827F06" w:rsidP="00A1385C">
      <w:pPr>
        <w:numPr>
          <w:ilvl w:val="2"/>
          <w:numId w:val="80"/>
        </w:numPr>
        <w:spacing w:after="60"/>
        <w:ind w:left="1980"/>
        <w:rPr>
          <w:rFonts w:cs="Tahoma"/>
        </w:rPr>
      </w:pPr>
      <w:r w:rsidRPr="004B208C">
        <w:rPr>
          <w:rFonts w:cs="Tahoma"/>
          <w:color w:val="000000"/>
        </w:rPr>
        <w:t>Apple Macintosh só será um sistema operacional qualificado se ele for pré-instalado pelo fabricante autorizado antes da venda inicial do computador.</w:t>
      </w:r>
    </w:p>
    <w:p w:rsidR="00B73A46" w:rsidRPr="004B208C" w:rsidRDefault="00B73A46" w:rsidP="00A1385C">
      <w:pPr>
        <w:numPr>
          <w:ilvl w:val="1"/>
          <w:numId w:val="81"/>
        </w:numPr>
        <w:spacing w:after="60"/>
        <w:ind w:left="1440"/>
        <w:rPr>
          <w:rFonts w:cs="Tahoma"/>
        </w:rPr>
      </w:pPr>
      <w:r w:rsidRPr="004B208C">
        <w:rPr>
          <w:rFonts w:cs="Tahoma"/>
          <w:szCs w:val="18"/>
        </w:rPr>
        <w:t xml:space="preserve">Salvo conforme estabelecido a seguir, os clientes devem remover o Sistema Operacional qualificado do dispositivo para implantar a licença de Atualização de VL. </w:t>
      </w:r>
    </w:p>
    <w:p w:rsidR="00B31BB3" w:rsidRPr="004B208C" w:rsidRDefault="00B73A46" w:rsidP="00A1385C">
      <w:pPr>
        <w:numPr>
          <w:ilvl w:val="1"/>
          <w:numId w:val="81"/>
        </w:numPr>
        <w:spacing w:after="60"/>
        <w:ind w:left="1440"/>
        <w:rPr>
          <w:rFonts w:cs="Tahoma"/>
        </w:rPr>
      </w:pPr>
      <w:r w:rsidRPr="004B208C">
        <w:rPr>
          <w:rFonts w:cs="Tahoma"/>
          <w:szCs w:val="18"/>
        </w:rPr>
        <w:lastRenderedPageBreak/>
        <w:t>Os clientes que desejarem instalar ou executar mais de um sistema operacional licenciado de uma vez (incluindo o sistema operacional qualificado) poderão adquirir Software Assurance para sua licença de Atualização de VL.</w:t>
      </w:r>
    </w:p>
    <w:p w:rsidR="00B73A46" w:rsidRPr="004B208C" w:rsidRDefault="00B73A46" w:rsidP="00A1385C">
      <w:pPr>
        <w:numPr>
          <w:ilvl w:val="1"/>
          <w:numId w:val="81"/>
        </w:numPr>
        <w:spacing w:after="60"/>
        <w:ind w:left="1440"/>
        <w:rPr>
          <w:rFonts w:cs="Tahoma"/>
        </w:rPr>
      </w:pPr>
      <w:r w:rsidRPr="004B208C">
        <w:rPr>
          <w:rFonts w:cs="Tahoma"/>
          <w:szCs w:val="18"/>
        </w:rPr>
        <w:t xml:space="preserve">Os clientes que tiverem cobertura do Software Assurance ativa não precisarão desinstalar o SO qualificado e poderão instalar e executar o SO qualificado e o Windows 8.1 ao mesmo tempo. </w:t>
      </w:r>
    </w:p>
    <w:p w:rsidR="002512D3" w:rsidRPr="004B208C" w:rsidRDefault="002512D3">
      <w:pPr>
        <w:rPr>
          <w:rFonts w:cs="Tahoma"/>
        </w:rPr>
      </w:pPr>
    </w:p>
    <w:p w:rsidR="00B73A46" w:rsidRPr="004B208C" w:rsidRDefault="00B73A46" w:rsidP="002A6416">
      <w:pPr>
        <w:pStyle w:val="EndnoteText"/>
        <w:ind w:left="770"/>
        <w:rPr>
          <w:rFonts w:ascii="Tahoma" w:hAnsi="Tahoma" w:cs="Tahoma"/>
        </w:rPr>
      </w:pPr>
      <w:r w:rsidRPr="004B208C">
        <w:rPr>
          <w:rFonts w:ascii="Tahoma" w:hAnsi="Tahoma" w:cs="Tahoma"/>
          <w:sz w:val="18"/>
          <w:szCs w:val="18"/>
        </w:rPr>
        <w:t>Os sistemas operacionais qualificados por tipo de Programa são:</w:t>
      </w:r>
    </w:p>
    <w:p w:rsidR="00B73A46" w:rsidRPr="0045327F" w:rsidRDefault="00B73A46" w:rsidP="00B73A46">
      <w:pPr>
        <w:pStyle w:val="EndnoteText"/>
        <w:rPr>
          <w:rFonts w:ascii="Tahoma" w:hAnsi="Tahoma" w:cs="Tahoma"/>
          <w:sz w:val="18"/>
          <w:szCs w:val="18"/>
        </w:rPr>
      </w:pPr>
    </w:p>
    <w:tbl>
      <w:tblPr>
        <w:tblW w:w="9055" w:type="dxa"/>
        <w:tblInd w:w="878" w:type="dxa"/>
        <w:tblCellMar>
          <w:left w:w="0" w:type="dxa"/>
          <w:right w:w="0" w:type="dxa"/>
        </w:tblCellMar>
        <w:tblLook w:val="04A0" w:firstRow="1" w:lastRow="0" w:firstColumn="1" w:lastColumn="0" w:noHBand="0" w:noVBand="1"/>
      </w:tblPr>
      <w:tblGrid>
        <w:gridCol w:w="3362"/>
        <w:gridCol w:w="1107"/>
        <w:gridCol w:w="1125"/>
        <w:gridCol w:w="1143"/>
        <w:gridCol w:w="1197"/>
        <w:gridCol w:w="1121"/>
      </w:tblGrid>
      <w:tr w:rsidR="00290BBF" w:rsidRPr="004B208C" w:rsidTr="0045327F">
        <w:trPr>
          <w:trHeight w:val="900"/>
          <w:tblHeader/>
        </w:trPr>
        <w:tc>
          <w:tcPr>
            <w:tcW w:w="336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B208C" w:rsidRDefault="009B3FA2" w:rsidP="00026546">
            <w:pPr>
              <w:jc w:val="center"/>
              <w:rPr>
                <w:rFonts w:eastAsia="Calibri" w:cs="Tahoma"/>
                <w:b/>
                <w:bCs/>
                <w:szCs w:val="18"/>
              </w:rPr>
            </w:pPr>
            <w:r w:rsidRPr="004B208C">
              <w:rPr>
                <w:rFonts w:cs="Tahoma"/>
                <w:b/>
                <w:bCs/>
                <w:szCs w:val="18"/>
              </w:rPr>
              <w:t>Sistemas operacionais qualificados</w:t>
            </w:r>
          </w:p>
        </w:tc>
        <w:tc>
          <w:tcPr>
            <w:tcW w:w="110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9B3FA2">
            <w:pPr>
              <w:jc w:val="center"/>
              <w:rPr>
                <w:rFonts w:eastAsia="Calibri" w:cs="Tahoma"/>
                <w:b/>
                <w:bCs/>
                <w:sz w:val="16"/>
                <w:szCs w:val="18"/>
              </w:rPr>
            </w:pPr>
            <w:r w:rsidRPr="004B208C">
              <w:rPr>
                <w:rFonts w:cs="Tahoma"/>
                <w:b/>
                <w:bCs/>
                <w:sz w:val="16"/>
                <w:szCs w:val="18"/>
              </w:rPr>
              <w:t>Novo EA/</w:t>
            </w:r>
            <w:r w:rsidRPr="004B208C">
              <w:rPr>
                <w:rFonts w:cs="Tahoma"/>
                <w:b/>
                <w:bCs/>
                <w:sz w:val="16"/>
                <w:szCs w:val="18"/>
              </w:rPr>
              <w:br/>
              <w:t>OV-TE</w:t>
            </w:r>
          </w:p>
        </w:tc>
        <w:tc>
          <w:tcPr>
            <w:tcW w:w="112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9B3FA2">
            <w:pPr>
              <w:jc w:val="center"/>
              <w:rPr>
                <w:rFonts w:eastAsia="Calibri" w:cs="Tahoma"/>
                <w:b/>
                <w:bCs/>
                <w:sz w:val="16"/>
                <w:szCs w:val="18"/>
              </w:rPr>
            </w:pPr>
            <w:r w:rsidRPr="004B208C">
              <w:rPr>
                <w:rFonts w:cs="Tahoma"/>
                <w:b/>
                <w:bCs/>
                <w:sz w:val="16"/>
                <w:szCs w:val="18"/>
              </w:rPr>
              <w:t>EA/OV-TE existente</w:t>
            </w:r>
          </w:p>
        </w:tc>
        <w:tc>
          <w:tcPr>
            <w:tcW w:w="114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9B3FA2">
            <w:pPr>
              <w:jc w:val="center"/>
              <w:rPr>
                <w:rFonts w:eastAsia="Calibri" w:cs="Tahoma"/>
                <w:b/>
                <w:bCs/>
                <w:sz w:val="16"/>
                <w:szCs w:val="18"/>
              </w:rPr>
            </w:pPr>
            <w:r w:rsidRPr="004B208C">
              <w:rPr>
                <w:rFonts w:cs="Tahoma"/>
                <w:b/>
                <w:bCs/>
                <w:sz w:val="16"/>
                <w:szCs w:val="18"/>
              </w:rPr>
              <w:t>Select (todos exceto Academic)</w:t>
            </w:r>
          </w:p>
        </w:tc>
        <w:tc>
          <w:tcPr>
            <w:tcW w:w="119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1B15A5">
            <w:pPr>
              <w:jc w:val="center"/>
              <w:rPr>
                <w:rFonts w:eastAsia="Calibri" w:cs="Tahoma"/>
                <w:b/>
                <w:bCs/>
                <w:sz w:val="16"/>
                <w:szCs w:val="18"/>
              </w:rPr>
            </w:pPr>
            <w:r w:rsidRPr="004B208C">
              <w:rPr>
                <w:rFonts w:cs="Tahoma"/>
                <w:b/>
                <w:bCs/>
                <w:sz w:val="16"/>
                <w:szCs w:val="18"/>
              </w:rPr>
              <w:t>Open (todos exceto Academic, Charity e OV-TE)</w:t>
            </w:r>
          </w:p>
        </w:tc>
        <w:tc>
          <w:tcPr>
            <w:tcW w:w="1121"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50116B">
            <w:pPr>
              <w:jc w:val="center"/>
              <w:rPr>
                <w:rFonts w:eastAsia="Calibri" w:cs="Tahoma"/>
                <w:b/>
                <w:bCs/>
                <w:sz w:val="16"/>
                <w:szCs w:val="18"/>
              </w:rPr>
            </w:pPr>
            <w:r w:rsidRPr="004B208C">
              <w:rPr>
                <w:rFonts w:cs="Tahoma"/>
                <w:b/>
                <w:bCs/>
                <w:sz w:val="16"/>
                <w:szCs w:val="18"/>
              </w:rPr>
              <w:t>Academic e Charity</w:t>
            </w:r>
          </w:p>
        </w:tc>
      </w:tr>
      <w:tr w:rsidR="008643A3"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45327F">
            <w:pPr>
              <w:rPr>
                <w:rFonts w:cs="Tahoma"/>
                <w:b/>
                <w:bCs/>
                <w:szCs w:val="18"/>
              </w:rPr>
            </w:pPr>
            <w:r w:rsidRPr="004B208C">
              <w:rPr>
                <w:rFonts w:cs="Tahoma"/>
                <w:b/>
                <w:bCs/>
                <w:szCs w:val="18"/>
              </w:rPr>
              <w:t xml:space="preserve">Windows 8 e Windows 8.1 </w:t>
            </w:r>
            <w:r w:rsidR="0002786F">
              <w:rPr>
                <w:rFonts w:cs="Tahoma"/>
                <w:b/>
                <w:bCs/>
                <w:szCs w:val="18"/>
              </w:rPr>
              <w:br/>
            </w:r>
            <w:r w:rsidRPr="004B208C">
              <w:rPr>
                <w:rFonts w:cs="Tahoma"/>
                <w:b/>
                <w:bCs/>
                <w:szCs w:val="18"/>
              </w:rPr>
              <w:t>(32</w:t>
            </w:r>
            <w:r w:rsidR="0045327F">
              <w:rPr>
                <w:rFonts w:cs="Tahoma"/>
                <w:b/>
                <w:bCs/>
                <w:szCs w:val="18"/>
              </w:rPr>
              <w:t> </w:t>
            </w:r>
            <w:r w:rsidRPr="004B208C">
              <w:rPr>
                <w:rFonts w:cs="Tahoma"/>
                <w:b/>
                <w:bCs/>
                <w:szCs w:val="18"/>
              </w:rPr>
              <w:t>bits ou 64 bits)</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r>
      <w:tr w:rsidR="008643A3"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EF7CDD">
            <w:pPr>
              <w:ind w:left="522"/>
              <w:rPr>
                <w:rFonts w:cs="Tahoma"/>
                <w:b/>
                <w:bCs/>
                <w:szCs w:val="18"/>
              </w:rPr>
            </w:pPr>
            <w:r w:rsidRPr="004B208C">
              <w:rPr>
                <w:rFonts w:cs="Tahoma"/>
                <w:szCs w:val="18"/>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335B9" w:rsidP="00713A6C">
            <w:pPr>
              <w:jc w:val="center"/>
              <w:rPr>
                <w:rFonts w:cs="Tahoma"/>
                <w:szCs w:val="18"/>
              </w:rPr>
            </w:pPr>
            <w:r w:rsidRPr="004B208C">
              <w:rPr>
                <w:rFonts w:cs="Tahoma"/>
                <w:szCs w:val="18"/>
              </w:rPr>
              <w:t>x</w:t>
            </w:r>
          </w:p>
        </w:tc>
      </w:tr>
      <w:tr w:rsidR="008643A3"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394D71">
            <w:pPr>
              <w:ind w:left="522"/>
              <w:rPr>
                <w:rFonts w:cs="Tahoma"/>
                <w:b/>
                <w:bCs/>
                <w:szCs w:val="18"/>
              </w:rPr>
            </w:pPr>
            <w:r w:rsidRPr="004B208C">
              <w:rPr>
                <w:rFonts w:cs="Tahoma"/>
                <w:szCs w:val="18"/>
              </w:rPr>
              <w:t>Pro (N, K, KN, sem disquete*)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335B9" w:rsidP="00713A6C">
            <w:pPr>
              <w:jc w:val="center"/>
              <w:rPr>
                <w:rFonts w:cs="Tahoma"/>
                <w:szCs w:val="18"/>
              </w:rPr>
            </w:pPr>
            <w:r w:rsidRPr="004B208C">
              <w:rPr>
                <w:rFonts w:cs="Tahoma"/>
                <w:szCs w:val="18"/>
              </w:rPr>
              <w:t>x</w:t>
            </w:r>
          </w:p>
        </w:tc>
      </w:tr>
      <w:tr w:rsidR="008643A3"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EF7CDD">
            <w:pPr>
              <w:ind w:left="522"/>
              <w:rPr>
                <w:rFonts w:cs="Tahoma"/>
                <w:b/>
                <w:bCs/>
                <w:szCs w:val="18"/>
              </w:rPr>
            </w:pPr>
            <w:r w:rsidRPr="004B208C">
              <w:rPr>
                <w:rFonts w:cs="Tahoma"/>
                <w:szCs w:val="18"/>
              </w:rPr>
              <w:t>Windows 8 e Windows 8.1</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8643A3" w:rsidP="00713A6C">
            <w:pPr>
              <w:jc w:val="center"/>
              <w:rPr>
                <w:rFonts w:cs="Tahoma"/>
                <w:szCs w:val="18"/>
              </w:rPr>
            </w:pP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4B208C" w:rsidRDefault="006C2A69" w:rsidP="00713A6C">
            <w:pPr>
              <w:jc w:val="center"/>
              <w:rPr>
                <w:rFonts w:cs="Tahoma"/>
                <w:szCs w:val="18"/>
              </w:rPr>
            </w:pPr>
            <w:r w:rsidRPr="004B208C">
              <w:rPr>
                <w:rFonts w:cs="Tahoma"/>
                <w:szCs w:val="18"/>
              </w:rPr>
              <w:t>x</w:t>
            </w:r>
          </w:p>
        </w:tc>
      </w:tr>
      <w:tr w:rsidR="00EF7CDD"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4B208C" w:rsidRDefault="00EF7CDD" w:rsidP="00EF7CDD">
            <w:pPr>
              <w:ind w:left="522"/>
              <w:rPr>
                <w:rFonts w:cs="Tahoma"/>
                <w:szCs w:val="18"/>
              </w:rPr>
            </w:pPr>
            <w:r w:rsidRPr="004B208C">
              <w:rPr>
                <w:rFonts w:cs="Tahoma"/>
                <w:szCs w:val="18"/>
              </w:rPr>
              <w:t>Windows 8 e Windows 8.1 - Um Idioma</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B208C" w:rsidRDefault="00EF7CDD"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B208C" w:rsidRDefault="00EF7CDD" w:rsidP="00713A6C">
            <w:pPr>
              <w:jc w:val="center"/>
              <w:rPr>
                <w:rFonts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B208C" w:rsidRDefault="00EF7CDD" w:rsidP="00713A6C">
            <w:pPr>
              <w:jc w:val="center"/>
              <w:rPr>
                <w:rFonts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B208C" w:rsidRDefault="00EF7CDD" w:rsidP="00713A6C">
            <w:pPr>
              <w:jc w:val="center"/>
              <w:rPr>
                <w:rFonts w:cs="Tahoma"/>
                <w:szCs w:val="18"/>
              </w:rPr>
            </w:pP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4B208C" w:rsidRDefault="00EF7CDD" w:rsidP="00713A6C">
            <w:pPr>
              <w:jc w:val="center"/>
              <w:rPr>
                <w:rFonts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rPr>
                <w:rFonts w:eastAsia="Calibri" w:cs="Tahoma"/>
                <w:b/>
                <w:bCs/>
                <w:szCs w:val="18"/>
              </w:rPr>
            </w:pPr>
            <w:r w:rsidRPr="004B208C">
              <w:rPr>
                <w:rFonts w:cs="Tahoma"/>
                <w:b/>
                <w:bCs/>
                <w:szCs w:val="18"/>
              </w:rPr>
              <w:t>Windows 7 (32 bits ou 64 bits)</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D47417">
            <w:pPr>
              <w:ind w:left="522" w:firstLine="18"/>
              <w:rPr>
                <w:rFonts w:eastAsia="Calibri" w:cs="Tahoma"/>
                <w:szCs w:val="18"/>
              </w:rPr>
            </w:pPr>
            <w:r w:rsidRPr="004B208C">
              <w:rPr>
                <w:rFonts w:cs="Tahoma"/>
                <w:szCs w:val="18"/>
              </w:rPr>
              <w:t>Professional (N, K, KN, Diskless)</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Ultimate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Home Premium</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Home Basic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EF7CDD">
            <w:pPr>
              <w:ind w:left="522"/>
              <w:rPr>
                <w:rFonts w:eastAsia="Calibri" w:cs="Tahoma"/>
                <w:szCs w:val="18"/>
              </w:rPr>
            </w:pPr>
            <w:r w:rsidRPr="004B208C">
              <w:rPr>
                <w:rFonts w:cs="Tahoma"/>
                <w:szCs w:val="18"/>
              </w:rPr>
              <w:t>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45327F">
            <w:pPr>
              <w:rPr>
                <w:rFonts w:eastAsia="Calibri" w:cs="Tahoma"/>
                <w:b/>
                <w:bCs/>
                <w:szCs w:val="18"/>
              </w:rPr>
            </w:pPr>
            <w:r w:rsidRPr="004B208C">
              <w:rPr>
                <w:rFonts w:cs="Tahoma"/>
                <w:b/>
                <w:bCs/>
                <w:szCs w:val="18"/>
              </w:rPr>
              <w:t>Windows Vista (32 bits ou 64</w:t>
            </w:r>
            <w:r w:rsidR="0045327F">
              <w:rPr>
                <w:rFonts w:cs="Tahoma"/>
                <w:b/>
                <w:bCs/>
                <w:szCs w:val="18"/>
              </w:rPr>
              <w:t> </w:t>
            </w:r>
            <w:r w:rsidRPr="004B208C">
              <w:rPr>
                <w:rFonts w:cs="Tahoma"/>
                <w:b/>
                <w:bCs/>
                <w:szCs w:val="18"/>
              </w:rPr>
              <w:t>bits)</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Enterprise (N, K, KN)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Business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Ultimate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Home Premium</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Home Basic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4C3222">
            <w:pPr>
              <w:ind w:left="522"/>
              <w:rPr>
                <w:rFonts w:eastAsia="Calibri" w:cs="Tahoma"/>
                <w:bCs/>
                <w:szCs w:val="18"/>
              </w:rPr>
            </w:pPr>
            <w:r w:rsidRPr="004B208C">
              <w:rPr>
                <w:rFonts w:cs="Tahoma"/>
                <w:szCs w:val="18"/>
              </w:rPr>
              <w:t>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rPr>
                <w:rFonts w:eastAsia="Calibri" w:cs="Tahoma"/>
                <w:b/>
                <w:szCs w:val="18"/>
              </w:rPr>
            </w:pPr>
            <w:r w:rsidRPr="004B208C">
              <w:rPr>
                <w:rFonts w:cs="Tahoma"/>
                <w:b/>
                <w:bCs/>
                <w:szCs w:val="18"/>
              </w:rPr>
              <w:t>Windows XP (32 bits ou 64 bits)</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left="564"/>
              <w:rPr>
                <w:rFonts w:eastAsia="Calibri" w:cs="Tahoma"/>
                <w:szCs w:val="18"/>
                <w:lang w:val="pt-BR"/>
              </w:rPr>
            </w:pPr>
            <w:r w:rsidRPr="004B208C">
              <w:rPr>
                <w:rFonts w:cs="Tahoma"/>
                <w:szCs w:val="18"/>
              </w:rPr>
              <w:t>Professional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left="564"/>
              <w:rPr>
                <w:rFonts w:eastAsia="Calibri" w:cs="Tahoma"/>
                <w:szCs w:val="18"/>
              </w:rPr>
            </w:pPr>
            <w:r w:rsidRPr="004B208C">
              <w:rPr>
                <w:rFonts w:cs="Tahoma"/>
                <w:szCs w:val="18"/>
              </w:rPr>
              <w:t>Tablet Edition (N, K, KN, Blade)</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left="564"/>
              <w:rPr>
                <w:rFonts w:eastAsia="Calibri" w:cs="Tahoma"/>
                <w:szCs w:val="18"/>
              </w:rPr>
            </w:pPr>
            <w:r w:rsidRPr="004B208C">
              <w:rPr>
                <w:rFonts w:cs="Tahoma"/>
                <w:szCs w:val="18"/>
              </w:rPr>
              <w:t>XP Pro 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left="564"/>
              <w:rPr>
                <w:rFonts w:eastAsia="Calibri" w:cs="Tahoma"/>
                <w:szCs w:val="18"/>
              </w:rPr>
            </w:pPr>
            <w:r w:rsidRPr="004B208C">
              <w:rPr>
                <w:rFonts w:cs="Tahoma"/>
                <w:szCs w:val="18"/>
              </w:rPr>
              <w:t>XP Pro Blade PC</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4B208C"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left="564"/>
              <w:rPr>
                <w:rFonts w:eastAsia="Calibri" w:cs="Tahoma"/>
                <w:szCs w:val="18"/>
              </w:rPr>
            </w:pPr>
            <w:r w:rsidRPr="004B208C">
              <w:rPr>
                <w:rFonts w:cs="Tahoma"/>
                <w:szCs w:val="18"/>
              </w:rPr>
              <w:t>Home &amp; Starter Edition</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B208C" w:rsidRDefault="00B73A46" w:rsidP="00713A6C">
            <w:pPr>
              <w:rPr>
                <w:rFonts w:eastAsia="Calibri" w:cs="Tahoma"/>
                <w:b/>
                <w:szCs w:val="18"/>
              </w:rPr>
            </w:pPr>
            <w:r w:rsidRPr="004B208C">
              <w:rPr>
                <w:rFonts w:cs="Tahoma"/>
                <w:b/>
                <w:bCs/>
                <w:szCs w:val="18"/>
              </w:rPr>
              <w:t>Windows 2000 Professional</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B208C" w:rsidRDefault="00B73A46" w:rsidP="00713A6C">
            <w:pPr>
              <w:rPr>
                <w:rFonts w:eastAsia="Calibri" w:cs="Tahoma"/>
                <w:b/>
                <w:bCs/>
                <w:szCs w:val="18"/>
              </w:rPr>
            </w:pPr>
            <w:r w:rsidRPr="004B208C">
              <w:rPr>
                <w:rFonts w:cs="Tahoma"/>
                <w:b/>
                <w:bCs/>
                <w:szCs w:val="18"/>
              </w:rPr>
              <w:t>Windows NT Workstation 4.0</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B208C" w:rsidRDefault="00B73A46" w:rsidP="0045327F">
            <w:pPr>
              <w:rPr>
                <w:rFonts w:eastAsia="Calibri" w:cs="Tahoma"/>
                <w:b/>
                <w:bCs/>
                <w:szCs w:val="18"/>
              </w:rPr>
            </w:pPr>
            <w:r w:rsidRPr="004B208C">
              <w:rPr>
                <w:rFonts w:cs="Tahoma"/>
                <w:b/>
                <w:bCs/>
                <w:szCs w:val="18"/>
              </w:rPr>
              <w:t>Windows 98 (incluindo 2ª</w:t>
            </w:r>
            <w:r w:rsidR="0045327F">
              <w:rPr>
                <w:rFonts w:cs="Tahoma"/>
                <w:b/>
                <w:bCs/>
                <w:szCs w:val="18"/>
              </w:rPr>
              <w:t> </w:t>
            </w:r>
            <w:r w:rsidRPr="004B208C">
              <w:rPr>
                <w:rFonts w:cs="Tahoma"/>
                <w:b/>
                <w:bCs/>
                <w:szCs w:val="18"/>
              </w:rPr>
              <w:t>Edição)</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r w:rsidR="00290BBF" w:rsidRPr="004B208C" w:rsidTr="0045327F">
        <w:trPr>
          <w:trHeight w:val="255"/>
        </w:trPr>
        <w:tc>
          <w:tcPr>
            <w:tcW w:w="336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4B208C" w:rsidRDefault="00B73A46" w:rsidP="00713A6C">
            <w:pPr>
              <w:rPr>
                <w:rFonts w:eastAsia="Calibri" w:cs="Tahoma"/>
                <w:b/>
                <w:bCs/>
                <w:szCs w:val="18"/>
              </w:rPr>
            </w:pPr>
            <w:r w:rsidRPr="004B208C">
              <w:rPr>
                <w:rFonts w:cs="Tahoma"/>
                <w:b/>
                <w:bCs/>
                <w:szCs w:val="18"/>
              </w:rPr>
              <w:t>Apple Macintosh</w:t>
            </w:r>
          </w:p>
        </w:tc>
        <w:tc>
          <w:tcPr>
            <w:tcW w:w="11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9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2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r>
    </w:tbl>
    <w:p w:rsidR="00B73A46" w:rsidRPr="0045327F" w:rsidRDefault="00B73A46" w:rsidP="002A6416">
      <w:pPr>
        <w:ind w:left="770"/>
        <w:rPr>
          <w:rFonts w:cs="Tahoma"/>
          <w:sz w:val="14"/>
          <w:szCs w:val="14"/>
        </w:rPr>
      </w:pPr>
      <w:r w:rsidRPr="0045327F">
        <w:rPr>
          <w:rFonts w:cs="Tahoma"/>
          <w:bCs/>
          <w:i/>
          <w:iCs/>
          <w:sz w:val="14"/>
          <w:szCs w:val="14"/>
          <w:u w:val="single"/>
        </w:rPr>
        <w:t>Observação</w:t>
      </w:r>
      <w:r w:rsidRPr="0045327F">
        <w:rPr>
          <w:rFonts w:cs="Tahoma"/>
          <w:i/>
          <w:iCs/>
          <w:sz w:val="14"/>
          <w:szCs w:val="14"/>
        </w:rPr>
        <w:t xml:space="preserve">: </w:t>
      </w:r>
      <w:r w:rsidRPr="0045327F">
        <w:rPr>
          <w:rFonts w:cs="Tahoma"/>
          <w:i/>
          <w:iCs/>
          <w:sz w:val="14"/>
          <w:szCs w:val="14"/>
        </w:rPr>
        <w:br/>
        <w:t>Academic inclui os Contratos Campus e School, Open Value Subscription - Soluções Educacionais, Programas Select - Academic e Open - Academic</w:t>
      </w:r>
      <w:r w:rsidRPr="0045327F">
        <w:rPr>
          <w:rFonts w:cs="Tahoma"/>
          <w:i/>
          <w:iCs/>
          <w:sz w:val="14"/>
          <w:szCs w:val="14"/>
        </w:rPr>
        <w:br/>
        <w:t>EA = Contrato Enterprise</w:t>
      </w:r>
      <w:r w:rsidRPr="0045327F">
        <w:rPr>
          <w:rFonts w:cs="Tahoma"/>
          <w:i/>
          <w:iCs/>
          <w:sz w:val="14"/>
          <w:szCs w:val="14"/>
        </w:rPr>
        <w:br/>
        <w:t>OV-TE = Open Value – Opção para toda a empresa</w:t>
      </w:r>
    </w:p>
    <w:p w:rsidR="00B73A46" w:rsidRPr="0045327F" w:rsidRDefault="00B73A46" w:rsidP="002A6416">
      <w:pPr>
        <w:ind w:left="770"/>
        <w:rPr>
          <w:rFonts w:cs="Tahoma"/>
          <w:sz w:val="14"/>
          <w:szCs w:val="14"/>
        </w:rPr>
      </w:pPr>
      <w:r w:rsidRPr="0045327F">
        <w:rPr>
          <w:rFonts w:cs="Tahoma"/>
          <w:i/>
          <w:iCs/>
          <w:sz w:val="14"/>
          <w:szCs w:val="14"/>
        </w:rPr>
        <w:t>‘N’, ‘K’ e ‘KN’ são edições especializadas disponíveis em determinados mercados.</w:t>
      </w:r>
    </w:p>
    <w:p w:rsidR="00BB756B" w:rsidRPr="0045327F" w:rsidRDefault="00BB756B" w:rsidP="002A6416">
      <w:pPr>
        <w:ind w:left="770"/>
        <w:rPr>
          <w:rFonts w:cs="Tahoma"/>
          <w:sz w:val="14"/>
          <w:szCs w:val="14"/>
        </w:rPr>
      </w:pPr>
      <w:r w:rsidRPr="0045327F">
        <w:rPr>
          <w:rFonts w:cs="Tahoma"/>
          <w:i/>
          <w:iCs/>
          <w:sz w:val="14"/>
          <w:szCs w:val="14"/>
        </w:rPr>
        <w:t>* Aplicável somente ao Windows 8.1.</w:t>
      </w:r>
    </w:p>
    <w:p w:rsidR="002512D3" w:rsidRPr="004B208C" w:rsidRDefault="002512D3">
      <w:pPr>
        <w:rPr>
          <w:rFonts w:cs="Tahoma"/>
        </w:rPr>
      </w:pPr>
    </w:p>
    <w:p w:rsidR="00BB756B" w:rsidRPr="0045327F" w:rsidRDefault="00BB756B" w:rsidP="00BB756B">
      <w:pPr>
        <w:pStyle w:val="FootnoteBulletLevel1"/>
        <w:tabs>
          <w:tab w:val="clear" w:pos="900"/>
        </w:tabs>
        <w:spacing w:before="0" w:after="0"/>
        <w:ind w:left="720" w:firstLine="0"/>
        <w:rPr>
          <w:rFonts w:ascii="Tahoma" w:hAnsi="Tahoma" w:cs="Tahoma"/>
          <w:sz w:val="18"/>
          <w:szCs w:val="18"/>
        </w:rPr>
      </w:pPr>
      <w:r w:rsidRPr="0045327F">
        <w:rPr>
          <w:rFonts w:ascii="Tahoma" w:hAnsi="Tahoma" w:cs="Tahoma"/>
          <w:sz w:val="18"/>
          <w:szCs w:val="18"/>
        </w:rPr>
        <w:lastRenderedPageBreak/>
        <w:t>Qualquer sistema operacional não listado acima não é um SO qualificado; por exemplo:</w:t>
      </w:r>
    </w:p>
    <w:p w:rsidR="00BB756B" w:rsidRPr="0045327F" w:rsidRDefault="00BB756B" w:rsidP="00BB756B">
      <w:pPr>
        <w:pStyle w:val="FootnoteBulletLevel1"/>
        <w:tabs>
          <w:tab w:val="clear" w:pos="900"/>
        </w:tabs>
        <w:spacing w:before="0" w:after="0"/>
        <w:ind w:left="720" w:firstLine="0"/>
        <w:rPr>
          <w:rFonts w:ascii="Tahoma" w:hAnsi="Tahoma" w:cs="Tahoma"/>
          <w:sz w:val="18"/>
          <w:szCs w:val="18"/>
        </w:rPr>
      </w:pPr>
    </w:p>
    <w:p w:rsidR="00BB756B" w:rsidRPr="0045327F" w:rsidRDefault="00BB756B" w:rsidP="00A1385C">
      <w:pPr>
        <w:pStyle w:val="FootnoteBulletLevel2"/>
        <w:numPr>
          <w:ilvl w:val="0"/>
          <w:numId w:val="33"/>
        </w:numPr>
        <w:adjustRightInd/>
        <w:spacing w:before="0" w:after="60"/>
        <w:ind w:left="1440"/>
        <w:textAlignment w:val="auto"/>
        <w:rPr>
          <w:rFonts w:ascii="Tahoma" w:hAnsi="Tahoma" w:cs="Tahoma"/>
          <w:sz w:val="18"/>
          <w:szCs w:val="18"/>
        </w:rPr>
      </w:pPr>
      <w:r w:rsidRPr="0045327F">
        <w:rPr>
          <w:rFonts w:ascii="Tahoma" w:hAnsi="Tahoma" w:cs="Tahoma"/>
          <w:sz w:val="18"/>
          <w:szCs w:val="18"/>
        </w:rPr>
        <w:t>Sistemas Incorporados (por exemplo, Windows Embedded 8.1 Industry Pro, Windows XP Embedded) não estão qualificados para as Atualizações para Windows 8.1 Pro.</w:t>
      </w:r>
    </w:p>
    <w:p w:rsidR="00BB756B" w:rsidRPr="0045327F" w:rsidRDefault="00BB756B" w:rsidP="00A1385C">
      <w:pPr>
        <w:pStyle w:val="FootnoteBulletLevel2"/>
        <w:numPr>
          <w:ilvl w:val="0"/>
          <w:numId w:val="33"/>
        </w:numPr>
        <w:adjustRightInd/>
        <w:spacing w:before="0" w:after="60"/>
        <w:ind w:left="1440"/>
        <w:textAlignment w:val="auto"/>
        <w:rPr>
          <w:rFonts w:ascii="Tahoma" w:hAnsi="Tahoma" w:cs="Tahoma"/>
          <w:sz w:val="18"/>
          <w:szCs w:val="18"/>
        </w:rPr>
      </w:pPr>
      <w:r w:rsidRPr="0045327F">
        <w:rPr>
          <w:rFonts w:ascii="Tahoma" w:hAnsi="Tahoma" w:cs="Tahoma"/>
          <w:sz w:val="18"/>
          <w:szCs w:val="18"/>
        </w:rPr>
        <w:t>Linux ou OS/2 não estão qualificados para as Atualizações para Windows 8.1 Pro.</w:t>
      </w:r>
    </w:p>
    <w:p w:rsidR="00BB756B" w:rsidRPr="0045327F" w:rsidRDefault="00BB756B" w:rsidP="00A1385C">
      <w:pPr>
        <w:pStyle w:val="FootnoteBulletLevel2"/>
        <w:numPr>
          <w:ilvl w:val="0"/>
          <w:numId w:val="33"/>
        </w:numPr>
        <w:adjustRightInd/>
        <w:spacing w:before="0" w:after="60"/>
        <w:ind w:left="1440"/>
        <w:textAlignment w:val="auto"/>
        <w:rPr>
          <w:rFonts w:ascii="Tahoma" w:hAnsi="Tahoma" w:cs="Tahoma"/>
          <w:sz w:val="18"/>
          <w:szCs w:val="18"/>
        </w:rPr>
      </w:pPr>
      <w:r w:rsidRPr="0045327F">
        <w:rPr>
          <w:rFonts w:ascii="Tahoma" w:hAnsi="Tahoma" w:cs="Tahoma"/>
          <w:sz w:val="18"/>
          <w:szCs w:val="18"/>
        </w:rPr>
        <w:t>A Licença de Acesso para Cliente do Windows Terminal Services não está qualificada para as</w:t>
      </w:r>
      <w:r w:rsidR="0045327F">
        <w:rPr>
          <w:rFonts w:ascii="Tahoma" w:hAnsi="Tahoma" w:cs="Tahoma"/>
          <w:sz w:val="18"/>
          <w:szCs w:val="18"/>
        </w:rPr>
        <w:t> </w:t>
      </w:r>
      <w:r w:rsidRPr="0045327F">
        <w:rPr>
          <w:rFonts w:ascii="Tahoma" w:hAnsi="Tahoma" w:cs="Tahoma"/>
          <w:sz w:val="18"/>
          <w:szCs w:val="18"/>
        </w:rPr>
        <w:t>Atualizações para Windows 8.1 Pro.</w:t>
      </w:r>
    </w:p>
    <w:p w:rsidR="00BB756B" w:rsidRPr="004B208C" w:rsidRDefault="00BB756B" w:rsidP="00B24C9D">
      <w:pPr>
        <w:ind w:left="720"/>
        <w:rPr>
          <w:rFonts w:cs="Tahoma"/>
        </w:rPr>
      </w:pPr>
    </w:p>
    <w:p w:rsidR="00B73A46" w:rsidRPr="004B208C" w:rsidRDefault="00B73A46" w:rsidP="00B24C9D">
      <w:pPr>
        <w:ind w:left="720"/>
        <w:rPr>
          <w:rFonts w:cs="Tahoma"/>
        </w:rPr>
      </w:pPr>
      <w:r w:rsidRPr="004B208C">
        <w:rPr>
          <w:rFonts w:cs="Tahoma"/>
          <w:szCs w:val="18"/>
        </w:rPr>
        <w:t>Os requisitos a seguir se aplicam à restauração ao estado anterior do Windows:</w:t>
      </w:r>
    </w:p>
    <w:p w:rsidR="00B73A46" w:rsidRPr="004B208C" w:rsidRDefault="00B73A46" w:rsidP="00B24C9D">
      <w:pPr>
        <w:ind w:left="720"/>
        <w:rPr>
          <w:rFonts w:cs="Tahoma"/>
        </w:rPr>
      </w:pPr>
    </w:p>
    <w:p w:rsidR="00912205" w:rsidRPr="0045327F" w:rsidRDefault="00912205" w:rsidP="00A1385C">
      <w:pPr>
        <w:pStyle w:val="ColorfulList-Accent11"/>
        <w:numPr>
          <w:ilvl w:val="0"/>
          <w:numId w:val="32"/>
        </w:numPr>
        <w:ind w:left="1440"/>
        <w:rPr>
          <w:rFonts w:ascii="Tahoma" w:hAnsi="Tahoma" w:cs="Tahoma"/>
          <w:sz w:val="18"/>
          <w:szCs w:val="18"/>
        </w:rPr>
      </w:pPr>
      <w:r w:rsidRPr="0045327F">
        <w:rPr>
          <w:rFonts w:ascii="Tahoma" w:hAnsi="Tahoma" w:cs="Tahoma"/>
          <w:sz w:val="18"/>
          <w:szCs w:val="18"/>
        </w:rPr>
        <w:t>Se um terceiro restaurar ao estado anterior o Windows no PC de um cliente, o cliente deverá primeiro fornecer ao terceiro uma documentação impressa provando que o cliente possui as licenças para o software que o terceiro instalará.</w:t>
      </w:r>
      <w:r w:rsidR="00172F11" w:rsidRPr="0045327F">
        <w:rPr>
          <w:rFonts w:ascii="Tahoma" w:hAnsi="Tahoma" w:cs="Tahoma"/>
          <w:sz w:val="18"/>
          <w:szCs w:val="18"/>
        </w:rPr>
        <w:t xml:space="preserve"> </w:t>
      </w:r>
      <w:r w:rsidRPr="0045327F">
        <w:rPr>
          <w:rFonts w:ascii="Tahoma" w:hAnsi="Tahoma" w:cs="Tahoma"/>
          <w:sz w:val="18"/>
          <w:szCs w:val="18"/>
        </w:rPr>
        <w:t xml:space="preserve">Por exemplo, uma cópia do formulário de assinatura do contrato de Licenciamento por Volume da Microsoft aplicável ao software de atualização do sistema operacional Microsoft que está sendo instalado ou a “Verificação de Licença de Clientes da Microsoft para Serviços de Instalação de Atualização para Software de Sistema Operacional Microsoft Windows por Terceiros” (disponível em </w:t>
      </w:r>
      <w:hyperlink r:id="rId41" w:history="1">
        <w:r w:rsidR="0045327F" w:rsidRPr="005B075E">
          <w:rPr>
            <w:rStyle w:val="Hyperlink"/>
            <w:rFonts w:ascii="Tahoma" w:hAnsi="Tahoma" w:cs="Tahoma"/>
            <w:sz w:val="18"/>
            <w:szCs w:val="18"/>
          </w:rPr>
          <w:t>www.microsoft.com/licensing</w:t>
        </w:r>
      </w:hyperlink>
      <w:r w:rsidRPr="0045327F">
        <w:rPr>
          <w:rFonts w:ascii="Tahoma" w:hAnsi="Tahoma" w:cs="Tahoma"/>
          <w:sz w:val="18"/>
          <w:szCs w:val="18"/>
        </w:rPr>
        <w:t>) pode ser usada como documentação.</w:t>
      </w:r>
    </w:p>
    <w:p w:rsidR="00912205" w:rsidRPr="0045327F" w:rsidRDefault="00912205" w:rsidP="00912205">
      <w:pPr>
        <w:pStyle w:val="ColorfulList-Accent11"/>
        <w:ind w:left="1440"/>
        <w:rPr>
          <w:rFonts w:ascii="Tahoma" w:hAnsi="Tahoma" w:cs="Tahoma"/>
          <w:sz w:val="18"/>
          <w:szCs w:val="18"/>
        </w:rPr>
      </w:pPr>
    </w:p>
    <w:p w:rsidR="00912205" w:rsidRPr="0045327F" w:rsidRDefault="00B73A46" w:rsidP="00912205">
      <w:pPr>
        <w:pStyle w:val="ColorfulList-Accent11"/>
        <w:rPr>
          <w:rFonts w:ascii="Tahoma" w:hAnsi="Tahoma" w:cs="Tahoma"/>
          <w:sz w:val="18"/>
          <w:szCs w:val="18"/>
        </w:rPr>
      </w:pPr>
      <w:r w:rsidRPr="0045327F">
        <w:rPr>
          <w:rFonts w:ascii="Tahoma" w:hAnsi="Tahoma" w:cs="Tahoma"/>
          <w:sz w:val="18"/>
          <w:szCs w:val="18"/>
          <w:u w:val="single"/>
        </w:rPr>
        <w:t>Clientes Academic</w:t>
      </w:r>
    </w:p>
    <w:p w:rsidR="00B73A46" w:rsidRPr="0045327F" w:rsidRDefault="00B73A46" w:rsidP="00912205">
      <w:pPr>
        <w:pStyle w:val="ColorfulList-Accent11"/>
        <w:rPr>
          <w:rFonts w:ascii="Tahoma" w:hAnsi="Tahoma" w:cs="Tahoma"/>
          <w:sz w:val="18"/>
          <w:szCs w:val="18"/>
        </w:rPr>
      </w:pPr>
      <w:r w:rsidRPr="0045327F">
        <w:rPr>
          <w:rFonts w:ascii="Tahoma" w:hAnsi="Tahoma" w:cs="Tahoma"/>
          <w:sz w:val="18"/>
          <w:szCs w:val="18"/>
        </w:rPr>
        <w:t xml:space="preserve">Os clientes Academic Select, Academic Open, CASA e Open Value Subscription – clientes de Soluções Educacionais têm permissão de adquirir uma licença de Atualização do Windows usando o Windows XP Starter Edition, o Windows Vista Starter Edition ou o Windows 7 Starter Edition como SO qualificado. </w:t>
      </w:r>
    </w:p>
    <w:p w:rsidR="00B73A46" w:rsidRPr="0045327F" w:rsidRDefault="00B73A46" w:rsidP="00B24C9D">
      <w:pPr>
        <w:pStyle w:val="ColorfulList-Accent11"/>
        <w:rPr>
          <w:rFonts w:ascii="Tahoma" w:hAnsi="Tahoma" w:cs="Tahoma"/>
          <w:sz w:val="18"/>
          <w:szCs w:val="18"/>
        </w:rPr>
      </w:pPr>
    </w:p>
    <w:p w:rsidR="00B73A46" w:rsidRPr="0045327F" w:rsidRDefault="00B73A46" w:rsidP="00B24C9D">
      <w:pPr>
        <w:pStyle w:val="ColorfulList-Accent11"/>
        <w:rPr>
          <w:rFonts w:ascii="Tahoma" w:hAnsi="Tahoma" w:cs="Tahoma"/>
          <w:sz w:val="18"/>
          <w:szCs w:val="18"/>
        </w:rPr>
      </w:pPr>
      <w:r w:rsidRPr="0045327F">
        <w:rPr>
          <w:rFonts w:ascii="Tahoma" w:hAnsi="Tahoma" w:cs="Tahoma"/>
          <w:sz w:val="18"/>
          <w:szCs w:val="18"/>
        </w:rPr>
        <w:t xml:space="preserve">Os clientes que adquirirem a atualização dessa forma renunciam a qualquer direito de transferir essa licença fora do país onde a compra foi efetuada. </w:t>
      </w:r>
    </w:p>
    <w:p w:rsidR="00B24C9D" w:rsidRPr="0045327F"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45327F" w:rsidRDefault="005D46BA" w:rsidP="00B24C9D">
      <w:pPr>
        <w:pStyle w:val="FootnoteBulletLevel1"/>
        <w:tabs>
          <w:tab w:val="clear" w:pos="900"/>
        </w:tabs>
        <w:adjustRightInd/>
        <w:spacing w:before="0" w:after="60"/>
        <w:ind w:left="720" w:firstLine="0"/>
        <w:textAlignment w:val="auto"/>
        <w:rPr>
          <w:rFonts w:ascii="Tahoma" w:hAnsi="Tahoma" w:cs="Tahoma"/>
          <w:sz w:val="18"/>
          <w:szCs w:val="18"/>
        </w:rPr>
      </w:pPr>
      <w:r w:rsidRPr="0045327F">
        <w:rPr>
          <w:rFonts w:ascii="Tahoma" w:hAnsi="Tahoma" w:cs="Tahoma"/>
          <w:b/>
          <w:bCs/>
          <w:sz w:val="18"/>
          <w:szCs w:val="18"/>
        </w:rPr>
        <w:t>Windows Intune (Por Dispositivo)</w:t>
      </w:r>
    </w:p>
    <w:p w:rsidR="00EB4202" w:rsidRPr="0045327F" w:rsidRDefault="00EB4202" w:rsidP="00EB4202">
      <w:pPr>
        <w:pStyle w:val="FootnoteBulletLevel2"/>
        <w:spacing w:before="0"/>
        <w:ind w:left="720" w:firstLine="0"/>
        <w:rPr>
          <w:rFonts w:ascii="Tahoma" w:hAnsi="Tahoma" w:cs="Tahoma"/>
          <w:sz w:val="18"/>
          <w:szCs w:val="18"/>
        </w:rPr>
      </w:pPr>
      <w:r w:rsidRPr="0045327F">
        <w:rPr>
          <w:rFonts w:ascii="Tahoma" w:hAnsi="Tahoma" w:cs="Tahoma"/>
          <w:sz w:val="18"/>
          <w:szCs w:val="18"/>
        </w:rPr>
        <w:t>Consulte a Lista de Produtos de outubro de 2013 para obter detalhes</w:t>
      </w:r>
    </w:p>
    <w:p w:rsidR="00EB4202" w:rsidRPr="0045327F" w:rsidRDefault="00EB4202" w:rsidP="00EB4202">
      <w:pPr>
        <w:pStyle w:val="FootnoteBulletLevel2"/>
        <w:spacing w:before="0"/>
        <w:ind w:left="720" w:firstLine="0"/>
        <w:rPr>
          <w:rFonts w:ascii="Tahoma" w:hAnsi="Tahoma" w:cs="Tahoma"/>
          <w:sz w:val="18"/>
          <w:szCs w:val="18"/>
        </w:rPr>
      </w:pPr>
    </w:p>
    <w:p w:rsidR="00EB4202" w:rsidRPr="0045327F" w:rsidRDefault="00EB4202" w:rsidP="00EB4202">
      <w:pPr>
        <w:pStyle w:val="FootnoteBulletLevel1"/>
        <w:tabs>
          <w:tab w:val="left" w:pos="720"/>
        </w:tabs>
        <w:adjustRightInd/>
        <w:spacing w:before="0" w:after="60"/>
        <w:ind w:left="720" w:firstLine="0"/>
        <w:rPr>
          <w:rFonts w:ascii="Tahoma" w:hAnsi="Tahoma" w:cs="Tahoma"/>
          <w:sz w:val="18"/>
          <w:szCs w:val="18"/>
        </w:rPr>
      </w:pPr>
      <w:r w:rsidRPr="0045327F">
        <w:rPr>
          <w:rFonts w:ascii="Tahoma" w:hAnsi="Tahoma" w:cs="Tahoma"/>
          <w:b/>
          <w:bCs/>
          <w:sz w:val="18"/>
          <w:szCs w:val="18"/>
        </w:rPr>
        <w:t>Atualização do Windows Pro e Software Assurance para o Sistema Operacional Windows Desktop</w:t>
      </w:r>
    </w:p>
    <w:p w:rsidR="00EB4202" w:rsidRPr="0045327F" w:rsidRDefault="00EB4202" w:rsidP="00EB4202">
      <w:pPr>
        <w:pStyle w:val="FootnoteBulletLevel1"/>
        <w:spacing w:before="0" w:after="0"/>
        <w:ind w:left="720" w:firstLine="0"/>
        <w:rPr>
          <w:rFonts w:ascii="Tahoma" w:hAnsi="Tahoma" w:cs="Tahoma"/>
          <w:sz w:val="18"/>
          <w:szCs w:val="18"/>
        </w:rPr>
      </w:pPr>
      <w:r w:rsidRPr="0045327F">
        <w:rPr>
          <w:rFonts w:ascii="Tahoma" w:hAnsi="Tahoma" w:cs="Tahoma"/>
          <w:sz w:val="18"/>
          <w:szCs w:val="18"/>
          <w:u w:val="single"/>
        </w:rPr>
        <w:t>Licença de Atualização de Sistema Operacional (SO)</w:t>
      </w:r>
    </w:p>
    <w:p w:rsidR="00EB4202" w:rsidRPr="0045327F" w:rsidRDefault="00EB4202" w:rsidP="00EB4202">
      <w:pPr>
        <w:pStyle w:val="FootnoteBulletLevel2"/>
        <w:tabs>
          <w:tab w:val="left" w:pos="720"/>
        </w:tabs>
        <w:adjustRightInd/>
        <w:spacing w:before="0"/>
        <w:ind w:left="720" w:firstLine="0"/>
        <w:rPr>
          <w:rFonts w:ascii="Tahoma" w:hAnsi="Tahoma" w:cs="Tahoma"/>
          <w:sz w:val="18"/>
          <w:szCs w:val="18"/>
        </w:rPr>
      </w:pPr>
      <w:r w:rsidRPr="0045327F">
        <w:rPr>
          <w:rFonts w:ascii="Tahoma" w:hAnsi="Tahoma" w:cs="Tahoma"/>
          <w:sz w:val="18"/>
          <w:szCs w:val="18"/>
        </w:rPr>
        <w:t>As licenças de sistema operacional de desktop concedidas nestes programas são apenas licenças de atualização. Não há licenças integrais de sistema operacional de desktop disponíveis nestes programas. Portanto, o cliente deve ter licenciado e instalado em cada desktop para o qual ele adquirir e no qual executar a Atualização para Windows 8.1 Pro um dos sistemas operacionais qualificados aplicáveis identificados na tabela abaixo.</w:t>
      </w:r>
    </w:p>
    <w:p w:rsidR="00EB4202" w:rsidRPr="0045327F" w:rsidRDefault="00EB4202" w:rsidP="00EB4202">
      <w:pPr>
        <w:pStyle w:val="FootnoteBulletLevel1"/>
        <w:spacing w:before="0" w:after="0"/>
        <w:ind w:left="720" w:firstLine="0"/>
        <w:rPr>
          <w:rFonts w:ascii="Tahoma" w:hAnsi="Tahoma" w:cs="Tahoma"/>
          <w:sz w:val="18"/>
          <w:szCs w:val="18"/>
        </w:rPr>
      </w:pPr>
    </w:p>
    <w:p w:rsidR="00EB4202" w:rsidRPr="0045327F" w:rsidRDefault="00EB4202" w:rsidP="00EB4202">
      <w:pPr>
        <w:pStyle w:val="FootnoteBulletLevel1"/>
        <w:spacing w:before="0" w:after="0"/>
        <w:ind w:left="720" w:firstLine="0"/>
        <w:rPr>
          <w:rFonts w:ascii="Tahoma" w:hAnsi="Tahoma" w:cs="Tahoma"/>
          <w:sz w:val="18"/>
          <w:szCs w:val="18"/>
        </w:rPr>
      </w:pPr>
      <w:r w:rsidRPr="0045327F">
        <w:rPr>
          <w:rFonts w:ascii="Tahoma" w:hAnsi="Tahoma" w:cs="Tahoma"/>
          <w:sz w:val="18"/>
          <w:szCs w:val="18"/>
          <w:u w:val="single"/>
        </w:rPr>
        <w:t xml:space="preserve">Cobertura do Software Assurance </w:t>
      </w:r>
    </w:p>
    <w:p w:rsidR="00EB4202" w:rsidRPr="0045327F" w:rsidRDefault="00EB4202" w:rsidP="00EB4202">
      <w:pPr>
        <w:pStyle w:val="FootnoteBulletLevel1"/>
        <w:spacing w:before="0" w:after="0"/>
        <w:ind w:left="720" w:firstLine="0"/>
        <w:rPr>
          <w:rFonts w:ascii="Tahoma" w:hAnsi="Tahoma" w:cs="Tahoma"/>
          <w:sz w:val="18"/>
          <w:szCs w:val="18"/>
        </w:rPr>
      </w:pPr>
      <w:r w:rsidRPr="0045327F">
        <w:rPr>
          <w:rFonts w:ascii="Tahoma" w:hAnsi="Tahoma" w:cs="Tahoma"/>
          <w:sz w:val="18"/>
          <w:szCs w:val="18"/>
        </w:rPr>
        <w:t>Os clientes que desejarem se registrar no Software Assurance do Sistema Operacional Windows Desktop têm as opções a seguir.</w:t>
      </w:r>
      <w:r w:rsidR="00172F11" w:rsidRPr="0045327F">
        <w:rPr>
          <w:rFonts w:ascii="Tahoma" w:hAnsi="Tahoma" w:cs="Tahoma"/>
          <w:sz w:val="18"/>
          <w:szCs w:val="18"/>
        </w:rPr>
        <w:t xml:space="preserve"> </w:t>
      </w:r>
      <w:r w:rsidRPr="0045327F">
        <w:rPr>
          <w:rFonts w:ascii="Tahoma" w:hAnsi="Tahoma" w:cs="Tahoma"/>
          <w:sz w:val="18"/>
          <w:szCs w:val="18"/>
        </w:rPr>
        <w:t>As opções listadas abaixo só estão disponíveis para os programas específicos listados e somente sob as condições informadas.</w:t>
      </w:r>
    </w:p>
    <w:p w:rsidR="00EB4202" w:rsidRPr="0045327F" w:rsidRDefault="00EB4202" w:rsidP="00EB4202">
      <w:pPr>
        <w:pStyle w:val="FootnoteBulletLevel1"/>
        <w:spacing w:before="0" w:after="0"/>
        <w:ind w:left="720" w:firstLine="0"/>
        <w:rPr>
          <w:rFonts w:ascii="Tahoma" w:hAnsi="Tahoma" w:cs="Tahoma"/>
          <w:sz w:val="18"/>
          <w:szCs w:val="18"/>
        </w:rPr>
      </w:pPr>
      <w:r w:rsidRPr="0045327F">
        <w:rPr>
          <w:rFonts w:ascii="Tahoma" w:hAnsi="Tahoma" w:cs="Tahoma"/>
          <w:sz w:val="18"/>
          <w:szCs w:val="18"/>
        </w:rPr>
        <w:t>Nem todas as opções estão disponíveis em todos os programas.</w:t>
      </w:r>
    </w:p>
    <w:p w:rsidR="00EB4202" w:rsidRPr="0045327F" w:rsidRDefault="00EB4202" w:rsidP="00EB4202">
      <w:pPr>
        <w:pStyle w:val="FootnoteBulletLevel1"/>
        <w:spacing w:before="0" w:after="0"/>
        <w:ind w:left="720" w:firstLine="0"/>
        <w:rPr>
          <w:rFonts w:ascii="Tahoma" w:hAnsi="Tahoma" w:cs="Tahoma"/>
          <w:sz w:val="18"/>
          <w:szCs w:val="18"/>
        </w:rPr>
      </w:pPr>
    </w:p>
    <w:p w:rsidR="00EB4202" w:rsidRPr="0045327F" w:rsidRDefault="00EB4202" w:rsidP="00A1385C">
      <w:pPr>
        <w:pStyle w:val="FootnoteBulletLevel1"/>
        <w:numPr>
          <w:ilvl w:val="0"/>
          <w:numId w:val="28"/>
        </w:numPr>
        <w:tabs>
          <w:tab w:val="left" w:pos="720"/>
        </w:tabs>
        <w:adjustRightInd/>
        <w:spacing w:before="0" w:after="60"/>
        <w:ind w:left="1080"/>
        <w:textAlignment w:val="auto"/>
        <w:rPr>
          <w:rFonts w:ascii="Tahoma" w:hAnsi="Tahoma" w:cs="Tahoma"/>
          <w:sz w:val="18"/>
          <w:szCs w:val="18"/>
        </w:rPr>
      </w:pPr>
      <w:r w:rsidRPr="0045327F">
        <w:rPr>
          <w:rFonts w:ascii="Tahoma" w:hAnsi="Tahoma" w:cs="Tahoma"/>
          <w:sz w:val="18"/>
          <w:szCs w:val="18"/>
        </w:rPr>
        <w:t xml:space="preserve">Programas Select Plus, Open Value (Não extensivo a toda a empresa) e Licença Open </w:t>
      </w:r>
    </w:p>
    <w:p w:rsidR="00EB4202" w:rsidRPr="0045327F" w:rsidRDefault="00EB4202" w:rsidP="00EB4202">
      <w:pPr>
        <w:pStyle w:val="Footnotedash"/>
        <w:tabs>
          <w:tab w:val="left" w:pos="720"/>
        </w:tabs>
        <w:spacing w:before="0"/>
        <w:rPr>
          <w:rFonts w:ascii="Tahoma" w:hAnsi="Tahoma" w:cs="Tahoma"/>
          <w:sz w:val="18"/>
          <w:szCs w:val="18"/>
        </w:rPr>
      </w:pPr>
      <w:r w:rsidRPr="0045327F">
        <w:rPr>
          <w:rFonts w:ascii="Tahoma" w:eastAsia="Calibri" w:hAnsi="Tahoma" w:cs="Tahoma"/>
          <w:color w:val="000000"/>
          <w:sz w:val="18"/>
          <w:szCs w:val="18"/>
          <w:u w:val="single"/>
        </w:rPr>
        <w:t>Para novos dispositivos ou dispositivos com novas licenças</w:t>
      </w:r>
    </w:p>
    <w:p w:rsidR="00EB4202" w:rsidRPr="0045327F" w:rsidRDefault="00EB4202" w:rsidP="00A1385C">
      <w:pPr>
        <w:pStyle w:val="Footnotedash"/>
        <w:numPr>
          <w:ilvl w:val="2"/>
          <w:numId w:val="80"/>
        </w:numPr>
        <w:tabs>
          <w:tab w:val="left" w:pos="720"/>
        </w:tabs>
        <w:spacing w:before="0"/>
        <w:ind w:left="1800"/>
        <w:textAlignment w:val="auto"/>
        <w:rPr>
          <w:rFonts w:ascii="Tahoma" w:hAnsi="Tahoma" w:cs="Tahoma"/>
          <w:sz w:val="18"/>
          <w:szCs w:val="18"/>
        </w:rPr>
      </w:pPr>
      <w:r w:rsidRPr="0045327F">
        <w:rPr>
          <w:rFonts w:ascii="Tahoma" w:eastAsia="Calibri" w:hAnsi="Tahoma" w:cs="Tahoma"/>
          <w:color w:val="000000"/>
          <w:sz w:val="18"/>
          <w:szCs w:val="18"/>
        </w:rPr>
        <w:t xml:space="preserve">Adquirir a cobertura do Software Assurance para Windows 8.1 Pro,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w:t>
      </w:r>
    </w:p>
    <w:p w:rsidR="00EB4202" w:rsidRPr="0045327F" w:rsidRDefault="00EB4202" w:rsidP="00EB4202">
      <w:pPr>
        <w:pStyle w:val="Footnotedash"/>
        <w:tabs>
          <w:tab w:val="left" w:pos="720"/>
        </w:tabs>
        <w:spacing w:before="0"/>
        <w:rPr>
          <w:rFonts w:ascii="Tahoma" w:hAnsi="Tahoma" w:cs="Tahoma"/>
          <w:sz w:val="18"/>
          <w:szCs w:val="18"/>
        </w:rPr>
      </w:pPr>
      <w:r w:rsidRPr="0045327F">
        <w:rPr>
          <w:rFonts w:ascii="Tahoma" w:eastAsia="Calibri" w:hAnsi="Tahoma" w:cs="Tahoma"/>
          <w:color w:val="000000"/>
          <w:sz w:val="18"/>
          <w:szCs w:val="18"/>
          <w:u w:val="single"/>
        </w:rPr>
        <w:t>Para todos os outros dispositivos</w:t>
      </w:r>
    </w:p>
    <w:p w:rsidR="00EB4202" w:rsidRPr="0045327F" w:rsidRDefault="00EB4202" w:rsidP="00A1385C">
      <w:pPr>
        <w:pStyle w:val="Footnotedash"/>
        <w:numPr>
          <w:ilvl w:val="1"/>
          <w:numId w:val="30"/>
        </w:numPr>
        <w:tabs>
          <w:tab w:val="left" w:pos="720"/>
        </w:tabs>
        <w:spacing w:before="0"/>
        <w:ind w:left="1800"/>
        <w:textAlignment w:val="auto"/>
        <w:rPr>
          <w:rFonts w:ascii="Tahoma" w:hAnsi="Tahoma" w:cs="Tahoma"/>
          <w:sz w:val="18"/>
          <w:szCs w:val="18"/>
        </w:rPr>
      </w:pPr>
      <w:r w:rsidRPr="0045327F">
        <w:rPr>
          <w:rFonts w:ascii="Tahoma" w:eastAsia="Calibri" w:hAnsi="Tahoma" w:cs="Tahoma"/>
          <w:color w:val="000000"/>
          <w:sz w:val="18"/>
          <w:szCs w:val="18"/>
        </w:rPr>
        <w:t>Adquirir a Atualização e Software Assurance do Windows 8.1 Pro para desktops nos quais o cliente licenciou e instalou um dos sistemas operacionais qualificados listados na tabela de Atualização do Windows acima.</w:t>
      </w:r>
    </w:p>
    <w:p w:rsidR="00EB4202" w:rsidRPr="0045327F" w:rsidRDefault="00EB4202" w:rsidP="00A1385C">
      <w:pPr>
        <w:pStyle w:val="FootnoteBulletLevel1"/>
        <w:numPr>
          <w:ilvl w:val="0"/>
          <w:numId w:val="28"/>
        </w:numPr>
        <w:tabs>
          <w:tab w:val="left" w:pos="720"/>
        </w:tabs>
        <w:adjustRightInd/>
        <w:spacing w:before="0" w:after="60"/>
        <w:ind w:left="1080"/>
        <w:textAlignment w:val="auto"/>
        <w:rPr>
          <w:rFonts w:ascii="Tahoma" w:hAnsi="Tahoma" w:cs="Tahoma"/>
          <w:sz w:val="18"/>
          <w:szCs w:val="18"/>
        </w:rPr>
      </w:pPr>
      <w:r w:rsidRPr="0045327F">
        <w:rPr>
          <w:rFonts w:ascii="Tahoma" w:hAnsi="Tahoma" w:cs="Tahoma"/>
          <w:sz w:val="18"/>
          <w:szCs w:val="18"/>
        </w:rPr>
        <w:lastRenderedPageBreak/>
        <w:t>Registros Enterprise e Contratos Open Value para toda a empresa (licença perpétua e assinatura):</w:t>
      </w:r>
    </w:p>
    <w:p w:rsidR="00EB4202" w:rsidRPr="0045327F" w:rsidRDefault="00EB4202" w:rsidP="00EB4202">
      <w:pPr>
        <w:pStyle w:val="Footnotedash"/>
        <w:tabs>
          <w:tab w:val="left" w:pos="720"/>
        </w:tabs>
        <w:spacing w:before="0"/>
        <w:rPr>
          <w:rFonts w:ascii="Tahoma" w:hAnsi="Tahoma" w:cs="Tahoma"/>
          <w:sz w:val="18"/>
          <w:szCs w:val="18"/>
        </w:rPr>
      </w:pPr>
      <w:r w:rsidRPr="0045327F">
        <w:rPr>
          <w:rFonts w:ascii="Tahoma" w:eastAsia="Calibri" w:hAnsi="Tahoma" w:cs="Tahoma"/>
          <w:color w:val="000000"/>
          <w:sz w:val="18"/>
          <w:szCs w:val="18"/>
          <w:u w:val="single"/>
        </w:rPr>
        <w:t>Registros Enterprise ou Contratos Open Value Iniciais</w:t>
      </w:r>
    </w:p>
    <w:p w:rsidR="00EB4202" w:rsidRPr="0045327F" w:rsidRDefault="00EB4202" w:rsidP="00A1385C">
      <w:pPr>
        <w:pStyle w:val="Footnotedash"/>
        <w:numPr>
          <w:ilvl w:val="1"/>
          <w:numId w:val="30"/>
        </w:numPr>
        <w:tabs>
          <w:tab w:val="left" w:pos="720"/>
        </w:tabs>
        <w:spacing w:before="0"/>
        <w:ind w:left="1800"/>
        <w:textAlignment w:val="auto"/>
        <w:rPr>
          <w:rFonts w:ascii="Tahoma" w:hAnsi="Tahoma" w:cs="Tahoma"/>
          <w:sz w:val="18"/>
          <w:szCs w:val="18"/>
        </w:rPr>
      </w:pPr>
      <w:r w:rsidRPr="0045327F">
        <w:rPr>
          <w:rFonts w:ascii="Tahoma" w:eastAsia="Calibri" w:hAnsi="Tahoma" w:cs="Tahoma"/>
          <w:color w:val="000000"/>
          <w:sz w:val="18"/>
          <w:szCs w:val="18"/>
        </w:rPr>
        <w:t>Adquirir a Atualização do Windows 8.1 Pro e Software Assurance para todos os Dispositivos Qualificados.</w:t>
      </w:r>
      <w:r w:rsidR="00172F11" w:rsidRPr="0045327F">
        <w:rPr>
          <w:rFonts w:ascii="Tahoma" w:eastAsia="Calibri" w:hAnsi="Tahoma" w:cs="Tahoma"/>
          <w:color w:val="000000"/>
          <w:sz w:val="18"/>
          <w:szCs w:val="18"/>
        </w:rPr>
        <w:t xml:space="preserve"> </w:t>
      </w:r>
      <w:r w:rsidRPr="0045327F">
        <w:rPr>
          <w:rFonts w:ascii="Tahoma" w:eastAsia="Calibri" w:hAnsi="Tahoma" w:cs="Tahoma"/>
          <w:color w:val="000000"/>
          <w:sz w:val="18"/>
          <w:szCs w:val="18"/>
        </w:rPr>
        <w:t>O cliente deve ter licenciado e instalado um dos sistemas operacionais qualificados listados na tabela de Atualização do Windows acima, na coluna “Novo EA/OV-CW”, em todos os Dispositivos Qualificados.</w:t>
      </w:r>
    </w:p>
    <w:p w:rsidR="00EB4202" w:rsidRPr="0045327F" w:rsidRDefault="00EB4202" w:rsidP="00EB4202">
      <w:pPr>
        <w:pStyle w:val="Footnotedash"/>
        <w:tabs>
          <w:tab w:val="left" w:pos="720"/>
        </w:tabs>
        <w:spacing w:before="0"/>
        <w:rPr>
          <w:rFonts w:ascii="Tahoma" w:hAnsi="Tahoma" w:cs="Tahoma"/>
          <w:sz w:val="18"/>
          <w:szCs w:val="18"/>
        </w:rPr>
      </w:pPr>
      <w:r w:rsidRPr="0045327F">
        <w:rPr>
          <w:rFonts w:ascii="Tahoma" w:eastAsia="Calibri" w:hAnsi="Tahoma" w:cs="Tahoma"/>
          <w:color w:val="000000"/>
          <w:sz w:val="18"/>
          <w:szCs w:val="18"/>
          <w:u w:val="single"/>
        </w:rPr>
        <w:t>Registros Enterprise ou Contratos Open Value existentes [adequação (“true-up”) e substituições]</w:t>
      </w:r>
    </w:p>
    <w:p w:rsidR="00EB4202" w:rsidRPr="0045327F" w:rsidRDefault="00EB4202" w:rsidP="00A1385C">
      <w:pPr>
        <w:pStyle w:val="Footnotedash"/>
        <w:numPr>
          <w:ilvl w:val="1"/>
          <w:numId w:val="30"/>
        </w:numPr>
        <w:tabs>
          <w:tab w:val="left" w:pos="720"/>
        </w:tabs>
        <w:spacing w:before="0"/>
        <w:ind w:left="1800"/>
        <w:textAlignment w:val="auto"/>
        <w:rPr>
          <w:rFonts w:ascii="Tahoma" w:hAnsi="Tahoma" w:cs="Tahoma"/>
          <w:sz w:val="18"/>
          <w:szCs w:val="18"/>
        </w:rPr>
      </w:pPr>
      <w:r w:rsidRPr="0045327F">
        <w:rPr>
          <w:rFonts w:ascii="Tahoma" w:eastAsia="Calibri" w:hAnsi="Tahoma" w:cs="Tahoma"/>
          <w:color w:val="000000"/>
          <w:sz w:val="18"/>
          <w:szCs w:val="18"/>
        </w:rPr>
        <w:t>Adquirir a Atualização do Windows 8.1 Pro e Software Assurance para todos os Dispositivos Qualificados adicionais.</w:t>
      </w:r>
      <w:r w:rsidR="00172F11" w:rsidRPr="0045327F">
        <w:rPr>
          <w:rFonts w:ascii="Tahoma" w:eastAsia="Calibri" w:hAnsi="Tahoma" w:cs="Tahoma"/>
          <w:color w:val="000000"/>
          <w:sz w:val="18"/>
          <w:szCs w:val="18"/>
        </w:rPr>
        <w:t xml:space="preserve"> </w:t>
      </w:r>
      <w:r w:rsidRPr="0045327F">
        <w:rPr>
          <w:rFonts w:ascii="Tahoma" w:eastAsia="Calibri" w:hAnsi="Tahoma" w:cs="Tahoma"/>
          <w:color w:val="000000"/>
          <w:sz w:val="18"/>
          <w:szCs w:val="18"/>
        </w:rPr>
        <w:t>O cliente deve ter licenciado e instalado em todos os Dispositivos Qualificados adicionais adquiridos de qualquer fonte que não seja por meio de uma fusão ou</w:t>
      </w:r>
      <w:r w:rsidR="0045327F">
        <w:rPr>
          <w:rFonts w:ascii="Tahoma" w:eastAsia="Calibri" w:hAnsi="Tahoma" w:cs="Tahoma"/>
          <w:color w:val="000000"/>
          <w:sz w:val="18"/>
          <w:szCs w:val="18"/>
        </w:rPr>
        <w:t> </w:t>
      </w:r>
      <w:r w:rsidRPr="0045327F">
        <w:rPr>
          <w:rFonts w:ascii="Tahoma" w:eastAsia="Calibri" w:hAnsi="Tahoma" w:cs="Tahoma"/>
          <w:color w:val="000000"/>
          <w:sz w:val="18"/>
          <w:szCs w:val="18"/>
        </w:rPr>
        <w:t>aquisição um dos sistemas operacionais qualificados listados na tabela de Atualização do</w:t>
      </w:r>
      <w:r w:rsidR="0045327F">
        <w:rPr>
          <w:rFonts w:ascii="Tahoma" w:eastAsia="Calibri" w:hAnsi="Tahoma" w:cs="Tahoma"/>
          <w:color w:val="000000"/>
          <w:sz w:val="18"/>
          <w:szCs w:val="18"/>
        </w:rPr>
        <w:t> </w:t>
      </w:r>
      <w:r w:rsidRPr="0045327F">
        <w:rPr>
          <w:rFonts w:ascii="Tahoma" w:eastAsia="Calibri" w:hAnsi="Tahoma" w:cs="Tahoma"/>
          <w:color w:val="000000"/>
          <w:sz w:val="18"/>
          <w:szCs w:val="18"/>
        </w:rPr>
        <w:t>Windows acima, na coluna “EA/OV-CW Existente”.</w:t>
      </w:r>
    </w:p>
    <w:p w:rsidR="00EB4202" w:rsidRPr="0045327F" w:rsidRDefault="00EB4202" w:rsidP="00A1385C">
      <w:pPr>
        <w:pStyle w:val="Footnotedash"/>
        <w:numPr>
          <w:ilvl w:val="1"/>
          <w:numId w:val="30"/>
        </w:numPr>
        <w:tabs>
          <w:tab w:val="left" w:pos="720"/>
        </w:tabs>
        <w:spacing w:before="0"/>
        <w:ind w:left="1800"/>
        <w:textAlignment w:val="auto"/>
        <w:rPr>
          <w:rFonts w:ascii="Tahoma" w:hAnsi="Tahoma" w:cs="Tahoma"/>
          <w:sz w:val="18"/>
          <w:szCs w:val="18"/>
        </w:rPr>
      </w:pPr>
      <w:r w:rsidRPr="0045327F">
        <w:rPr>
          <w:rFonts w:ascii="Tahoma" w:eastAsia="Calibri" w:hAnsi="Tahoma" w:cs="Tahoma"/>
          <w:color w:val="000000"/>
          <w:sz w:val="18"/>
          <w:szCs w:val="18"/>
        </w:rPr>
        <w:t>Para fusão ou aquisição, o cliente deve ter licenciado e instalado em todos os Dispositivos Qualificados adquiridos por meio de uma fusão ou aquisição um dos sistemas operacionais</w:t>
      </w:r>
      <w:r w:rsidR="0045327F">
        <w:rPr>
          <w:rFonts w:ascii="Tahoma" w:eastAsia="Calibri" w:hAnsi="Tahoma" w:cs="Tahoma"/>
          <w:color w:val="000000"/>
          <w:sz w:val="18"/>
          <w:szCs w:val="18"/>
        </w:rPr>
        <w:t> </w:t>
      </w:r>
      <w:r w:rsidRPr="0045327F">
        <w:rPr>
          <w:rFonts w:ascii="Tahoma" w:eastAsia="Calibri" w:hAnsi="Tahoma" w:cs="Tahoma"/>
          <w:color w:val="000000"/>
          <w:sz w:val="18"/>
          <w:szCs w:val="18"/>
        </w:rPr>
        <w:t>qualificados listados na tabela de Atualização do Windows acima, na coluna “Novo EA/OV-CW”.</w:t>
      </w:r>
    </w:p>
    <w:p w:rsidR="00EB4202" w:rsidRPr="0045327F" w:rsidRDefault="00EB4202" w:rsidP="00EB4202">
      <w:pPr>
        <w:pStyle w:val="Footnotedash"/>
        <w:tabs>
          <w:tab w:val="left" w:pos="720"/>
        </w:tabs>
        <w:spacing w:before="0"/>
        <w:rPr>
          <w:rFonts w:ascii="Tahoma" w:hAnsi="Tahoma" w:cs="Tahoma"/>
          <w:sz w:val="18"/>
          <w:szCs w:val="18"/>
        </w:rPr>
      </w:pPr>
      <w:r w:rsidRPr="0045327F">
        <w:rPr>
          <w:rFonts w:ascii="Tahoma" w:eastAsia="Calibri" w:hAnsi="Tahoma" w:cs="Tahoma"/>
          <w:color w:val="000000"/>
          <w:sz w:val="18"/>
          <w:szCs w:val="18"/>
          <w:u w:val="single"/>
        </w:rPr>
        <w:t>Renovando o Registro Enterprise</w:t>
      </w:r>
    </w:p>
    <w:p w:rsidR="00EB4202" w:rsidRPr="0045327F" w:rsidRDefault="00EB4202" w:rsidP="00A1385C">
      <w:pPr>
        <w:pStyle w:val="Footnotedash"/>
        <w:numPr>
          <w:ilvl w:val="1"/>
          <w:numId w:val="30"/>
        </w:numPr>
        <w:tabs>
          <w:tab w:val="left" w:pos="720"/>
        </w:tabs>
        <w:spacing w:before="0"/>
        <w:ind w:left="1800"/>
        <w:textAlignment w:val="auto"/>
        <w:rPr>
          <w:rFonts w:ascii="Tahoma" w:hAnsi="Tahoma" w:cs="Tahoma"/>
          <w:sz w:val="18"/>
          <w:szCs w:val="18"/>
        </w:rPr>
      </w:pPr>
      <w:r w:rsidRPr="0045327F">
        <w:rPr>
          <w:rFonts w:ascii="Tahoma" w:eastAsia="Calibri" w:hAnsi="Tahoma" w:cs="Tahoma"/>
          <w:color w:val="000000"/>
          <w:sz w:val="18"/>
          <w:szCs w:val="18"/>
        </w:rPr>
        <w:t>ao término de um Registro Enterprise existente que cubra o Sistema Operacional Windows Desktop, renovar a respectiva cobertura sob um novo Registro Enterprise para o Sistema Operacional Windows Desktop.</w:t>
      </w:r>
    </w:p>
    <w:p w:rsidR="00EB4202" w:rsidRPr="0045327F" w:rsidRDefault="00EB4202" w:rsidP="00EB4202">
      <w:pPr>
        <w:pStyle w:val="FootnoteBulletLevel2"/>
        <w:tabs>
          <w:tab w:val="left" w:pos="720"/>
        </w:tabs>
        <w:adjustRightInd/>
        <w:spacing w:before="0"/>
        <w:ind w:left="0" w:firstLine="0"/>
        <w:rPr>
          <w:rFonts w:ascii="Tahoma" w:hAnsi="Tahoma" w:cs="Tahoma"/>
          <w:sz w:val="18"/>
          <w:szCs w:val="18"/>
        </w:rPr>
      </w:pPr>
    </w:p>
    <w:p w:rsidR="00EB4202" w:rsidRPr="0045327F" w:rsidRDefault="00EB4202" w:rsidP="00EB4202">
      <w:pPr>
        <w:pStyle w:val="FootnoteBulletLevel2"/>
        <w:numPr>
          <w:ilvl w:val="0"/>
          <w:numId w:val="25"/>
        </w:numPr>
        <w:tabs>
          <w:tab w:val="left" w:pos="720"/>
        </w:tabs>
        <w:adjustRightInd/>
        <w:spacing w:before="0" w:after="60"/>
        <w:ind w:left="1440"/>
        <w:textAlignment w:val="auto"/>
        <w:rPr>
          <w:rFonts w:ascii="Tahoma" w:hAnsi="Tahoma" w:cs="Tahoma"/>
          <w:sz w:val="18"/>
          <w:szCs w:val="18"/>
        </w:rPr>
      </w:pPr>
      <w:r w:rsidRPr="0045327F">
        <w:rPr>
          <w:rFonts w:ascii="Tahoma" w:hAnsi="Tahoma" w:cs="Tahoma"/>
          <w:sz w:val="18"/>
          <w:szCs w:val="18"/>
        </w:rPr>
        <w:t xml:space="preserve">Clientes do Contrato para Campus e Contrato School e Open Value Subscription - Soluções Educacionais: </w:t>
      </w:r>
    </w:p>
    <w:p w:rsidR="00EB4202" w:rsidRPr="0045327F" w:rsidRDefault="00EB4202" w:rsidP="00A1385C">
      <w:pPr>
        <w:pStyle w:val="Footnotedash"/>
        <w:numPr>
          <w:ilvl w:val="1"/>
          <w:numId w:val="30"/>
        </w:numPr>
        <w:tabs>
          <w:tab w:val="left" w:pos="720"/>
        </w:tabs>
        <w:spacing w:before="0"/>
        <w:ind w:left="1800"/>
        <w:textAlignment w:val="auto"/>
        <w:rPr>
          <w:rFonts w:ascii="Tahoma" w:hAnsi="Tahoma" w:cs="Tahoma"/>
          <w:sz w:val="18"/>
          <w:szCs w:val="18"/>
        </w:rPr>
      </w:pPr>
      <w:r w:rsidRPr="0045327F">
        <w:rPr>
          <w:rFonts w:ascii="Tahoma" w:eastAsia="Calibri" w:hAnsi="Tahoma" w:cs="Tahoma"/>
          <w:color w:val="000000"/>
          <w:sz w:val="18"/>
          <w:szCs w:val="18"/>
        </w:rPr>
        <w:t>O sistema operacional Windows está licenciado apenas como uma atualização.</w:t>
      </w:r>
      <w:r w:rsidR="00172F11" w:rsidRPr="0045327F">
        <w:rPr>
          <w:rFonts w:ascii="Tahoma" w:eastAsia="Calibri" w:hAnsi="Tahoma" w:cs="Tahoma"/>
          <w:color w:val="000000"/>
          <w:sz w:val="18"/>
          <w:szCs w:val="18"/>
        </w:rPr>
        <w:t xml:space="preserve"> </w:t>
      </w:r>
      <w:r w:rsidRPr="0045327F">
        <w:rPr>
          <w:rFonts w:ascii="Tahoma" w:eastAsia="Calibri" w:hAnsi="Tahoma" w:cs="Tahoma"/>
          <w:color w:val="000000"/>
          <w:sz w:val="18"/>
          <w:szCs w:val="18"/>
        </w:rPr>
        <w:t>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w:t>
      </w:r>
      <w:r w:rsidR="0045327F">
        <w:rPr>
          <w:rFonts w:ascii="Tahoma" w:eastAsia="Calibri" w:hAnsi="Tahoma" w:cs="Tahoma"/>
          <w:color w:val="000000"/>
          <w:sz w:val="18"/>
          <w:szCs w:val="18"/>
        </w:rPr>
        <w:t> </w:t>
      </w:r>
      <w:r w:rsidRPr="0045327F">
        <w:rPr>
          <w:rFonts w:ascii="Tahoma" w:eastAsia="Calibri" w:hAnsi="Tahoma" w:cs="Tahoma"/>
          <w:color w:val="000000"/>
          <w:sz w:val="18"/>
          <w:szCs w:val="18"/>
        </w:rPr>
        <w:t xml:space="preserve">Windows acima, na coluna “Academic”. </w:t>
      </w:r>
    </w:p>
    <w:p w:rsidR="00EB4202" w:rsidRPr="0045327F" w:rsidRDefault="00EB4202" w:rsidP="00EB4202">
      <w:pPr>
        <w:pStyle w:val="FootnoteBulletLevel2"/>
        <w:spacing w:before="0"/>
        <w:ind w:left="720" w:firstLine="0"/>
        <w:rPr>
          <w:rFonts w:ascii="Tahoma" w:hAnsi="Tahoma" w:cs="Tahoma"/>
          <w:sz w:val="18"/>
          <w:szCs w:val="18"/>
        </w:rPr>
      </w:pPr>
      <w:r w:rsidRPr="0045327F">
        <w:rPr>
          <w:rFonts w:ascii="Tahoma" w:eastAsia="Calibri" w:hAnsi="Tahoma" w:cs="Tahoma"/>
          <w:color w:val="000000"/>
          <w:sz w:val="18"/>
          <w:szCs w:val="18"/>
        </w:rPr>
        <w:t>Não obstante qualquer disposição contrária nos seus Direitos de Uso de Produto (PUR), as instituições que</w:t>
      </w:r>
      <w:r w:rsidR="0045327F">
        <w:rPr>
          <w:rFonts w:ascii="Tahoma" w:eastAsia="Calibri" w:hAnsi="Tahoma" w:cs="Tahoma"/>
          <w:color w:val="000000"/>
          <w:sz w:val="18"/>
          <w:szCs w:val="18"/>
        </w:rPr>
        <w:t> </w:t>
      </w:r>
      <w:r w:rsidRPr="0045327F">
        <w:rPr>
          <w:rFonts w:ascii="Tahoma" w:eastAsia="Calibri" w:hAnsi="Tahoma" w:cs="Tahoma"/>
          <w:color w:val="000000"/>
          <w:sz w:val="18"/>
          <w:szCs w:val="18"/>
        </w:rPr>
        <w:t>escolherem a Opção de Estudante poderão ter, no máximo, uma instância do Windows To Go por dispositivo de estudante licenciado.</w:t>
      </w:r>
      <w:r w:rsidR="00172F11" w:rsidRPr="0045327F">
        <w:rPr>
          <w:rFonts w:ascii="Tahoma" w:eastAsia="Calibri" w:hAnsi="Tahoma" w:cs="Tahoma"/>
          <w:color w:val="000000"/>
          <w:sz w:val="18"/>
          <w:szCs w:val="18"/>
        </w:rPr>
        <w:t xml:space="preserve"> </w:t>
      </w:r>
      <w:r w:rsidRPr="0045327F">
        <w:rPr>
          <w:rFonts w:ascii="Tahoma" w:eastAsia="Calibri" w:hAnsi="Tahoma" w:cs="Tahoma"/>
          <w:color w:val="000000"/>
          <w:sz w:val="18"/>
          <w:szCs w:val="18"/>
        </w:rPr>
        <w:t>As Instituições devem garantir que os estudantes que não estejam mais inscritos na instituição parem de usar o Windows To Go e devolvam os dispositivos USB com uma instância deste para a Instituição.</w:t>
      </w:r>
      <w:r w:rsidR="00172F11" w:rsidRPr="0045327F">
        <w:rPr>
          <w:rFonts w:ascii="Tahoma" w:eastAsia="Calibri" w:hAnsi="Tahoma" w:cs="Tahoma"/>
          <w:color w:val="000000"/>
          <w:sz w:val="18"/>
          <w:szCs w:val="18"/>
        </w:rPr>
        <w:t xml:space="preserve"> </w:t>
      </w:r>
      <w:r w:rsidRPr="0045327F">
        <w:rPr>
          <w:rFonts w:ascii="Tahoma" w:hAnsi="Tahoma" w:cs="Tahoma"/>
          <w:sz w:val="18"/>
          <w:szCs w:val="18"/>
        </w:rPr>
        <w:t>As Instituições que escolherem a Opção de Estudante não poderão instalar o</w:t>
      </w:r>
      <w:r w:rsidR="0002786F">
        <w:rPr>
          <w:rFonts w:ascii="Tahoma" w:hAnsi="Tahoma" w:cs="Tahoma"/>
          <w:sz w:val="18"/>
          <w:szCs w:val="18"/>
        </w:rPr>
        <w:t> </w:t>
      </w:r>
      <w:r w:rsidRPr="0045327F">
        <w:rPr>
          <w:rFonts w:ascii="Tahoma" w:hAnsi="Tahoma" w:cs="Tahoma"/>
          <w:sz w:val="18"/>
          <w:szCs w:val="18"/>
        </w:rPr>
        <w:t>Windows Enterprise em nenhum dispositivo pertencente a estudantes.</w:t>
      </w:r>
    </w:p>
    <w:p w:rsidR="00973A93" w:rsidRPr="004B208C" w:rsidRDefault="00973A93" w:rsidP="00AF3B19">
      <w:pPr>
        <w:rPr>
          <w:rFonts w:cs="Tahoma"/>
        </w:rPr>
      </w:pPr>
    </w:p>
    <w:p w:rsidR="00B73A46" w:rsidRPr="004B208C" w:rsidRDefault="00B73A46" w:rsidP="00F64DEA">
      <w:pPr>
        <w:pStyle w:val="FootnoteBulletLevel1"/>
        <w:tabs>
          <w:tab w:val="clear" w:pos="900"/>
        </w:tabs>
        <w:adjustRightInd/>
        <w:spacing w:before="0" w:after="60"/>
        <w:ind w:left="720" w:firstLine="0"/>
        <w:textAlignment w:val="auto"/>
        <w:rPr>
          <w:rFonts w:ascii="Tahoma" w:hAnsi="Tahoma" w:cs="Tahoma"/>
        </w:rPr>
      </w:pPr>
      <w:r w:rsidRPr="004B208C">
        <w:rPr>
          <w:rFonts w:ascii="Tahoma" w:hAnsi="Tahoma" w:cs="Tahoma"/>
          <w:b/>
          <w:bCs/>
          <w:sz w:val="18"/>
          <w:szCs w:val="18"/>
        </w:rPr>
        <w:t>Microsoft Windows XP Professional N (sem o Windows Media Player)</w:t>
      </w:r>
    </w:p>
    <w:p w:rsidR="00B73A46" w:rsidRPr="0045327F" w:rsidRDefault="00B73A46" w:rsidP="00F64DEA">
      <w:pPr>
        <w:pStyle w:val="FootnoteBulletLevel2"/>
        <w:tabs>
          <w:tab w:val="clear" w:pos="1260"/>
          <w:tab w:val="num" w:pos="900"/>
        </w:tabs>
        <w:spacing w:before="0"/>
        <w:ind w:left="720" w:firstLine="0"/>
        <w:rPr>
          <w:rFonts w:ascii="Tahoma" w:hAnsi="Tahoma" w:cs="Tahoma"/>
          <w:sz w:val="18"/>
          <w:szCs w:val="18"/>
        </w:rPr>
      </w:pPr>
      <w:r w:rsidRPr="0045327F">
        <w:rPr>
          <w:rFonts w:ascii="Tahoma" w:hAnsi="Tahoma" w:cs="Tahoma"/>
          <w:sz w:val="18"/>
          <w:szCs w:val="18"/>
          <w:u w:val="single"/>
        </w:rPr>
        <w:t>Qualificação</w:t>
      </w:r>
      <w:r w:rsidRPr="0045327F">
        <w:rPr>
          <w:rFonts w:ascii="Tahoma" w:hAnsi="Tahoma" w:cs="Tahoma"/>
          <w:sz w:val="18"/>
          <w:szCs w:val="18"/>
        </w:rPr>
        <w:br/>
        <w:t>Os clientes de Licenciamento por Volume que atenderem a todos os critérios a seguir estarão qualificados para adquirir a mídia do Microsoft Windows XP Professional N.</w:t>
      </w:r>
    </w:p>
    <w:p w:rsidR="00F64DEA" w:rsidRPr="0045327F" w:rsidRDefault="00F64DEA" w:rsidP="00F64DEA">
      <w:pPr>
        <w:pStyle w:val="FootnoteBulletLevel2"/>
        <w:tabs>
          <w:tab w:val="clear" w:pos="1260"/>
          <w:tab w:val="num" w:pos="900"/>
        </w:tabs>
        <w:spacing w:before="0"/>
        <w:ind w:left="720" w:firstLine="0"/>
        <w:rPr>
          <w:rFonts w:ascii="Tahoma" w:hAnsi="Tahoma" w:cs="Tahoma"/>
          <w:sz w:val="18"/>
          <w:szCs w:val="18"/>
        </w:rPr>
      </w:pPr>
    </w:p>
    <w:p w:rsidR="00B73A46" w:rsidRPr="0045327F" w:rsidRDefault="00B73A46" w:rsidP="00F64DEA">
      <w:pPr>
        <w:pStyle w:val="Footnotedash"/>
        <w:tabs>
          <w:tab w:val="clear" w:pos="1620"/>
          <w:tab w:val="num" w:pos="2160"/>
        </w:tabs>
        <w:spacing w:before="0" w:after="0"/>
        <w:ind w:left="720" w:firstLine="7"/>
        <w:rPr>
          <w:rFonts w:ascii="Tahoma" w:hAnsi="Tahoma" w:cs="Tahoma"/>
          <w:sz w:val="18"/>
          <w:szCs w:val="18"/>
        </w:rPr>
      </w:pPr>
      <w:r w:rsidRPr="0045327F">
        <w:rPr>
          <w:rFonts w:ascii="Tahoma" w:hAnsi="Tahoma" w:cs="Tahoma"/>
          <w:sz w:val="18"/>
          <w:szCs w:val="18"/>
        </w:rPr>
        <w:t xml:space="preserve">Eles deverão ter pelo menos um dos seguintes contratos ou registros ativos com a Microsoft Ireland Operations Ltd: </w:t>
      </w:r>
    </w:p>
    <w:p w:rsidR="00F64DEA" w:rsidRPr="0045327F" w:rsidRDefault="00F64DEA" w:rsidP="00F64DEA">
      <w:pPr>
        <w:pStyle w:val="Footnotedash"/>
        <w:tabs>
          <w:tab w:val="clear" w:pos="1620"/>
          <w:tab w:val="num" w:pos="2160"/>
        </w:tabs>
        <w:spacing w:before="0" w:after="0"/>
        <w:ind w:left="720" w:firstLine="7"/>
        <w:rPr>
          <w:rFonts w:ascii="Tahoma" w:hAnsi="Tahoma" w:cs="Tahoma"/>
          <w:sz w:val="18"/>
          <w:szCs w:val="18"/>
        </w:rPr>
      </w:pPr>
    </w:p>
    <w:p w:rsidR="00B73A46" w:rsidRPr="0045327F" w:rsidRDefault="00B73A46" w:rsidP="00A1385C">
      <w:pPr>
        <w:pStyle w:val="Footnotedash"/>
        <w:numPr>
          <w:ilvl w:val="0"/>
          <w:numId w:val="31"/>
        </w:numPr>
        <w:adjustRightInd/>
        <w:spacing w:before="0"/>
        <w:ind w:left="1440"/>
        <w:textAlignment w:val="auto"/>
        <w:rPr>
          <w:rFonts w:ascii="Tahoma" w:hAnsi="Tahoma" w:cs="Tahoma"/>
          <w:sz w:val="18"/>
          <w:szCs w:val="18"/>
        </w:rPr>
      </w:pPr>
      <w:r w:rsidRPr="0045327F">
        <w:rPr>
          <w:rFonts w:ascii="Tahoma" w:hAnsi="Tahoma" w:cs="Tahoma"/>
          <w:sz w:val="18"/>
          <w:szCs w:val="18"/>
        </w:rPr>
        <w:t>Select, Enterprise ou Registro Enterprise Subscription</w:t>
      </w:r>
    </w:p>
    <w:p w:rsidR="00B73A46" w:rsidRPr="0045327F" w:rsidRDefault="00B73A46" w:rsidP="00A1385C">
      <w:pPr>
        <w:pStyle w:val="Footnotedash"/>
        <w:numPr>
          <w:ilvl w:val="0"/>
          <w:numId w:val="31"/>
        </w:numPr>
        <w:adjustRightInd/>
        <w:spacing w:before="0"/>
        <w:ind w:left="1440"/>
        <w:textAlignment w:val="auto"/>
        <w:rPr>
          <w:rFonts w:ascii="Tahoma" w:hAnsi="Tahoma" w:cs="Tahoma"/>
          <w:sz w:val="18"/>
          <w:szCs w:val="18"/>
        </w:rPr>
      </w:pPr>
      <w:r w:rsidRPr="0045327F">
        <w:rPr>
          <w:rFonts w:ascii="Tahoma" w:hAnsi="Tahoma" w:cs="Tahoma"/>
          <w:sz w:val="18"/>
          <w:szCs w:val="18"/>
        </w:rPr>
        <w:t xml:space="preserve">Licença Open*, Open Value, Campus e School Agreement, Open Value Subscription – Education Solutions </w:t>
      </w:r>
    </w:p>
    <w:p w:rsidR="00B73A46" w:rsidRPr="0045327F" w:rsidRDefault="00B73A46" w:rsidP="00F64DEA">
      <w:pPr>
        <w:pStyle w:val="Footnotedash"/>
        <w:spacing w:before="0"/>
        <w:ind w:left="1440" w:firstLine="0"/>
        <w:rPr>
          <w:rFonts w:ascii="Tahoma" w:hAnsi="Tahoma" w:cs="Tahoma"/>
          <w:sz w:val="18"/>
          <w:szCs w:val="18"/>
        </w:rPr>
      </w:pPr>
      <w:r w:rsidRPr="0045327F">
        <w:rPr>
          <w:rFonts w:ascii="Tahoma" w:hAnsi="Tahoma" w:cs="Tahoma"/>
          <w:sz w:val="18"/>
          <w:szCs w:val="18"/>
        </w:rPr>
        <w:t>(*Para os fins da Licença Open, um “contrato ativo” é aquele associado a um Número de Autorização de Licença Open ativo.)</w:t>
      </w:r>
    </w:p>
    <w:p w:rsidR="00F64DEA" w:rsidRPr="0045327F" w:rsidRDefault="00F64DEA" w:rsidP="00F64DEA">
      <w:pPr>
        <w:pStyle w:val="Footnotedash"/>
        <w:spacing w:before="0" w:after="0"/>
        <w:ind w:left="1440" w:firstLine="0"/>
        <w:rPr>
          <w:rFonts w:ascii="Tahoma" w:hAnsi="Tahoma" w:cs="Tahoma"/>
          <w:sz w:val="18"/>
          <w:szCs w:val="18"/>
        </w:rPr>
      </w:pPr>
    </w:p>
    <w:p w:rsidR="00B73A46" w:rsidRPr="0045327F" w:rsidRDefault="00B73A46" w:rsidP="00F64DEA">
      <w:pPr>
        <w:pStyle w:val="Footnotedash"/>
        <w:tabs>
          <w:tab w:val="left" w:pos="1620"/>
        </w:tabs>
        <w:spacing w:before="0" w:after="0"/>
        <w:ind w:left="720" w:firstLine="7"/>
        <w:rPr>
          <w:rFonts w:ascii="Tahoma" w:hAnsi="Tahoma" w:cs="Tahoma"/>
          <w:sz w:val="18"/>
          <w:szCs w:val="18"/>
        </w:rPr>
      </w:pPr>
      <w:r w:rsidRPr="0045327F">
        <w:rPr>
          <w:rFonts w:ascii="Tahoma" w:hAnsi="Tahoma" w:cs="Tahoma"/>
          <w:sz w:val="18"/>
          <w:szCs w:val="18"/>
        </w:rPr>
        <w:t>Eles deverão ter o Software Assurance ativo para as licenças de Atualização do Sistema Operacional Windows Desktop ou Windows XP Professional adquiridas em ou depois de 2 de fevereiro de 2005.</w:t>
      </w:r>
    </w:p>
    <w:p w:rsidR="00F64DEA" w:rsidRPr="0045327F" w:rsidRDefault="00F64DEA" w:rsidP="00F64DEA">
      <w:pPr>
        <w:pStyle w:val="Footnotedash"/>
        <w:tabs>
          <w:tab w:val="left" w:pos="1620"/>
        </w:tabs>
        <w:spacing w:before="0" w:after="0"/>
        <w:ind w:left="720" w:firstLine="7"/>
        <w:rPr>
          <w:rFonts w:ascii="Tahoma" w:hAnsi="Tahoma" w:cs="Tahoma"/>
          <w:sz w:val="18"/>
          <w:szCs w:val="18"/>
        </w:rPr>
      </w:pPr>
    </w:p>
    <w:p w:rsidR="00766C40" w:rsidRPr="0045327F" w:rsidRDefault="00B73A46" w:rsidP="00F64DEA">
      <w:pPr>
        <w:pStyle w:val="Footnotedash"/>
        <w:tabs>
          <w:tab w:val="left" w:pos="1620"/>
        </w:tabs>
        <w:spacing w:before="0" w:after="0"/>
        <w:ind w:left="720" w:firstLine="7"/>
        <w:rPr>
          <w:rFonts w:ascii="Tahoma" w:hAnsi="Tahoma" w:cs="Tahoma"/>
          <w:sz w:val="18"/>
          <w:szCs w:val="18"/>
        </w:rPr>
      </w:pPr>
      <w:r w:rsidRPr="0045327F">
        <w:rPr>
          <w:rFonts w:ascii="Tahoma" w:hAnsi="Tahoma" w:cs="Tahoma"/>
          <w:sz w:val="18"/>
          <w:szCs w:val="18"/>
        </w:rPr>
        <w:t xml:space="preserve">Eles deverão estar situados a) em um dos países estabelecidos na União Europeia (UE), b) na Associação Europeia de Livre Comércio (EFTA), c) na Bulgária, Croácia, Romênia ou Suíça. </w:t>
      </w:r>
    </w:p>
    <w:p w:rsidR="00F64DEA" w:rsidRPr="004B208C" w:rsidRDefault="00F64DEA" w:rsidP="00F64DEA">
      <w:pPr>
        <w:pStyle w:val="FootnoteBulletLevel1"/>
        <w:tabs>
          <w:tab w:val="clear" w:pos="900"/>
        </w:tabs>
        <w:adjustRightInd/>
        <w:spacing w:before="0" w:after="0"/>
        <w:ind w:left="720" w:firstLine="0"/>
        <w:textAlignment w:val="auto"/>
        <w:rPr>
          <w:rFonts w:ascii="Tahoma" w:hAnsi="Tahoma" w:cs="Tahoma"/>
        </w:rPr>
      </w:pPr>
    </w:p>
    <w:p w:rsidR="00B73A46" w:rsidRPr="004B208C" w:rsidRDefault="00B73A46" w:rsidP="00F64DEA">
      <w:pPr>
        <w:pStyle w:val="FootnoteBulletLevel1"/>
        <w:tabs>
          <w:tab w:val="clear" w:pos="900"/>
        </w:tabs>
        <w:adjustRightInd/>
        <w:spacing w:before="0" w:after="60"/>
        <w:ind w:left="720" w:firstLine="0"/>
        <w:textAlignment w:val="auto"/>
        <w:rPr>
          <w:rFonts w:ascii="Tahoma" w:hAnsi="Tahoma" w:cs="Tahoma"/>
        </w:rPr>
      </w:pPr>
      <w:r w:rsidRPr="004B208C">
        <w:rPr>
          <w:rFonts w:ascii="Tahoma" w:hAnsi="Tahoma" w:cs="Tahoma"/>
          <w:b/>
          <w:bCs/>
          <w:sz w:val="18"/>
          <w:szCs w:val="18"/>
        </w:rPr>
        <w:lastRenderedPageBreak/>
        <w:t>Windows XP Professional</w:t>
      </w:r>
    </w:p>
    <w:p w:rsidR="00B73A46" w:rsidRPr="0045327F" w:rsidRDefault="00B73A46" w:rsidP="00F64DEA">
      <w:pPr>
        <w:pStyle w:val="FootnoteBulletLevel2"/>
        <w:spacing w:before="0"/>
        <w:ind w:left="720" w:firstLine="0"/>
        <w:rPr>
          <w:rFonts w:ascii="Tahoma" w:hAnsi="Tahoma" w:cs="Tahoma"/>
          <w:sz w:val="18"/>
          <w:szCs w:val="18"/>
        </w:rPr>
      </w:pPr>
      <w:r w:rsidRPr="0045327F">
        <w:rPr>
          <w:rFonts w:ascii="Tahoma" w:hAnsi="Tahoma" w:cs="Tahoma"/>
          <w:sz w:val="18"/>
          <w:szCs w:val="18"/>
        </w:rPr>
        <w:t>Restrições de uso do Windows XP Professional na Coreia:</w:t>
      </w:r>
    </w:p>
    <w:p w:rsidR="00B73A46" w:rsidRPr="0045327F" w:rsidRDefault="00B73A46" w:rsidP="00F64DEA">
      <w:pPr>
        <w:pStyle w:val="FootnoteBulletLevel2"/>
        <w:spacing w:before="0"/>
        <w:ind w:left="720" w:firstLine="0"/>
        <w:rPr>
          <w:rFonts w:ascii="Tahoma" w:hAnsi="Tahoma" w:cs="Tahoma"/>
          <w:sz w:val="18"/>
          <w:szCs w:val="18"/>
        </w:rPr>
      </w:pPr>
      <w:r w:rsidRPr="0045327F">
        <w:rPr>
          <w:rFonts w:ascii="Tahoma" w:hAnsi="Tahoma" w:cs="Tahoma"/>
          <w:sz w:val="18"/>
          <w:szCs w:val="18"/>
        </w:rPr>
        <w:t>Essas restrições também se aplicarão a qualquer uso do Windows XP Professional de acordo com os direitos de downgrade.</w:t>
      </w:r>
    </w:p>
    <w:p w:rsidR="00F64DEA" w:rsidRPr="0045327F" w:rsidRDefault="00F64DEA" w:rsidP="00F64DEA">
      <w:pPr>
        <w:pStyle w:val="FootnoteBulletLevel2"/>
        <w:spacing w:before="0"/>
        <w:ind w:left="720" w:firstLine="0"/>
        <w:rPr>
          <w:rFonts w:ascii="Tahoma" w:hAnsi="Tahoma" w:cs="Tahoma"/>
          <w:sz w:val="18"/>
          <w:szCs w:val="18"/>
        </w:rPr>
      </w:pPr>
    </w:p>
    <w:p w:rsidR="00B73A46" w:rsidRPr="0045327F" w:rsidRDefault="00B73A46" w:rsidP="00A1385C">
      <w:pPr>
        <w:pStyle w:val="Footnotedash"/>
        <w:numPr>
          <w:ilvl w:val="0"/>
          <w:numId w:val="31"/>
        </w:numPr>
        <w:adjustRightInd/>
        <w:spacing w:before="0"/>
        <w:ind w:left="1440"/>
        <w:textAlignment w:val="auto"/>
        <w:rPr>
          <w:rFonts w:ascii="Tahoma" w:hAnsi="Tahoma" w:cs="Tahoma"/>
          <w:sz w:val="18"/>
          <w:szCs w:val="18"/>
        </w:rPr>
      </w:pPr>
      <w:r w:rsidRPr="0045327F">
        <w:rPr>
          <w:rFonts w:ascii="Tahoma" w:hAnsi="Tahoma" w:cs="Tahoma"/>
          <w:sz w:val="18"/>
          <w:szCs w:val="18"/>
        </w:rPr>
        <w:t xml:space="preserve">A KFTC (Korean Fair Trade Commission) requer determinadas restrições sobre quando os clientes de Licenciamento por Volume e suas afiliadas poderão implantar a versão no idioma coreano do Windows XP Professional para uso na Coreia. </w:t>
      </w:r>
    </w:p>
    <w:p w:rsidR="00B73A46" w:rsidRPr="0045327F" w:rsidRDefault="00B73A46" w:rsidP="00A1385C">
      <w:pPr>
        <w:pStyle w:val="Footnotedash"/>
        <w:numPr>
          <w:ilvl w:val="0"/>
          <w:numId w:val="31"/>
        </w:numPr>
        <w:adjustRightInd/>
        <w:spacing w:before="0"/>
        <w:ind w:left="1440"/>
        <w:textAlignment w:val="auto"/>
        <w:rPr>
          <w:rFonts w:ascii="Tahoma" w:hAnsi="Tahoma" w:cs="Tahoma"/>
          <w:sz w:val="18"/>
          <w:szCs w:val="18"/>
        </w:rPr>
      </w:pPr>
      <w:r w:rsidRPr="0045327F">
        <w:rPr>
          <w:rFonts w:ascii="Tahoma" w:hAnsi="Tahoma" w:cs="Tahoma"/>
          <w:sz w:val="18"/>
          <w:szCs w:val="18"/>
        </w:rPr>
        <w:t xml:space="preserve">Essas restrições não se aplicarão às licenças que os clientes tiverem adquirido para a versão no idioma coreano do Windows XP Professional antes de 24 de agosto de 2006. </w:t>
      </w:r>
    </w:p>
    <w:p w:rsidR="00B73A46" w:rsidRPr="0045327F" w:rsidRDefault="00B73A46" w:rsidP="00A1385C">
      <w:pPr>
        <w:pStyle w:val="Footnotedash"/>
        <w:numPr>
          <w:ilvl w:val="0"/>
          <w:numId w:val="31"/>
        </w:numPr>
        <w:adjustRightInd/>
        <w:spacing w:before="0"/>
        <w:ind w:left="1440"/>
        <w:textAlignment w:val="auto"/>
        <w:rPr>
          <w:rFonts w:ascii="Tahoma" w:hAnsi="Tahoma" w:cs="Tahoma"/>
          <w:sz w:val="18"/>
          <w:szCs w:val="18"/>
        </w:rPr>
      </w:pPr>
      <w:r w:rsidRPr="0045327F">
        <w:rPr>
          <w:rFonts w:ascii="Tahoma" w:hAnsi="Tahoma" w:cs="Tahoma"/>
          <w:sz w:val="18"/>
          <w:szCs w:val="18"/>
        </w:rPr>
        <w:t>Essas restrições também não se aplicarão aos clientes multinacionais com sede fora da Coreia que utilizarem uma única imagem do software.</w:t>
      </w:r>
    </w:p>
    <w:p w:rsidR="00B73A46" w:rsidRPr="0045327F" w:rsidRDefault="00B73A46" w:rsidP="00A1385C">
      <w:pPr>
        <w:pStyle w:val="Footnotedash"/>
        <w:numPr>
          <w:ilvl w:val="0"/>
          <w:numId w:val="31"/>
        </w:numPr>
        <w:adjustRightInd/>
        <w:spacing w:before="0"/>
        <w:ind w:left="1440"/>
        <w:textAlignment w:val="auto"/>
        <w:rPr>
          <w:rFonts w:ascii="Tahoma" w:hAnsi="Tahoma" w:cs="Tahoma"/>
          <w:sz w:val="18"/>
          <w:szCs w:val="18"/>
        </w:rPr>
      </w:pPr>
      <w:r w:rsidRPr="0045327F">
        <w:rPr>
          <w:rFonts w:ascii="Tahoma" w:hAnsi="Tahoma" w:cs="Tahoma"/>
          <w:sz w:val="18"/>
          <w:szCs w:val="18"/>
        </w:rPr>
        <w:t>Essas restrições não se aplicarão aos clientes sob contratos vigentes em 23 de agosto de 2006 ou antes disso que, em circunstâncias excepcionais, utilizarem uma única imagem do software continuamente.</w:t>
      </w:r>
    </w:p>
    <w:p w:rsidR="00B73A46" w:rsidRPr="0045327F" w:rsidRDefault="00B73A46" w:rsidP="00A1385C">
      <w:pPr>
        <w:pStyle w:val="Footnotedash"/>
        <w:numPr>
          <w:ilvl w:val="0"/>
          <w:numId w:val="31"/>
        </w:numPr>
        <w:adjustRightInd/>
        <w:spacing w:before="0"/>
        <w:ind w:left="1440"/>
        <w:textAlignment w:val="auto"/>
        <w:rPr>
          <w:rFonts w:ascii="Tahoma" w:hAnsi="Tahoma" w:cs="Tahoma"/>
          <w:sz w:val="18"/>
          <w:szCs w:val="18"/>
        </w:rPr>
      </w:pPr>
      <w:r w:rsidRPr="0045327F">
        <w:rPr>
          <w:rFonts w:ascii="Tahoma" w:hAnsi="Tahoma" w:cs="Tahoma"/>
          <w:sz w:val="18"/>
          <w:szCs w:val="18"/>
        </w:rPr>
        <w:t xml:space="preserve">A KFTC não impôs restrições ao uso de versões de idiomas que não sejam o coreano. </w:t>
      </w:r>
    </w:p>
    <w:p w:rsidR="00B73A46" w:rsidRPr="0045327F" w:rsidRDefault="00B73A46" w:rsidP="00A1385C">
      <w:pPr>
        <w:pStyle w:val="Footnotedash"/>
        <w:numPr>
          <w:ilvl w:val="0"/>
          <w:numId w:val="31"/>
        </w:numPr>
        <w:adjustRightInd/>
        <w:spacing w:before="0"/>
        <w:ind w:left="1440"/>
        <w:textAlignment w:val="auto"/>
        <w:rPr>
          <w:rFonts w:ascii="Tahoma" w:hAnsi="Tahoma" w:cs="Tahoma"/>
          <w:sz w:val="18"/>
          <w:szCs w:val="18"/>
        </w:rPr>
      </w:pPr>
      <w:r w:rsidRPr="0045327F">
        <w:rPr>
          <w:rFonts w:ascii="Tahoma" w:hAnsi="Tahoma" w:cs="Tahoma"/>
          <w:sz w:val="18"/>
          <w:szCs w:val="18"/>
        </w:rPr>
        <w:t>A KFTC não impôs restrições a edições Tablet PC ou de 64 bits em qualquer versão de idioma.</w:t>
      </w:r>
    </w:p>
    <w:p w:rsidR="00F64DEA" w:rsidRPr="0045327F"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rsidR="00B73A46" w:rsidRPr="0045327F" w:rsidRDefault="00B73A46" w:rsidP="00F64DEA">
      <w:pPr>
        <w:pStyle w:val="FootnoteBulletLevel2"/>
        <w:spacing w:before="0"/>
        <w:ind w:left="720" w:hanging="7"/>
        <w:rPr>
          <w:rFonts w:ascii="Tahoma" w:hAnsi="Tahoma" w:cs="Tahoma"/>
          <w:sz w:val="18"/>
          <w:szCs w:val="18"/>
        </w:rPr>
      </w:pPr>
      <w:r w:rsidRPr="0045327F">
        <w:rPr>
          <w:rFonts w:ascii="Tahoma" w:hAnsi="Tahoma" w:cs="Tahoma"/>
          <w:sz w:val="18"/>
          <w:szCs w:val="18"/>
          <w:u w:val="single"/>
        </w:rPr>
        <w:t>Restrições</w:t>
      </w:r>
      <w:r w:rsidRPr="00F240D9">
        <w:rPr>
          <w:rFonts w:ascii="Tahoma" w:hAnsi="Tahoma" w:cs="Tahoma"/>
          <w:sz w:val="18"/>
          <w:szCs w:val="18"/>
        </w:rPr>
        <w:t>:</w:t>
      </w:r>
    </w:p>
    <w:p w:rsidR="00B73A46" w:rsidRPr="0045327F" w:rsidRDefault="00B73A46" w:rsidP="00F64DEA">
      <w:pPr>
        <w:pStyle w:val="FootnoteBulletLevel2"/>
        <w:spacing w:before="0"/>
        <w:ind w:left="720" w:hanging="7"/>
        <w:rPr>
          <w:rFonts w:ascii="Tahoma" w:hAnsi="Tahoma" w:cs="Tahoma"/>
          <w:sz w:val="18"/>
          <w:szCs w:val="18"/>
        </w:rPr>
      </w:pPr>
      <w:r w:rsidRPr="0045327F">
        <w:rPr>
          <w:rFonts w:ascii="Tahoma" w:hAnsi="Tahoma" w:cs="Tahoma"/>
          <w:sz w:val="18"/>
          <w:szCs w:val="18"/>
        </w:rPr>
        <w:t>A partir de 24 de agosto de 2006, os clientes de Licenciamento por Volume na Coreia que não se encaixarem nos critérios de exceção e desejarem usar versões no idioma coreano precisarão implantar o</w:t>
      </w:r>
      <w:r w:rsidR="00F240D9">
        <w:rPr>
          <w:rFonts w:ascii="Tahoma" w:hAnsi="Tahoma" w:cs="Tahoma"/>
          <w:sz w:val="18"/>
          <w:szCs w:val="18"/>
        </w:rPr>
        <w:t> </w:t>
      </w:r>
      <w:r w:rsidRPr="0045327F">
        <w:rPr>
          <w:rFonts w:ascii="Tahoma" w:hAnsi="Tahoma" w:cs="Tahoma"/>
          <w:sz w:val="18"/>
          <w:szCs w:val="18"/>
        </w:rPr>
        <w:t>Windows XP Professional K ou o Windows XP Professional KN.</w:t>
      </w:r>
    </w:p>
    <w:p w:rsidR="00676723" w:rsidRPr="004B208C" w:rsidRDefault="00676723">
      <w:pPr>
        <w:rPr>
          <w:rFonts w:cs="Tahoma"/>
        </w:rPr>
      </w:pPr>
    </w:p>
    <w:p w:rsidR="00B73A46" w:rsidRPr="004B208C" w:rsidRDefault="00B73A46" w:rsidP="00F64DEA">
      <w:pPr>
        <w:pStyle w:val="FootnoteBulletLevel1"/>
        <w:tabs>
          <w:tab w:val="clear" w:pos="900"/>
        </w:tabs>
        <w:adjustRightInd/>
        <w:spacing w:before="0" w:after="60"/>
        <w:ind w:left="720" w:firstLine="0"/>
        <w:textAlignment w:val="auto"/>
        <w:rPr>
          <w:rFonts w:ascii="Tahoma" w:hAnsi="Tahoma" w:cs="Tahoma"/>
        </w:rPr>
      </w:pPr>
      <w:r w:rsidRPr="004B208C">
        <w:rPr>
          <w:rFonts w:ascii="Tahoma" w:hAnsi="Tahoma" w:cs="Tahoma"/>
          <w:b/>
          <w:bCs/>
          <w:sz w:val="18"/>
          <w:szCs w:val="18"/>
        </w:rPr>
        <w:t>Windows XP Professional K e KN</w:t>
      </w:r>
    </w:p>
    <w:p w:rsidR="00B73A46" w:rsidRPr="00F240D9" w:rsidRDefault="00B73A46" w:rsidP="00F64DEA">
      <w:pPr>
        <w:pStyle w:val="FootnoteBulletLevel2"/>
        <w:spacing w:before="0"/>
        <w:ind w:left="720" w:hanging="7"/>
        <w:rPr>
          <w:rFonts w:ascii="Tahoma" w:hAnsi="Tahoma" w:cs="Tahoma"/>
          <w:sz w:val="18"/>
          <w:szCs w:val="18"/>
        </w:rPr>
      </w:pPr>
      <w:r w:rsidRPr="00F240D9">
        <w:rPr>
          <w:rFonts w:ascii="Tahoma" w:hAnsi="Tahoma" w:cs="Tahoma"/>
          <w:sz w:val="18"/>
          <w:szCs w:val="18"/>
        </w:rPr>
        <w:t>Os clientes de Licenciamento por Volume e suas afiliadas poderão implantar o Windows XP Professional K ou</w:t>
      </w:r>
      <w:r w:rsidR="00F240D9" w:rsidRPr="00F240D9">
        <w:rPr>
          <w:rFonts w:ascii="Tahoma" w:hAnsi="Tahoma" w:cs="Tahoma"/>
          <w:sz w:val="18"/>
          <w:szCs w:val="18"/>
        </w:rPr>
        <w:t> </w:t>
      </w:r>
      <w:r w:rsidRPr="00F240D9">
        <w:rPr>
          <w:rFonts w:ascii="Tahoma" w:hAnsi="Tahoma" w:cs="Tahoma"/>
          <w:sz w:val="18"/>
          <w:szCs w:val="18"/>
        </w:rPr>
        <w:t xml:space="preserve">KN para uso somente na Coreia. </w:t>
      </w:r>
    </w:p>
    <w:p w:rsidR="00F64DEA" w:rsidRPr="00F240D9" w:rsidRDefault="00F64DEA" w:rsidP="00F64DEA">
      <w:pPr>
        <w:pStyle w:val="FootnoteBulletLevel2"/>
        <w:spacing w:before="0"/>
        <w:ind w:left="720" w:hanging="7"/>
        <w:rPr>
          <w:rFonts w:ascii="Tahoma" w:hAnsi="Tahoma" w:cs="Tahoma"/>
          <w:sz w:val="18"/>
          <w:szCs w:val="18"/>
        </w:rPr>
      </w:pPr>
    </w:p>
    <w:p w:rsidR="00B73A46" w:rsidRPr="00F240D9"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F240D9">
        <w:rPr>
          <w:rFonts w:ascii="Tahoma" w:hAnsi="Tahoma" w:cs="Tahoma"/>
          <w:b/>
          <w:bCs/>
          <w:sz w:val="18"/>
          <w:szCs w:val="18"/>
        </w:rPr>
        <w:t>Windows Vista Business KN</w:t>
      </w:r>
    </w:p>
    <w:p w:rsidR="00B73A46" w:rsidRPr="00F240D9" w:rsidRDefault="00B73A46" w:rsidP="00F64DEA">
      <w:pPr>
        <w:pStyle w:val="FootnoteBulletLevel2"/>
        <w:spacing w:before="0"/>
        <w:ind w:left="720" w:hanging="7"/>
        <w:rPr>
          <w:rFonts w:ascii="Tahoma" w:hAnsi="Tahoma" w:cs="Tahoma"/>
          <w:sz w:val="18"/>
          <w:szCs w:val="18"/>
        </w:rPr>
      </w:pPr>
      <w:r w:rsidRPr="00F240D9">
        <w:rPr>
          <w:rFonts w:ascii="Tahoma" w:hAnsi="Tahoma" w:cs="Tahoma"/>
          <w:sz w:val="18"/>
          <w:szCs w:val="18"/>
          <w:u w:val="single"/>
        </w:rPr>
        <w:t>Qualificação</w:t>
      </w:r>
      <w:r w:rsidRPr="00F240D9">
        <w:rPr>
          <w:rFonts w:ascii="Tahoma" w:hAnsi="Tahoma" w:cs="Tahoma"/>
          <w:sz w:val="18"/>
          <w:szCs w:val="18"/>
        </w:rPr>
        <w:t>:</w:t>
      </w:r>
      <w:r w:rsidRPr="00F240D9">
        <w:rPr>
          <w:rFonts w:ascii="Tahoma" w:hAnsi="Tahoma" w:cs="Tahoma"/>
          <w:sz w:val="18"/>
          <w:szCs w:val="18"/>
        </w:rPr>
        <w:br/>
        <w:t>Os clientes de Licenciamento por Volume situados na Coreia que tiverem um contrato ou registro do Licenciamento por Volume ativo com a Microsoft Operations Pte Ltd estarão qualificados para adquirir a</w:t>
      </w:r>
      <w:r w:rsidR="0002786F">
        <w:rPr>
          <w:rFonts w:ascii="Tahoma" w:hAnsi="Tahoma" w:cs="Tahoma"/>
          <w:sz w:val="18"/>
          <w:szCs w:val="18"/>
        </w:rPr>
        <w:t> </w:t>
      </w:r>
      <w:r w:rsidRPr="00F240D9">
        <w:rPr>
          <w:rFonts w:ascii="Tahoma" w:hAnsi="Tahoma" w:cs="Tahoma"/>
          <w:sz w:val="18"/>
          <w:szCs w:val="18"/>
        </w:rPr>
        <w:t>mídia do Windows Vista Business KN para implantação e uso na Coreia. Nenhum outro uso é permitido.</w:t>
      </w:r>
    </w:p>
    <w:p w:rsidR="00F64DEA" w:rsidRPr="00F240D9" w:rsidRDefault="00F64DEA" w:rsidP="00F64DEA">
      <w:pPr>
        <w:pStyle w:val="FootnoteBulletLevel2"/>
        <w:spacing w:before="0"/>
        <w:ind w:left="720" w:hanging="7"/>
        <w:rPr>
          <w:rFonts w:ascii="Tahoma" w:hAnsi="Tahoma" w:cs="Tahoma"/>
          <w:sz w:val="18"/>
          <w:szCs w:val="18"/>
        </w:rPr>
      </w:pPr>
    </w:p>
    <w:p w:rsidR="00B73A46" w:rsidRPr="00F240D9"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F240D9">
        <w:rPr>
          <w:rFonts w:ascii="Tahoma" w:hAnsi="Tahoma" w:cs="Tahoma"/>
          <w:b/>
          <w:bCs/>
          <w:sz w:val="18"/>
          <w:szCs w:val="18"/>
        </w:rPr>
        <w:t>Windows 7 Professional KN</w:t>
      </w:r>
    </w:p>
    <w:p w:rsidR="00B47893" w:rsidRPr="00F240D9" w:rsidRDefault="00B73A46" w:rsidP="00F64DEA">
      <w:pPr>
        <w:pStyle w:val="FootnoteBulletLevel2"/>
        <w:spacing w:before="0"/>
        <w:ind w:left="720" w:hanging="7"/>
        <w:rPr>
          <w:rFonts w:ascii="Tahoma" w:hAnsi="Tahoma" w:cs="Tahoma"/>
          <w:sz w:val="18"/>
          <w:szCs w:val="18"/>
        </w:rPr>
      </w:pPr>
      <w:r w:rsidRPr="00F240D9">
        <w:rPr>
          <w:rFonts w:ascii="Tahoma" w:hAnsi="Tahoma" w:cs="Tahoma"/>
          <w:sz w:val="18"/>
          <w:szCs w:val="18"/>
          <w:u w:val="single"/>
        </w:rPr>
        <w:t>Qualificação</w:t>
      </w:r>
      <w:r w:rsidRPr="00F240D9">
        <w:rPr>
          <w:rFonts w:ascii="Tahoma" w:hAnsi="Tahoma" w:cs="Tahoma"/>
          <w:sz w:val="18"/>
          <w:szCs w:val="18"/>
        </w:rPr>
        <w:t>:</w:t>
      </w:r>
      <w:r w:rsidRPr="00F240D9">
        <w:rPr>
          <w:rFonts w:ascii="Tahoma" w:hAnsi="Tahoma" w:cs="Tahoma"/>
          <w:sz w:val="18"/>
          <w:szCs w:val="18"/>
        </w:rPr>
        <w:br/>
        <w:t>Os clientes de Licenciamento por Volume situados na Coreia que tiverem um contrato ou registro do Licenciamento por Volume ativo com a Microsoft Operations Pte Ltd estarão qualificados para adquirir a</w:t>
      </w:r>
      <w:r w:rsidR="00F240D9">
        <w:rPr>
          <w:rFonts w:ascii="Tahoma" w:hAnsi="Tahoma" w:cs="Tahoma"/>
          <w:sz w:val="18"/>
          <w:szCs w:val="18"/>
        </w:rPr>
        <w:t> </w:t>
      </w:r>
      <w:r w:rsidRPr="00F240D9">
        <w:rPr>
          <w:rFonts w:ascii="Tahoma" w:hAnsi="Tahoma" w:cs="Tahoma"/>
          <w:sz w:val="18"/>
          <w:szCs w:val="18"/>
        </w:rPr>
        <w:t>mídia do Windows 7 Professional KN para implantação e uso na Coreia. Nenhum outro uso é permitido.</w:t>
      </w:r>
    </w:p>
    <w:p w:rsidR="00F64DEA" w:rsidRPr="00F240D9" w:rsidRDefault="00F64DEA" w:rsidP="00F64DEA">
      <w:pPr>
        <w:pStyle w:val="FootnoteBulletLevel2"/>
        <w:spacing w:before="0"/>
        <w:ind w:left="720" w:hanging="7"/>
        <w:rPr>
          <w:rFonts w:ascii="Tahoma" w:hAnsi="Tahoma" w:cs="Tahoma"/>
          <w:sz w:val="18"/>
          <w:szCs w:val="18"/>
        </w:rPr>
      </w:pPr>
    </w:p>
    <w:p w:rsidR="00B73A46" w:rsidRPr="00F240D9"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F240D9">
        <w:rPr>
          <w:rFonts w:ascii="Tahoma" w:hAnsi="Tahoma" w:cs="Tahoma"/>
          <w:b/>
          <w:bCs/>
          <w:sz w:val="18"/>
          <w:szCs w:val="18"/>
        </w:rPr>
        <w:t>Windows Vista Business N (sem o Windows Media Player)</w:t>
      </w:r>
    </w:p>
    <w:p w:rsidR="00B73A46" w:rsidRPr="00F240D9" w:rsidRDefault="00B73A46" w:rsidP="00F64DEA">
      <w:pPr>
        <w:pStyle w:val="FootnoteBulletLevel2"/>
        <w:spacing w:before="0"/>
        <w:ind w:left="720" w:hanging="7"/>
        <w:rPr>
          <w:rFonts w:ascii="Tahoma" w:hAnsi="Tahoma" w:cs="Tahoma"/>
          <w:sz w:val="18"/>
          <w:szCs w:val="18"/>
        </w:rPr>
      </w:pPr>
      <w:r w:rsidRPr="00F240D9">
        <w:rPr>
          <w:rFonts w:ascii="Tahoma" w:hAnsi="Tahoma" w:cs="Tahoma"/>
          <w:sz w:val="18"/>
          <w:szCs w:val="18"/>
          <w:u w:val="single"/>
        </w:rPr>
        <w:t>Qualificação</w:t>
      </w:r>
      <w:r w:rsidRPr="00F240D9">
        <w:rPr>
          <w:rFonts w:ascii="Tahoma" w:hAnsi="Tahoma" w:cs="Tahoma"/>
          <w:sz w:val="18"/>
          <w:szCs w:val="18"/>
        </w:rPr>
        <w:t>:</w:t>
      </w:r>
      <w:r w:rsidRPr="00F240D9">
        <w:rPr>
          <w:rFonts w:ascii="Tahoma" w:hAnsi="Tahoma" w:cs="Tahoma"/>
          <w:sz w:val="18"/>
          <w:szCs w:val="18"/>
        </w:rPr>
        <w:br/>
        <w:t>Os clientes de Licenciamento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rsidR="00F64DEA" w:rsidRPr="00F240D9" w:rsidRDefault="00F64DEA" w:rsidP="00F64DEA">
      <w:pPr>
        <w:pStyle w:val="FootnoteBulletLevel2"/>
        <w:spacing w:before="0"/>
        <w:ind w:left="720" w:hanging="7"/>
        <w:rPr>
          <w:rFonts w:ascii="Tahoma" w:hAnsi="Tahoma" w:cs="Tahoma"/>
          <w:sz w:val="18"/>
          <w:szCs w:val="18"/>
        </w:rPr>
      </w:pPr>
    </w:p>
    <w:p w:rsidR="00B73A46" w:rsidRPr="00F240D9" w:rsidRDefault="00B73A46" w:rsidP="00F64DEA">
      <w:pPr>
        <w:pStyle w:val="Footnotedash"/>
        <w:spacing w:before="0" w:after="0"/>
        <w:ind w:left="720" w:hanging="7"/>
        <w:rPr>
          <w:rFonts w:ascii="Tahoma" w:hAnsi="Tahoma" w:cs="Tahoma"/>
          <w:sz w:val="18"/>
          <w:szCs w:val="18"/>
        </w:rPr>
      </w:pPr>
      <w:r w:rsidRPr="00F240D9">
        <w:rPr>
          <w:rFonts w:ascii="Tahoma" w:hAnsi="Tahoma" w:cs="Tahoma"/>
          <w:sz w:val="18"/>
          <w:szCs w:val="18"/>
        </w:rPr>
        <w:t xml:space="preserve">Eles deverão ter pelo menos um dos seguintes contratos ou registros ativos com a Microsoft Ireland Operations Ltd: </w:t>
      </w:r>
    </w:p>
    <w:p w:rsidR="00F64DEA" w:rsidRPr="00F240D9" w:rsidRDefault="00F64DEA" w:rsidP="00F64DEA">
      <w:pPr>
        <w:pStyle w:val="Footnotedash"/>
        <w:spacing w:before="0" w:after="0"/>
        <w:ind w:left="720" w:hanging="7"/>
        <w:rPr>
          <w:rFonts w:ascii="Tahoma" w:hAnsi="Tahoma" w:cs="Tahoma"/>
          <w:sz w:val="18"/>
          <w:szCs w:val="18"/>
        </w:rPr>
      </w:pPr>
    </w:p>
    <w:p w:rsidR="00B73A46" w:rsidRPr="00F240D9" w:rsidRDefault="00B73A46" w:rsidP="00A1385C">
      <w:pPr>
        <w:pStyle w:val="Footnotedash"/>
        <w:numPr>
          <w:ilvl w:val="0"/>
          <w:numId w:val="31"/>
        </w:numPr>
        <w:adjustRightInd/>
        <w:spacing w:before="0"/>
        <w:ind w:left="1440"/>
        <w:textAlignment w:val="auto"/>
        <w:rPr>
          <w:rFonts w:ascii="Tahoma" w:hAnsi="Tahoma" w:cs="Tahoma"/>
          <w:sz w:val="18"/>
          <w:szCs w:val="18"/>
        </w:rPr>
      </w:pPr>
      <w:r w:rsidRPr="00F240D9">
        <w:rPr>
          <w:rFonts w:ascii="Tahoma" w:hAnsi="Tahoma" w:cs="Tahoma"/>
          <w:sz w:val="18"/>
          <w:szCs w:val="18"/>
        </w:rPr>
        <w:t>Select, Enterprise ou Registro Enterprise Subscription</w:t>
      </w:r>
    </w:p>
    <w:p w:rsidR="00B73A46" w:rsidRPr="00F240D9" w:rsidRDefault="00B73A46" w:rsidP="00A1385C">
      <w:pPr>
        <w:pStyle w:val="Footnotedash"/>
        <w:numPr>
          <w:ilvl w:val="0"/>
          <w:numId w:val="31"/>
        </w:numPr>
        <w:adjustRightInd/>
        <w:spacing w:before="0"/>
        <w:ind w:left="1440"/>
        <w:textAlignment w:val="auto"/>
        <w:rPr>
          <w:rFonts w:ascii="Tahoma" w:hAnsi="Tahoma" w:cs="Tahoma"/>
          <w:sz w:val="18"/>
          <w:szCs w:val="18"/>
        </w:rPr>
      </w:pPr>
      <w:r w:rsidRPr="00F240D9">
        <w:rPr>
          <w:rFonts w:ascii="Tahoma" w:hAnsi="Tahoma" w:cs="Tahoma"/>
          <w:sz w:val="18"/>
          <w:szCs w:val="18"/>
        </w:rPr>
        <w:t xml:space="preserve">Licença Open*, Open Value, Campus e School Agreement, Open Value Subscription – Education Solutions </w:t>
      </w:r>
    </w:p>
    <w:p w:rsidR="00B73A46" w:rsidRPr="00F240D9" w:rsidRDefault="00B73A46" w:rsidP="00F64DEA">
      <w:pPr>
        <w:pStyle w:val="Footnotedash"/>
        <w:tabs>
          <w:tab w:val="clear" w:pos="1620"/>
        </w:tabs>
        <w:adjustRightInd/>
        <w:spacing w:before="0"/>
        <w:ind w:left="1440" w:firstLine="0"/>
        <w:textAlignment w:val="auto"/>
        <w:rPr>
          <w:rFonts w:ascii="Tahoma" w:hAnsi="Tahoma" w:cs="Tahoma"/>
          <w:sz w:val="18"/>
          <w:szCs w:val="18"/>
        </w:rPr>
      </w:pPr>
      <w:r w:rsidRPr="00F240D9">
        <w:rPr>
          <w:rFonts w:ascii="Tahoma" w:hAnsi="Tahoma" w:cs="Tahoma"/>
          <w:sz w:val="18"/>
          <w:szCs w:val="18"/>
        </w:rPr>
        <w:t>(*Para os fins da Licença Open, um “contrato ativo” é aquele associado a um Número de Autorização de Licença Open ativo.)</w:t>
      </w:r>
    </w:p>
    <w:p w:rsidR="00F64DEA" w:rsidRPr="00F240D9" w:rsidRDefault="00F64DEA" w:rsidP="00AF3B19">
      <w:pPr>
        <w:pStyle w:val="Footnotedash"/>
        <w:tabs>
          <w:tab w:val="clear" w:pos="1620"/>
        </w:tabs>
        <w:adjustRightInd/>
        <w:spacing w:before="0" w:after="0"/>
        <w:ind w:left="0" w:firstLine="0"/>
        <w:textAlignment w:val="auto"/>
        <w:rPr>
          <w:rFonts w:ascii="Tahoma" w:hAnsi="Tahoma" w:cs="Tahoma"/>
          <w:sz w:val="18"/>
          <w:szCs w:val="18"/>
        </w:rPr>
      </w:pPr>
    </w:p>
    <w:p w:rsidR="00B73A46" w:rsidRPr="00F240D9" w:rsidRDefault="00B73A46" w:rsidP="00F64DEA">
      <w:pPr>
        <w:pStyle w:val="Footnotedash"/>
        <w:spacing w:before="0" w:after="0"/>
        <w:ind w:left="720" w:hanging="7"/>
        <w:rPr>
          <w:rFonts w:ascii="Tahoma" w:hAnsi="Tahoma" w:cs="Tahoma"/>
          <w:sz w:val="18"/>
          <w:szCs w:val="18"/>
        </w:rPr>
      </w:pPr>
      <w:r w:rsidRPr="00F240D9">
        <w:rPr>
          <w:rFonts w:ascii="Tahoma" w:hAnsi="Tahoma" w:cs="Tahoma"/>
          <w:sz w:val="18"/>
          <w:szCs w:val="18"/>
        </w:rPr>
        <w:lastRenderedPageBreak/>
        <w:t>Eles deverão ter o Software Assurance ativo para as licenças de Atualização do Sistema Operacional Windows Desktop ou Windows Vista Business.</w:t>
      </w:r>
    </w:p>
    <w:p w:rsidR="00F64DEA" w:rsidRPr="00F240D9" w:rsidRDefault="00F64DEA" w:rsidP="00F64DEA">
      <w:pPr>
        <w:pStyle w:val="Footnotedash"/>
        <w:spacing w:before="0" w:after="0"/>
        <w:ind w:left="720" w:hanging="7"/>
        <w:rPr>
          <w:rFonts w:ascii="Tahoma" w:hAnsi="Tahoma" w:cs="Tahoma"/>
          <w:sz w:val="18"/>
          <w:szCs w:val="18"/>
        </w:rPr>
      </w:pPr>
    </w:p>
    <w:p w:rsidR="00B73A46" w:rsidRPr="00F240D9" w:rsidRDefault="00B73A46" w:rsidP="00F64DEA">
      <w:pPr>
        <w:pStyle w:val="Footnotedash"/>
        <w:spacing w:before="0" w:after="0"/>
        <w:ind w:left="720" w:hanging="7"/>
        <w:rPr>
          <w:rFonts w:ascii="Tahoma" w:hAnsi="Tahoma" w:cs="Tahoma"/>
          <w:sz w:val="18"/>
          <w:szCs w:val="18"/>
        </w:rPr>
      </w:pPr>
      <w:r w:rsidRPr="00F240D9">
        <w:rPr>
          <w:rFonts w:ascii="Tahoma" w:hAnsi="Tahoma" w:cs="Tahoma"/>
          <w:sz w:val="18"/>
          <w:szCs w:val="18"/>
        </w:rPr>
        <w:t xml:space="preserve">Eles deverão estar situados em um dos países estabelecidos na União Europeia (UE), na Associação Europeia de Livre Comércio (EFTA), na Bulgária, Croácia, Romênia ou Suíça. </w:t>
      </w:r>
    </w:p>
    <w:p w:rsidR="00EB3E62" w:rsidRPr="00F240D9" w:rsidRDefault="00EB3E62" w:rsidP="00F64DEA">
      <w:pPr>
        <w:pStyle w:val="Footnotedash"/>
        <w:spacing w:before="0" w:after="0"/>
        <w:ind w:left="720" w:hanging="7"/>
        <w:rPr>
          <w:rFonts w:ascii="Tahoma" w:hAnsi="Tahoma" w:cs="Tahoma"/>
          <w:sz w:val="18"/>
          <w:szCs w:val="18"/>
        </w:rPr>
      </w:pPr>
    </w:p>
    <w:p w:rsidR="00B73A46" w:rsidRPr="00F240D9"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F240D9">
        <w:rPr>
          <w:rFonts w:ascii="Tahoma" w:hAnsi="Tahoma" w:cs="Tahoma"/>
          <w:b/>
          <w:bCs/>
          <w:sz w:val="18"/>
          <w:szCs w:val="18"/>
        </w:rPr>
        <w:t>Windows 7 Professional N (sem o Windows Media Player)</w:t>
      </w:r>
    </w:p>
    <w:p w:rsidR="00B73A46" w:rsidRPr="00F240D9" w:rsidRDefault="00B73A46" w:rsidP="00EB3E62">
      <w:pPr>
        <w:pStyle w:val="FootnoteBulletLevel2"/>
        <w:spacing w:before="0"/>
        <w:ind w:left="720" w:firstLine="0"/>
        <w:rPr>
          <w:rFonts w:ascii="Tahoma" w:hAnsi="Tahoma" w:cs="Tahoma"/>
          <w:sz w:val="18"/>
          <w:szCs w:val="18"/>
        </w:rPr>
      </w:pPr>
      <w:r w:rsidRPr="00F240D9">
        <w:rPr>
          <w:rFonts w:ascii="Tahoma" w:hAnsi="Tahoma" w:cs="Tahoma"/>
          <w:sz w:val="18"/>
          <w:szCs w:val="18"/>
          <w:u w:val="single"/>
        </w:rPr>
        <w:t>Qualificação</w:t>
      </w:r>
      <w:r w:rsidRPr="00F240D9">
        <w:rPr>
          <w:rFonts w:ascii="Tahoma" w:hAnsi="Tahoma" w:cs="Tahoma"/>
          <w:sz w:val="18"/>
          <w:szCs w:val="18"/>
        </w:rPr>
        <w:t>:</w:t>
      </w:r>
      <w:r w:rsidRPr="00F240D9">
        <w:rPr>
          <w:rFonts w:ascii="Tahoma" w:hAnsi="Tahoma" w:cs="Tahoma"/>
          <w:sz w:val="18"/>
          <w:szCs w:val="18"/>
        </w:rPr>
        <w:br/>
        <w:t>Os clientes de Licenciamento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rsidR="00B73A46" w:rsidRPr="00F240D9" w:rsidRDefault="00B73A46" w:rsidP="00EB3E62">
      <w:pPr>
        <w:pStyle w:val="Footnotedash"/>
        <w:spacing w:before="0" w:after="0"/>
        <w:ind w:left="720" w:firstLine="0"/>
        <w:rPr>
          <w:rFonts w:ascii="Tahoma" w:hAnsi="Tahoma" w:cs="Tahoma"/>
          <w:sz w:val="18"/>
          <w:szCs w:val="18"/>
        </w:rPr>
      </w:pPr>
      <w:r w:rsidRPr="00F240D9">
        <w:rPr>
          <w:rFonts w:ascii="Tahoma" w:hAnsi="Tahoma" w:cs="Tahoma"/>
          <w:sz w:val="18"/>
          <w:szCs w:val="18"/>
        </w:rPr>
        <w:t xml:space="preserve">Eles deverão ter pelo menos um dos seguintes contratos ou registros ativos com a Microsoft Ireland Operations Ltd: </w:t>
      </w:r>
    </w:p>
    <w:p w:rsidR="00B73A46" w:rsidRPr="00F240D9" w:rsidRDefault="00B73A46" w:rsidP="00A1385C">
      <w:pPr>
        <w:pStyle w:val="Footnotedash"/>
        <w:numPr>
          <w:ilvl w:val="0"/>
          <w:numId w:val="31"/>
        </w:numPr>
        <w:adjustRightInd/>
        <w:spacing w:before="0"/>
        <w:ind w:left="1440"/>
        <w:textAlignment w:val="auto"/>
        <w:rPr>
          <w:rFonts w:ascii="Tahoma" w:hAnsi="Tahoma" w:cs="Tahoma"/>
          <w:sz w:val="18"/>
          <w:szCs w:val="18"/>
        </w:rPr>
      </w:pPr>
      <w:r w:rsidRPr="00F240D9">
        <w:rPr>
          <w:rFonts w:ascii="Tahoma" w:hAnsi="Tahoma" w:cs="Tahoma"/>
          <w:sz w:val="18"/>
          <w:szCs w:val="18"/>
        </w:rPr>
        <w:t>Select, Enterprise ou Registro Enterprise Subscription</w:t>
      </w:r>
    </w:p>
    <w:p w:rsidR="00B73A46" w:rsidRPr="00F240D9" w:rsidRDefault="00B73A46" w:rsidP="00A1385C">
      <w:pPr>
        <w:pStyle w:val="Footnotedash"/>
        <w:numPr>
          <w:ilvl w:val="0"/>
          <w:numId w:val="31"/>
        </w:numPr>
        <w:adjustRightInd/>
        <w:spacing w:before="0"/>
        <w:ind w:left="1440"/>
        <w:textAlignment w:val="auto"/>
        <w:rPr>
          <w:rFonts w:ascii="Tahoma" w:hAnsi="Tahoma" w:cs="Tahoma"/>
          <w:sz w:val="18"/>
          <w:szCs w:val="18"/>
        </w:rPr>
      </w:pPr>
      <w:r w:rsidRPr="00F240D9">
        <w:rPr>
          <w:rFonts w:ascii="Tahoma" w:hAnsi="Tahoma" w:cs="Tahoma"/>
          <w:sz w:val="18"/>
          <w:szCs w:val="18"/>
        </w:rPr>
        <w:t xml:space="preserve">Licença Open*, Open Value, Campus e School Agreement, Open Value Subscription – Education Solutions </w:t>
      </w:r>
    </w:p>
    <w:p w:rsidR="00B73A46" w:rsidRPr="00F240D9" w:rsidRDefault="00B73A46" w:rsidP="00EB3E62">
      <w:pPr>
        <w:pStyle w:val="Footnotedash"/>
        <w:tabs>
          <w:tab w:val="clear" w:pos="1620"/>
        </w:tabs>
        <w:adjustRightInd/>
        <w:spacing w:before="0"/>
        <w:ind w:left="1440" w:firstLine="0"/>
        <w:textAlignment w:val="auto"/>
        <w:rPr>
          <w:rFonts w:ascii="Tahoma" w:hAnsi="Tahoma" w:cs="Tahoma"/>
          <w:sz w:val="18"/>
          <w:szCs w:val="18"/>
        </w:rPr>
      </w:pPr>
      <w:r w:rsidRPr="00F240D9">
        <w:rPr>
          <w:rFonts w:ascii="Tahoma" w:hAnsi="Tahoma" w:cs="Tahoma"/>
          <w:sz w:val="18"/>
          <w:szCs w:val="18"/>
        </w:rPr>
        <w:t>(*Para os fins da Licença Open, um “contrato ativo” é aquele associado a um Número de Autorização de Licença Open ativo.)</w:t>
      </w:r>
    </w:p>
    <w:p w:rsidR="00B73A46" w:rsidRPr="00F240D9" w:rsidRDefault="00B73A46" w:rsidP="00EB3E62">
      <w:pPr>
        <w:pStyle w:val="Footnotedash"/>
        <w:spacing w:before="0" w:after="0"/>
        <w:ind w:left="720" w:firstLine="0"/>
        <w:rPr>
          <w:rFonts w:ascii="Tahoma" w:hAnsi="Tahoma" w:cs="Tahoma"/>
          <w:sz w:val="18"/>
          <w:szCs w:val="18"/>
        </w:rPr>
      </w:pPr>
      <w:r w:rsidRPr="00F240D9">
        <w:rPr>
          <w:rFonts w:ascii="Tahoma" w:hAnsi="Tahoma" w:cs="Tahoma"/>
          <w:sz w:val="18"/>
          <w:szCs w:val="18"/>
        </w:rPr>
        <w:t>Eles deverão ter o Software Assurance ativo para as licenças de atualização do Sistema Operacional Windows Desktop ou Windows 8 Pro.</w:t>
      </w:r>
    </w:p>
    <w:p w:rsidR="00EB3E62" w:rsidRPr="00F240D9" w:rsidRDefault="00EB3E62" w:rsidP="00EB3E62">
      <w:pPr>
        <w:pStyle w:val="Footnotedash"/>
        <w:spacing w:before="0" w:after="0"/>
        <w:ind w:left="720" w:firstLine="0"/>
        <w:rPr>
          <w:rFonts w:ascii="Tahoma" w:hAnsi="Tahoma" w:cs="Tahoma"/>
          <w:sz w:val="18"/>
          <w:szCs w:val="18"/>
        </w:rPr>
      </w:pPr>
    </w:p>
    <w:p w:rsidR="00B73A46" w:rsidRPr="00F240D9" w:rsidRDefault="00B73A46" w:rsidP="00EB3E62">
      <w:pPr>
        <w:pStyle w:val="Footnotedash"/>
        <w:spacing w:before="0" w:after="0"/>
        <w:ind w:left="720" w:firstLine="0"/>
        <w:rPr>
          <w:rFonts w:ascii="Tahoma" w:hAnsi="Tahoma" w:cs="Tahoma"/>
          <w:sz w:val="18"/>
          <w:szCs w:val="18"/>
        </w:rPr>
      </w:pPr>
      <w:r w:rsidRPr="00F240D9">
        <w:rPr>
          <w:rFonts w:ascii="Tahoma" w:hAnsi="Tahoma" w:cs="Tahoma"/>
          <w:sz w:val="18"/>
          <w:szCs w:val="18"/>
        </w:rPr>
        <w:t xml:space="preserve">Eles deverão estar situados em um dos países estabelecidos na União Europeia (UE), na Associação Europeia de Livre Comércio (EFTA), na Bulgária, Croácia, Romênia ou Suíça. </w:t>
      </w:r>
    </w:p>
    <w:p w:rsidR="00EB3E62" w:rsidRPr="00F240D9" w:rsidRDefault="00EB3E62" w:rsidP="00EB3E62">
      <w:pPr>
        <w:pStyle w:val="Footnotedash"/>
        <w:spacing w:before="0" w:after="0"/>
        <w:ind w:left="720" w:firstLine="0"/>
        <w:rPr>
          <w:rFonts w:ascii="Tahoma" w:hAnsi="Tahoma" w:cs="Tahoma"/>
          <w:sz w:val="18"/>
          <w:szCs w:val="18"/>
        </w:rPr>
      </w:pPr>
    </w:p>
    <w:p w:rsidR="00697E59" w:rsidRPr="00F240D9" w:rsidRDefault="00B73A46" w:rsidP="00EB3E62">
      <w:pPr>
        <w:pStyle w:val="Footnotedash"/>
        <w:spacing w:before="0" w:after="0"/>
        <w:ind w:left="720" w:firstLine="0"/>
        <w:rPr>
          <w:rFonts w:ascii="Tahoma" w:hAnsi="Tahoma" w:cs="Tahoma"/>
          <w:sz w:val="18"/>
          <w:szCs w:val="18"/>
        </w:rPr>
      </w:pPr>
      <w:r w:rsidRPr="00F240D9">
        <w:rPr>
          <w:rFonts w:ascii="Tahoma" w:hAnsi="Tahoma" w:cs="Tahoma"/>
          <w:sz w:val="18"/>
          <w:szCs w:val="18"/>
        </w:rPr>
        <w:t xml:space="preserve">Os clientes poderão desconsiderar a notificação encontrada nos Direitos de Uso de Produto de julho de 2009 referente à ausência do Internet Explorer 8 e o aviso correspondente de isenção de responsabilidade da garantia. </w:t>
      </w:r>
    </w:p>
    <w:p w:rsidR="00804794" w:rsidRPr="00F240D9"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F240D9"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rPr>
      </w:pPr>
      <w:r w:rsidRPr="00F240D9">
        <w:rPr>
          <w:rFonts w:ascii="Tahoma" w:hAnsi="Tahoma" w:cs="Tahoma"/>
          <w:b/>
          <w:bCs/>
          <w:sz w:val="18"/>
          <w:szCs w:val="18"/>
        </w:rPr>
        <w:t>Windows 8 Pro KN e Windows 8.1 Pro KN</w:t>
      </w:r>
    </w:p>
    <w:p w:rsidR="008A5D64" w:rsidRPr="00F240D9" w:rsidRDefault="008A5D64" w:rsidP="00804794">
      <w:pPr>
        <w:pStyle w:val="FootnoteBulletLevel2"/>
        <w:spacing w:before="0"/>
        <w:ind w:left="720" w:hanging="7"/>
        <w:rPr>
          <w:rFonts w:ascii="Tahoma" w:hAnsi="Tahoma" w:cs="Tahoma"/>
          <w:sz w:val="18"/>
          <w:szCs w:val="18"/>
        </w:rPr>
      </w:pPr>
      <w:r w:rsidRPr="00F240D9">
        <w:rPr>
          <w:rFonts w:ascii="Tahoma" w:hAnsi="Tahoma" w:cs="Tahoma"/>
          <w:sz w:val="18"/>
          <w:szCs w:val="18"/>
          <w:u w:val="single"/>
        </w:rPr>
        <w:t>Qualificação</w:t>
      </w:r>
      <w:r w:rsidRPr="00F240D9">
        <w:rPr>
          <w:rFonts w:ascii="Tahoma" w:hAnsi="Tahoma" w:cs="Tahoma"/>
          <w:sz w:val="18"/>
          <w:szCs w:val="18"/>
          <w:u w:val="single"/>
        </w:rPr>
        <w:br/>
      </w:r>
      <w:r w:rsidRPr="00F240D9">
        <w:rPr>
          <w:rFonts w:ascii="Tahoma" w:hAnsi="Tahoma" w:cs="Tahoma"/>
          <w:sz w:val="18"/>
          <w:szCs w:val="18"/>
        </w:rPr>
        <w:t>Os clientes de Licenciamento por Volume situados na Coreia que tiverem um contrato ou registro do Licenciamento por Volume ativo com a Microsoft Operations Pte Ltd estarão qualificados para adquirir a</w:t>
      </w:r>
      <w:r w:rsidR="00F240D9">
        <w:rPr>
          <w:rFonts w:ascii="Tahoma" w:hAnsi="Tahoma" w:cs="Tahoma"/>
          <w:sz w:val="18"/>
          <w:szCs w:val="18"/>
        </w:rPr>
        <w:t> </w:t>
      </w:r>
      <w:r w:rsidRPr="00F240D9">
        <w:rPr>
          <w:rFonts w:ascii="Tahoma" w:hAnsi="Tahoma" w:cs="Tahoma"/>
          <w:sz w:val="18"/>
          <w:szCs w:val="18"/>
        </w:rPr>
        <w:t>mídia do Windows 8 Pro KN e Windows 8.1 Pro KN para implantação e uso na Coreia. Nenhum outro uso</w:t>
      </w:r>
      <w:r w:rsidR="00F240D9">
        <w:rPr>
          <w:rFonts w:ascii="Tahoma" w:hAnsi="Tahoma" w:cs="Tahoma"/>
          <w:sz w:val="18"/>
          <w:szCs w:val="18"/>
        </w:rPr>
        <w:t> </w:t>
      </w:r>
      <w:r w:rsidRPr="00F240D9">
        <w:rPr>
          <w:rFonts w:ascii="Tahoma" w:hAnsi="Tahoma" w:cs="Tahoma"/>
          <w:sz w:val="18"/>
          <w:szCs w:val="18"/>
        </w:rPr>
        <w:t>é permitido.</w:t>
      </w:r>
    </w:p>
    <w:p w:rsidR="00804794" w:rsidRPr="00F240D9"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F240D9" w:rsidRDefault="008A5D64" w:rsidP="00804794">
      <w:pPr>
        <w:pStyle w:val="FootnoteBulletLevel1"/>
        <w:tabs>
          <w:tab w:val="clear" w:pos="900"/>
        </w:tabs>
        <w:adjustRightInd/>
        <w:spacing w:before="0" w:after="60"/>
        <w:ind w:left="720" w:firstLine="0"/>
        <w:textAlignment w:val="auto"/>
        <w:rPr>
          <w:rFonts w:ascii="Tahoma" w:hAnsi="Tahoma" w:cs="Tahoma"/>
          <w:sz w:val="18"/>
          <w:szCs w:val="18"/>
        </w:rPr>
      </w:pPr>
      <w:r w:rsidRPr="00F240D9">
        <w:rPr>
          <w:rFonts w:ascii="Tahoma" w:hAnsi="Tahoma" w:cs="Tahoma"/>
          <w:b/>
          <w:bCs/>
          <w:sz w:val="18"/>
          <w:szCs w:val="18"/>
        </w:rPr>
        <w:t>Windows 8 Pro N e Windows 8.1 Pro N (Sem Windows Media Player)</w:t>
      </w:r>
    </w:p>
    <w:p w:rsidR="008A5D64" w:rsidRPr="00F240D9" w:rsidRDefault="008A5D64" w:rsidP="00804794">
      <w:pPr>
        <w:pStyle w:val="FootnoteBulletLevel2"/>
        <w:spacing w:before="0"/>
        <w:ind w:left="720" w:firstLine="0"/>
        <w:rPr>
          <w:rFonts w:ascii="Tahoma" w:hAnsi="Tahoma" w:cs="Tahoma"/>
          <w:sz w:val="18"/>
          <w:szCs w:val="18"/>
        </w:rPr>
      </w:pPr>
      <w:r w:rsidRPr="00F240D9">
        <w:rPr>
          <w:rFonts w:ascii="Tahoma" w:hAnsi="Tahoma" w:cs="Tahoma"/>
          <w:sz w:val="18"/>
          <w:szCs w:val="18"/>
          <w:u w:val="single"/>
        </w:rPr>
        <w:t>Qualificação</w:t>
      </w:r>
      <w:r w:rsidRPr="00F240D9">
        <w:rPr>
          <w:rFonts w:ascii="Tahoma" w:hAnsi="Tahoma" w:cs="Tahoma"/>
          <w:sz w:val="18"/>
          <w:szCs w:val="18"/>
        </w:rPr>
        <w:t>:</w:t>
      </w:r>
      <w:r w:rsidRPr="00F240D9">
        <w:rPr>
          <w:rFonts w:ascii="Tahoma" w:hAnsi="Tahoma" w:cs="Tahoma"/>
          <w:sz w:val="18"/>
          <w:szCs w:val="18"/>
          <w:u w:val="single"/>
        </w:rPr>
        <w:br/>
      </w:r>
      <w:r w:rsidRPr="00F240D9">
        <w:rPr>
          <w:rFonts w:ascii="Tahoma" w:hAnsi="Tahoma" w:cs="Tahoma"/>
          <w:sz w:val="18"/>
          <w:szCs w:val="18"/>
        </w:rPr>
        <w:t>Os clientes de Licenciamento por Volume que atenderem a todos os critérios a seguir estarão qualificados para adquirir a mídia do Microsoft Windows 8 Pro N e Windows 8.1 Pro N somente para implantação e uso na União Europeia (UE), na Associação Europeia de Livre Comércio (EFTA), na Bulgária, Croácia, Romênia ou Suíça.</w:t>
      </w:r>
    </w:p>
    <w:p w:rsidR="008A5D64" w:rsidRPr="00F240D9" w:rsidRDefault="008A5D64" w:rsidP="00804794">
      <w:pPr>
        <w:pStyle w:val="Footnotedash"/>
        <w:spacing w:before="0" w:after="0"/>
        <w:ind w:left="720" w:hanging="7"/>
        <w:rPr>
          <w:rFonts w:ascii="Tahoma" w:hAnsi="Tahoma" w:cs="Tahoma"/>
          <w:sz w:val="18"/>
          <w:szCs w:val="18"/>
        </w:rPr>
      </w:pPr>
      <w:r w:rsidRPr="00F240D9">
        <w:rPr>
          <w:rFonts w:ascii="Tahoma" w:hAnsi="Tahoma" w:cs="Tahoma"/>
          <w:sz w:val="18"/>
          <w:szCs w:val="18"/>
        </w:rPr>
        <w:t xml:space="preserve">Eles deverão ter pelo menos um dos seguintes contratos ou registros ativos com a Microsoft Ireland Operations Ltd: </w:t>
      </w:r>
    </w:p>
    <w:p w:rsidR="00804794" w:rsidRPr="00F240D9" w:rsidRDefault="00804794" w:rsidP="00804794">
      <w:pPr>
        <w:pStyle w:val="Footnotedash"/>
        <w:spacing w:before="0" w:after="0"/>
        <w:ind w:left="720" w:hanging="7"/>
        <w:rPr>
          <w:rFonts w:ascii="Tahoma" w:hAnsi="Tahoma" w:cs="Tahoma"/>
          <w:sz w:val="18"/>
          <w:szCs w:val="18"/>
        </w:rPr>
      </w:pPr>
    </w:p>
    <w:p w:rsidR="008A5D64" w:rsidRPr="00F240D9" w:rsidRDefault="008A5D64" w:rsidP="00A1385C">
      <w:pPr>
        <w:pStyle w:val="Footnotedash"/>
        <w:numPr>
          <w:ilvl w:val="0"/>
          <w:numId w:val="31"/>
        </w:numPr>
        <w:adjustRightInd/>
        <w:spacing w:before="0"/>
        <w:ind w:left="1440"/>
        <w:textAlignment w:val="auto"/>
        <w:rPr>
          <w:rFonts w:ascii="Tahoma" w:hAnsi="Tahoma" w:cs="Tahoma"/>
          <w:sz w:val="18"/>
          <w:szCs w:val="18"/>
        </w:rPr>
      </w:pPr>
      <w:r w:rsidRPr="00F240D9">
        <w:rPr>
          <w:rFonts w:ascii="Tahoma" w:hAnsi="Tahoma" w:cs="Tahoma"/>
          <w:sz w:val="18"/>
          <w:szCs w:val="18"/>
        </w:rPr>
        <w:t>Select, Enterprise ou Registro Enterprise Subscription</w:t>
      </w:r>
    </w:p>
    <w:p w:rsidR="008A5D64" w:rsidRPr="00F240D9" w:rsidRDefault="008A5D64" w:rsidP="00A1385C">
      <w:pPr>
        <w:pStyle w:val="Footnotedash"/>
        <w:numPr>
          <w:ilvl w:val="0"/>
          <w:numId w:val="31"/>
        </w:numPr>
        <w:adjustRightInd/>
        <w:spacing w:before="0"/>
        <w:ind w:left="1440"/>
        <w:textAlignment w:val="auto"/>
        <w:rPr>
          <w:rFonts w:ascii="Tahoma" w:hAnsi="Tahoma" w:cs="Tahoma"/>
          <w:sz w:val="18"/>
          <w:szCs w:val="18"/>
        </w:rPr>
      </w:pPr>
      <w:r w:rsidRPr="00F240D9">
        <w:rPr>
          <w:rFonts w:ascii="Tahoma" w:hAnsi="Tahoma" w:cs="Tahoma"/>
          <w:sz w:val="18"/>
          <w:szCs w:val="18"/>
        </w:rPr>
        <w:t xml:space="preserve">Licença Open*, Open Value, Campus e School Agreement, Open Value Subscription – Education Solutions </w:t>
      </w:r>
    </w:p>
    <w:p w:rsidR="008A5D64" w:rsidRPr="00F240D9"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F240D9">
        <w:rPr>
          <w:rFonts w:ascii="Tahoma" w:hAnsi="Tahoma" w:cs="Tahoma"/>
          <w:sz w:val="18"/>
          <w:szCs w:val="18"/>
        </w:rPr>
        <w:t>(*Para os fins da Licença Open, um “contrato ativo” é aquele associado a um Número de Autorização de Licença Open ativo.)</w:t>
      </w:r>
    </w:p>
    <w:p w:rsidR="00804794" w:rsidRPr="00F240D9"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rsidR="008A5D64" w:rsidRPr="00F240D9" w:rsidRDefault="008A5D64" w:rsidP="00804794">
      <w:pPr>
        <w:pStyle w:val="Footnotedash"/>
        <w:spacing w:before="0" w:after="0"/>
        <w:ind w:left="720" w:hanging="7"/>
        <w:rPr>
          <w:rFonts w:ascii="Tahoma" w:hAnsi="Tahoma" w:cs="Tahoma"/>
          <w:sz w:val="18"/>
          <w:szCs w:val="18"/>
        </w:rPr>
      </w:pPr>
      <w:r w:rsidRPr="00F240D9">
        <w:rPr>
          <w:rFonts w:ascii="Tahoma" w:hAnsi="Tahoma" w:cs="Tahoma"/>
          <w:sz w:val="18"/>
          <w:szCs w:val="18"/>
        </w:rPr>
        <w:t>Eles deverão ter o Software Assurance ativo para as licenças de Atualização do Sistema Operacional Windows Desktop ou Windows 8 Pro.</w:t>
      </w:r>
    </w:p>
    <w:p w:rsidR="00804794" w:rsidRPr="00F240D9" w:rsidRDefault="00804794" w:rsidP="00804794">
      <w:pPr>
        <w:pStyle w:val="Footnotedash"/>
        <w:spacing w:before="0" w:after="0"/>
        <w:ind w:left="720" w:hanging="7"/>
        <w:rPr>
          <w:rFonts w:ascii="Tahoma" w:hAnsi="Tahoma" w:cs="Tahoma"/>
          <w:sz w:val="18"/>
          <w:szCs w:val="18"/>
        </w:rPr>
      </w:pPr>
    </w:p>
    <w:p w:rsidR="008A5D64" w:rsidRPr="00F240D9" w:rsidRDefault="008A5D64" w:rsidP="00804794">
      <w:pPr>
        <w:pStyle w:val="Footnotedash"/>
        <w:spacing w:before="0" w:after="0"/>
        <w:ind w:left="720" w:hanging="7"/>
        <w:rPr>
          <w:rFonts w:ascii="Tahoma" w:hAnsi="Tahoma" w:cs="Tahoma"/>
          <w:sz w:val="18"/>
          <w:szCs w:val="18"/>
        </w:rPr>
      </w:pPr>
      <w:r w:rsidRPr="00F240D9">
        <w:rPr>
          <w:rFonts w:ascii="Tahoma" w:hAnsi="Tahoma" w:cs="Tahoma"/>
          <w:sz w:val="18"/>
          <w:szCs w:val="18"/>
        </w:rPr>
        <w:t>Eles deverão estar situados em um dos países estabelecidos na União Europeia (UE), na Associação Europeia de Livre Comércio (EFTA), na Bulgária, Croácia, Romênia ou Suíça.</w:t>
      </w:r>
    </w:p>
    <w:p w:rsidR="00804794" w:rsidRPr="00F240D9"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4B208C" w:rsidRDefault="00B73A46" w:rsidP="00804794">
      <w:pPr>
        <w:pStyle w:val="FootnoteBulletLevel1"/>
        <w:tabs>
          <w:tab w:val="clear" w:pos="900"/>
        </w:tabs>
        <w:adjustRightInd/>
        <w:spacing w:before="0" w:after="60"/>
        <w:ind w:left="720" w:firstLine="0"/>
        <w:textAlignment w:val="auto"/>
        <w:rPr>
          <w:rFonts w:ascii="Tahoma" w:hAnsi="Tahoma" w:cs="Tahoma"/>
        </w:rPr>
      </w:pPr>
      <w:r w:rsidRPr="004B208C">
        <w:rPr>
          <w:rFonts w:ascii="Tahoma" w:hAnsi="Tahoma" w:cs="Tahoma"/>
          <w:b/>
          <w:bCs/>
          <w:sz w:val="18"/>
          <w:szCs w:val="18"/>
        </w:rPr>
        <w:lastRenderedPageBreak/>
        <w:t>Direitos de Locação para Windows</w:t>
      </w:r>
    </w:p>
    <w:p w:rsidR="00B73A46" w:rsidRPr="0002786F"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02786F">
        <w:rPr>
          <w:rFonts w:ascii="Tahoma" w:hAnsi="Tahoma" w:cs="Tahoma"/>
          <w:sz w:val="18"/>
          <w:szCs w:val="18"/>
          <w:u w:val="single"/>
        </w:rPr>
        <w:t>Licenças de Direitos de Locação</w:t>
      </w:r>
      <w:r w:rsidRPr="0002786F">
        <w:rPr>
          <w:rFonts w:ascii="Tahoma" w:hAnsi="Tahoma" w:cs="Tahoma"/>
          <w:sz w:val="18"/>
          <w:szCs w:val="18"/>
        </w:rPr>
        <w:t>:</w:t>
      </w:r>
      <w:r w:rsidRPr="0002786F">
        <w:rPr>
          <w:rFonts w:ascii="Tahoma" w:hAnsi="Tahoma" w:cs="Tahoma"/>
          <w:sz w:val="18"/>
          <w:szCs w:val="18"/>
        </w:rPr>
        <w:b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rsidR="00804794" w:rsidRPr="00F240D9"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5F52C6" w:rsidRPr="00F240D9"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240D9">
        <w:rPr>
          <w:rFonts w:ascii="Tahoma" w:hAnsi="Tahoma" w:cs="Tahoma"/>
          <w:sz w:val="18"/>
          <w:szCs w:val="18"/>
          <w:u w:val="single"/>
        </w:rPr>
        <w:t>Windows Vista, Windows 7 Professional e Windows 8 Pro e Windows 8.1 Pro</w:t>
      </w:r>
      <w:r w:rsidRPr="00F240D9">
        <w:rPr>
          <w:rFonts w:ascii="Tahoma" w:hAnsi="Tahoma" w:cs="Tahoma"/>
          <w:sz w:val="18"/>
          <w:szCs w:val="18"/>
        </w:rPr>
        <w:t>:</w:t>
      </w:r>
    </w:p>
    <w:p w:rsidR="00B73A46" w:rsidRPr="00F240D9"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F240D9">
        <w:rPr>
          <w:rFonts w:ascii="Tahoma" w:hAnsi="Tahoma" w:cs="Tahoma"/>
          <w:sz w:val="18"/>
          <w:szCs w:val="18"/>
        </w:rPr>
        <w:t>Os clientes que desejarem adquirir licenças de direitos de locação por meio dos programas Select ou Licença Open deverão primeiro licenciar e instalar um sistema operacional qualificado no desktop</w:t>
      </w:r>
      <w:r w:rsidRPr="00F240D9">
        <w:rPr>
          <w:rFonts w:ascii="Tahoma" w:hAnsi="Tahoma" w:cs="Tahoma"/>
          <w:i/>
          <w:iCs/>
          <w:sz w:val="18"/>
          <w:szCs w:val="18"/>
        </w:rPr>
        <w:t>.</w:t>
      </w:r>
      <w:r w:rsidRPr="00F240D9">
        <w:rPr>
          <w:rFonts w:ascii="Tahoma" w:hAnsi="Tahoma" w:cs="Tahoma"/>
          <w:sz w:val="18"/>
          <w:szCs w:val="18"/>
        </w:rPr>
        <w:t xml:space="preserve"> Os sistemas operacionais qualificados licenciados também incluem licenças adquiridas com o Contrato Get Genuine Windows por meio desses programas.</w:t>
      </w:r>
    </w:p>
    <w:p w:rsidR="00B73A46" w:rsidRPr="00F240D9" w:rsidRDefault="00B73A46" w:rsidP="00804794">
      <w:pPr>
        <w:ind w:left="720"/>
        <w:rPr>
          <w:rFonts w:cs="Tahoma"/>
          <w:szCs w:val="18"/>
        </w:rPr>
      </w:pPr>
    </w:p>
    <w:p w:rsidR="00B73A46" w:rsidRPr="00F240D9" w:rsidRDefault="00B73A46" w:rsidP="00804794">
      <w:pPr>
        <w:ind w:left="720"/>
        <w:rPr>
          <w:rFonts w:cs="Tahoma"/>
          <w:szCs w:val="18"/>
        </w:rPr>
      </w:pPr>
      <w:r w:rsidRPr="00F240D9">
        <w:rPr>
          <w:rFonts w:cs="Tahoma"/>
          <w:szCs w:val="18"/>
          <w:u w:val="single"/>
        </w:rPr>
        <w:t>Regras de Sistemas Operacionais Qualificados</w:t>
      </w:r>
      <w:r w:rsidRPr="00F240D9">
        <w:rPr>
          <w:rFonts w:cs="Tahoma"/>
          <w:szCs w:val="18"/>
        </w:rPr>
        <w:t>: Cada uma destas condições deve ser atendida para que o</w:t>
      </w:r>
      <w:r w:rsidR="0002786F">
        <w:rPr>
          <w:rFonts w:cs="Tahoma"/>
          <w:szCs w:val="18"/>
        </w:rPr>
        <w:t> </w:t>
      </w:r>
      <w:r w:rsidRPr="00F240D9">
        <w:rPr>
          <w:rFonts w:cs="Tahoma"/>
          <w:szCs w:val="18"/>
        </w:rPr>
        <w:t xml:space="preserve">Sistema Operacional básico o qualifique para a licença de Direitos de Locação: </w:t>
      </w:r>
    </w:p>
    <w:p w:rsidR="00B73A46" w:rsidRPr="00F240D9" w:rsidRDefault="00B73A46" w:rsidP="00F02E9F">
      <w:pPr>
        <w:ind w:left="1440"/>
        <w:rPr>
          <w:rFonts w:cs="Tahoma"/>
          <w:szCs w:val="18"/>
        </w:rPr>
      </w:pPr>
    </w:p>
    <w:p w:rsidR="00B73A46" w:rsidRPr="00F240D9" w:rsidRDefault="00B73A46" w:rsidP="00A1385C">
      <w:pPr>
        <w:numPr>
          <w:ilvl w:val="0"/>
          <w:numId w:val="27"/>
        </w:numPr>
        <w:ind w:left="1440"/>
        <w:rPr>
          <w:rFonts w:cs="Tahoma"/>
          <w:szCs w:val="18"/>
        </w:rPr>
      </w:pPr>
      <w:r w:rsidRPr="00F240D9">
        <w:rPr>
          <w:rFonts w:cs="Tahoma"/>
          <w:szCs w:val="18"/>
        </w:rPr>
        <w:t>A licença para o SO qualificado deverá ser cedida ao mesmo dispositivo ao qual a licença de Direitos de Locação de VL será cedida.</w:t>
      </w:r>
    </w:p>
    <w:p w:rsidR="00B73A46" w:rsidRPr="00F240D9" w:rsidRDefault="00B73A46" w:rsidP="00A1385C">
      <w:pPr>
        <w:numPr>
          <w:ilvl w:val="0"/>
          <w:numId w:val="27"/>
        </w:numPr>
        <w:ind w:left="1440"/>
        <w:rPr>
          <w:rFonts w:cs="Tahoma"/>
          <w:szCs w:val="18"/>
        </w:rPr>
      </w:pPr>
      <w:r w:rsidRPr="00F240D9">
        <w:rPr>
          <w:rFonts w:cs="Tahoma"/>
          <w:szCs w:val="18"/>
        </w:rPr>
        <w:t>O SO qualificado deverá ser instalado no referido dispositivo.</w:t>
      </w:r>
    </w:p>
    <w:p w:rsidR="00E31CC0" w:rsidRPr="00F240D9" w:rsidRDefault="00E31CC0" w:rsidP="00997D81">
      <w:pPr>
        <w:rPr>
          <w:rFonts w:cs="Tahoma"/>
          <w:szCs w:val="18"/>
        </w:rPr>
      </w:pPr>
    </w:p>
    <w:p w:rsidR="00B73A46" w:rsidRPr="00F240D9" w:rsidRDefault="00B73A46" w:rsidP="00EE035D">
      <w:pPr>
        <w:pStyle w:val="EndnoteText"/>
        <w:ind w:left="720"/>
        <w:rPr>
          <w:rFonts w:ascii="Tahoma" w:hAnsi="Tahoma" w:cs="Tahoma"/>
          <w:sz w:val="18"/>
          <w:szCs w:val="18"/>
        </w:rPr>
      </w:pPr>
      <w:r w:rsidRPr="00F240D9">
        <w:rPr>
          <w:rFonts w:ascii="Tahoma" w:hAnsi="Tahoma" w:cs="Tahoma"/>
          <w:sz w:val="18"/>
          <w:szCs w:val="18"/>
        </w:rPr>
        <w:t>Os sistemas operacionais qualificados por tipo de Programa são:</w:t>
      </w:r>
    </w:p>
    <w:p w:rsidR="00B73A46" w:rsidRPr="00F240D9"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4B208C"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4B208C" w:rsidRDefault="009B3FA2" w:rsidP="0002786F">
            <w:pPr>
              <w:ind w:left="122"/>
              <w:rPr>
                <w:rFonts w:eastAsia="Calibri" w:cs="Tahoma"/>
                <w:bCs/>
                <w:szCs w:val="18"/>
              </w:rPr>
            </w:pPr>
            <w:r w:rsidRPr="004B208C">
              <w:rPr>
                <w:rFonts w:cs="Tahoma"/>
                <w:b/>
                <w:bCs/>
                <w:szCs w:val="18"/>
              </w:rPr>
              <w:t>Sistemas operacionais qualificados para a compra de Direitos de Locação do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9B3FA2">
            <w:pPr>
              <w:jc w:val="center"/>
              <w:rPr>
                <w:rFonts w:eastAsia="Calibri" w:cs="Tahoma"/>
                <w:b/>
                <w:bCs/>
                <w:sz w:val="14"/>
                <w:szCs w:val="18"/>
              </w:rPr>
            </w:pPr>
            <w:r w:rsidRPr="004B208C">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1B15A5">
            <w:pPr>
              <w:jc w:val="center"/>
              <w:rPr>
                <w:rFonts w:eastAsia="Calibri" w:cs="Tahoma"/>
                <w:b/>
                <w:bCs/>
                <w:sz w:val="14"/>
                <w:szCs w:val="18"/>
              </w:rPr>
            </w:pPr>
            <w:r w:rsidRPr="004B208C">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50116B">
            <w:pPr>
              <w:jc w:val="center"/>
              <w:rPr>
                <w:rFonts w:eastAsia="Calibri" w:cs="Tahoma"/>
                <w:b/>
                <w:bCs/>
                <w:sz w:val="14"/>
                <w:szCs w:val="18"/>
              </w:rPr>
            </w:pPr>
            <w:r w:rsidRPr="004B208C">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4B208C" w:rsidRDefault="00B73A46" w:rsidP="005F0406">
            <w:pPr>
              <w:jc w:val="center"/>
              <w:rPr>
                <w:rFonts w:eastAsia="Calibri" w:cs="Tahoma"/>
                <w:b/>
                <w:bCs/>
                <w:sz w:val="14"/>
                <w:szCs w:val="18"/>
              </w:rPr>
            </w:pPr>
            <w:r w:rsidRPr="004B208C">
              <w:rPr>
                <w:rFonts w:cs="Tahoma"/>
                <w:b/>
                <w:bCs/>
                <w:sz w:val="14"/>
                <w:szCs w:val="18"/>
              </w:rPr>
              <w:t>Licença Open</w:t>
            </w:r>
          </w:p>
        </w:tc>
        <w:tc>
          <w:tcPr>
            <w:tcW w:w="16" w:type="dxa"/>
            <w:vAlign w:val="center"/>
          </w:tcPr>
          <w:p w:rsidR="00B73A46" w:rsidRPr="004B208C" w:rsidRDefault="00B73A46" w:rsidP="00713A6C">
            <w:pPr>
              <w:rPr>
                <w:rFonts w:eastAsia="Calibri" w:cs="Tahoma"/>
                <w:szCs w:val="18"/>
              </w:rPr>
            </w:pPr>
          </w:p>
        </w:tc>
      </w:tr>
      <w:tr w:rsidR="00BF7A97" w:rsidRPr="004B208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713A6C">
            <w:pPr>
              <w:rPr>
                <w:rFonts w:cs="Tahoma"/>
                <w:b/>
                <w:bCs/>
                <w:szCs w:val="18"/>
              </w:rPr>
            </w:pPr>
            <w:r w:rsidRPr="004B208C">
              <w:rPr>
                <w:rFonts w:cs="Tahoma"/>
                <w:b/>
                <w:bCs/>
                <w:szCs w:val="18"/>
              </w:rPr>
              <w:t>Windows 8 e Windows 8.1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jc w:val="center"/>
              <w:rPr>
                <w:rFonts w:eastAsia="Times New Roman" w:cs="Tahoma"/>
                <w:szCs w:val="18"/>
              </w:rPr>
            </w:pPr>
          </w:p>
        </w:tc>
        <w:tc>
          <w:tcPr>
            <w:tcW w:w="16" w:type="dxa"/>
            <w:vAlign w:val="center"/>
          </w:tcPr>
          <w:p w:rsidR="00BF7A97" w:rsidRPr="004B208C" w:rsidRDefault="00BF7A97" w:rsidP="00713A6C">
            <w:pPr>
              <w:rPr>
                <w:rFonts w:eastAsia="Calibri" w:cs="Tahoma"/>
                <w:szCs w:val="18"/>
              </w:rPr>
            </w:pPr>
          </w:p>
        </w:tc>
      </w:tr>
      <w:tr w:rsidR="00BF7A97" w:rsidRPr="004B208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ind w:left="522"/>
              <w:rPr>
                <w:rFonts w:cs="Tahoma"/>
                <w:b/>
                <w:bCs/>
                <w:szCs w:val="18"/>
              </w:rPr>
            </w:pPr>
            <w:r w:rsidRPr="004B208C">
              <w:rPr>
                <w:rFonts w:cs="Tahoma"/>
                <w:szCs w:val="18"/>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jc w:val="center"/>
              <w:rPr>
                <w:rFonts w:eastAsia="Times New Roman" w:cs="Tahoma"/>
                <w:szCs w:val="18"/>
              </w:rPr>
            </w:pPr>
            <w:r w:rsidRPr="004B208C">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jc w:val="center"/>
              <w:rPr>
                <w:rFonts w:eastAsia="Times New Roman" w:cs="Tahoma"/>
                <w:szCs w:val="18"/>
              </w:rPr>
            </w:pPr>
            <w:r w:rsidRPr="004B208C">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4B208C" w:rsidRDefault="00BF7A97" w:rsidP="00BF7A97">
            <w:pPr>
              <w:jc w:val="center"/>
              <w:rPr>
                <w:rFonts w:eastAsia="Times New Roman" w:cs="Tahoma"/>
                <w:szCs w:val="18"/>
              </w:rPr>
            </w:pPr>
            <w:r w:rsidRPr="004B208C">
              <w:rPr>
                <w:rFonts w:eastAsia="Times New Roman" w:cs="Tahoma"/>
                <w:szCs w:val="18"/>
              </w:rPr>
              <w:t>x</w:t>
            </w:r>
          </w:p>
        </w:tc>
        <w:tc>
          <w:tcPr>
            <w:tcW w:w="16" w:type="dxa"/>
            <w:vAlign w:val="center"/>
          </w:tcPr>
          <w:p w:rsidR="00BF7A97" w:rsidRPr="004B208C" w:rsidRDefault="00BF7A97" w:rsidP="00713A6C">
            <w:pPr>
              <w:rPr>
                <w:rFonts w:eastAsia="Calibri" w:cs="Tahoma"/>
                <w:szCs w:val="18"/>
              </w:rPr>
            </w:pPr>
          </w:p>
        </w:tc>
      </w:tr>
      <w:tr w:rsidR="00B73A46" w:rsidRPr="004B208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rPr>
                <w:rFonts w:eastAsia="Calibri" w:cs="Tahoma"/>
                <w:b/>
                <w:bCs/>
                <w:szCs w:val="18"/>
              </w:rPr>
            </w:pPr>
            <w:r w:rsidRPr="004B208C">
              <w:rPr>
                <w:rFonts w:cs="Tahoma"/>
                <w:b/>
                <w:bCs/>
                <w:szCs w:val="18"/>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BF7A97">
            <w:pPr>
              <w:jc w:val="center"/>
              <w:rPr>
                <w:rFonts w:eastAsia="Times New Roman" w:cs="Tahoma"/>
                <w:szCs w:val="18"/>
              </w:rPr>
            </w:pPr>
          </w:p>
        </w:tc>
        <w:tc>
          <w:tcPr>
            <w:tcW w:w="16" w:type="dxa"/>
            <w:vAlign w:val="center"/>
          </w:tcPr>
          <w:p w:rsidR="00B73A46" w:rsidRPr="004B208C" w:rsidRDefault="00B73A46" w:rsidP="00713A6C">
            <w:pPr>
              <w:rPr>
                <w:rFonts w:eastAsia="Calibri" w:cs="Tahoma"/>
                <w:szCs w:val="18"/>
              </w:rPr>
            </w:pPr>
          </w:p>
        </w:tc>
      </w:tr>
      <w:tr w:rsidR="00B73A46" w:rsidRPr="004B208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BF7A97">
            <w:pPr>
              <w:ind w:left="522"/>
              <w:rPr>
                <w:rFonts w:eastAsia="Calibri" w:cs="Tahoma"/>
                <w:bCs/>
                <w:szCs w:val="18"/>
              </w:rPr>
            </w:pPr>
            <w:r w:rsidRPr="004B208C">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6" w:type="dxa"/>
            <w:vAlign w:val="center"/>
          </w:tcPr>
          <w:p w:rsidR="00B73A46" w:rsidRPr="004B208C" w:rsidRDefault="00B73A46" w:rsidP="00713A6C">
            <w:pPr>
              <w:rPr>
                <w:rFonts w:eastAsia="Calibri" w:cs="Tahoma"/>
                <w:szCs w:val="18"/>
              </w:rPr>
            </w:pPr>
          </w:p>
        </w:tc>
      </w:tr>
      <w:tr w:rsidR="00B73A46" w:rsidRPr="004B208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DF3AED">
            <w:pPr>
              <w:keepNext/>
              <w:rPr>
                <w:rFonts w:eastAsia="Calibri" w:cs="Tahoma"/>
                <w:b/>
                <w:bCs/>
                <w:szCs w:val="18"/>
              </w:rPr>
            </w:pPr>
            <w:r w:rsidRPr="004B208C">
              <w:rPr>
                <w:rFonts w:cs="Tahoma"/>
                <w:b/>
                <w:bCs/>
                <w:szCs w:val="18"/>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AD6873" w:rsidP="00713A6C">
            <w:pPr>
              <w:jc w:val="center"/>
              <w:rPr>
                <w:rFonts w:eastAsia="Calibri" w:cs="Tahoma"/>
                <w:szCs w:val="18"/>
              </w:rPr>
            </w:pPr>
            <w:r w:rsidRPr="004B208C">
              <w:rPr>
                <w:rFonts w:cs="Tahoma"/>
                <w:szCs w:val="18"/>
              </w:rPr>
              <w:t xml:space="preserve"> </w:t>
            </w:r>
          </w:p>
        </w:tc>
        <w:tc>
          <w:tcPr>
            <w:tcW w:w="16" w:type="dxa"/>
            <w:vAlign w:val="center"/>
          </w:tcPr>
          <w:p w:rsidR="00B73A46" w:rsidRPr="004B208C" w:rsidRDefault="00B73A46" w:rsidP="00713A6C">
            <w:pPr>
              <w:rPr>
                <w:rFonts w:eastAsia="Calibri" w:cs="Tahoma"/>
                <w:szCs w:val="18"/>
              </w:rPr>
            </w:pPr>
          </w:p>
        </w:tc>
      </w:tr>
      <w:tr w:rsidR="00B73A46" w:rsidRPr="004B208C"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ind w:firstLine="540"/>
              <w:rPr>
                <w:rFonts w:eastAsia="Calibri" w:cs="Tahoma"/>
                <w:szCs w:val="18"/>
              </w:rPr>
            </w:pPr>
            <w:r w:rsidRPr="004B208C">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4B208C" w:rsidRDefault="00B73A46" w:rsidP="00713A6C">
            <w:pPr>
              <w:jc w:val="center"/>
              <w:rPr>
                <w:rFonts w:eastAsia="Calibri" w:cs="Tahoma"/>
                <w:szCs w:val="18"/>
              </w:rPr>
            </w:pPr>
            <w:r w:rsidRPr="004B208C">
              <w:rPr>
                <w:rFonts w:cs="Tahoma"/>
                <w:szCs w:val="18"/>
              </w:rPr>
              <w:t>x</w:t>
            </w:r>
          </w:p>
        </w:tc>
        <w:tc>
          <w:tcPr>
            <w:tcW w:w="16" w:type="dxa"/>
            <w:vAlign w:val="center"/>
          </w:tcPr>
          <w:p w:rsidR="00B73A46" w:rsidRPr="004B208C" w:rsidRDefault="00B73A46" w:rsidP="00713A6C">
            <w:pPr>
              <w:rPr>
                <w:rFonts w:eastAsia="Calibri" w:cs="Tahoma"/>
                <w:szCs w:val="18"/>
              </w:rPr>
            </w:pPr>
          </w:p>
        </w:tc>
      </w:tr>
    </w:tbl>
    <w:p w:rsidR="00B73A46" w:rsidRPr="004B208C" w:rsidRDefault="00B73A46" w:rsidP="00B73A46">
      <w:pPr>
        <w:rPr>
          <w:rFonts w:cs="Tahoma"/>
        </w:rPr>
      </w:pPr>
    </w:p>
    <w:p w:rsidR="00B73A46" w:rsidRPr="004B208C" w:rsidRDefault="00B73A46" w:rsidP="00EE035D">
      <w:pPr>
        <w:ind w:left="720"/>
        <w:rPr>
          <w:rFonts w:cs="Tahoma"/>
        </w:rPr>
      </w:pPr>
      <w:r w:rsidRPr="004B208C">
        <w:rPr>
          <w:rFonts w:cs="Tahoma"/>
          <w:szCs w:val="18"/>
        </w:rPr>
        <w:t>Os clientes que adquirirem a licença de direitos de locação além de uma licença de sistema operacional qualificado</w:t>
      </w:r>
      <w:r w:rsidRPr="004B208C">
        <w:rPr>
          <w:rStyle w:val="CommentReference"/>
          <w:rFonts w:cs="Tahoma"/>
          <w:sz w:val="18"/>
          <w:szCs w:val="18"/>
        </w:rPr>
        <w:t xml:space="preserve"> </w:t>
      </w:r>
      <w:r w:rsidRPr="004B208C">
        <w:rPr>
          <w:rFonts w:cs="Tahoma"/>
          <w:szCs w:val="18"/>
        </w:rPr>
        <w:t>terão seus direitos de acordo com essa licença de sistema operacional qualificado</w:t>
      </w:r>
      <w:r w:rsidR="00172F11">
        <w:rPr>
          <w:rStyle w:val="CommentReference"/>
          <w:rFonts w:cs="Tahoma"/>
          <w:sz w:val="18"/>
          <w:szCs w:val="18"/>
        </w:rPr>
        <w:t xml:space="preserve"> </w:t>
      </w:r>
      <w:r w:rsidRPr="004B208C">
        <w:rPr>
          <w:rFonts w:cs="Tahoma"/>
          <w:szCs w:val="18"/>
        </w:rPr>
        <w:t>estendidos a</w:t>
      </w:r>
      <w:r w:rsidR="00F240D9">
        <w:rPr>
          <w:rFonts w:cs="Tahoma"/>
          <w:szCs w:val="18"/>
        </w:rPr>
        <w:t> </w:t>
      </w:r>
      <w:r w:rsidRPr="004B208C">
        <w:rPr>
          <w:rFonts w:cs="Tahoma"/>
          <w:szCs w:val="18"/>
        </w:rPr>
        <w:t xml:space="preserve">fim de permitir que terceiros usem o mesmo software. A licença de locação não é uma outorga para uma atualização de versão. </w:t>
      </w:r>
    </w:p>
    <w:p w:rsidR="00B73A46" w:rsidRPr="004B208C" w:rsidRDefault="00B73A46" w:rsidP="00804794">
      <w:pPr>
        <w:ind w:left="720"/>
        <w:rPr>
          <w:rFonts w:cs="Tahoma"/>
        </w:rPr>
      </w:pPr>
    </w:p>
    <w:p w:rsidR="00B73A46" w:rsidRPr="004B208C" w:rsidRDefault="00B73A46" w:rsidP="00804794">
      <w:pPr>
        <w:ind w:left="720"/>
        <w:rPr>
          <w:rFonts w:cs="Tahoma"/>
        </w:rPr>
      </w:pPr>
      <w:r w:rsidRPr="004B208C">
        <w:rPr>
          <w:rFonts w:cs="Tahoma"/>
          <w:szCs w:val="18"/>
          <w:u w:val="single"/>
        </w:rPr>
        <w:t>Exceção do Software Assurance</w:t>
      </w:r>
    </w:p>
    <w:p w:rsidR="00B73A46" w:rsidRPr="004B208C" w:rsidRDefault="00B73A46" w:rsidP="00804794">
      <w:pPr>
        <w:ind w:left="720"/>
        <w:rPr>
          <w:rFonts w:cs="Tahoma"/>
        </w:rPr>
      </w:pPr>
      <w:r w:rsidRPr="004B208C">
        <w:rPr>
          <w:rFonts w:cs="Tahoma"/>
          <w:szCs w:val="18"/>
        </w:rPr>
        <w:t xml:space="preserve">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e Software Assurance para as licenças básicas de software sob seus próprios contratos de Licenciamento por Volume, sujeitos aos termos e às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 </w:t>
      </w:r>
    </w:p>
    <w:p w:rsidR="00B73A46" w:rsidRPr="004B208C" w:rsidRDefault="00B73A46" w:rsidP="00B73A46">
      <w:pPr>
        <w:rPr>
          <w:rFonts w:cs="Tahoma"/>
        </w:rPr>
      </w:pPr>
    </w:p>
    <w:bookmarkEnd w:id="1104"/>
    <w:bookmarkEnd w:id="1105"/>
    <w:bookmarkEnd w:id="1106"/>
    <w:p w:rsidR="00104195" w:rsidRDefault="00104195" w:rsidP="00104195">
      <w:pPr>
        <w:tabs>
          <w:tab w:val="left" w:pos="1440"/>
        </w:tabs>
        <w:ind w:left="1080"/>
        <w:contextualSpacing/>
        <w:rPr>
          <w:rFonts w:cs="Tahoma"/>
        </w:rPr>
      </w:pPr>
    </w:p>
    <w:p w:rsidR="00F240D9" w:rsidRDefault="00F240D9" w:rsidP="00104195">
      <w:pPr>
        <w:tabs>
          <w:tab w:val="left" w:pos="1440"/>
        </w:tabs>
        <w:ind w:left="1080"/>
        <w:contextualSpacing/>
        <w:rPr>
          <w:rFonts w:cs="Tahoma"/>
        </w:rPr>
      </w:pPr>
    </w:p>
    <w:p w:rsidR="00F240D9" w:rsidRDefault="00F240D9" w:rsidP="00104195">
      <w:pPr>
        <w:tabs>
          <w:tab w:val="left" w:pos="1440"/>
        </w:tabs>
        <w:ind w:left="1080"/>
        <w:contextualSpacing/>
        <w:rPr>
          <w:rFonts w:cs="Tahoma"/>
        </w:rPr>
      </w:pPr>
    </w:p>
    <w:p w:rsidR="00F240D9" w:rsidRDefault="00F240D9" w:rsidP="00104195">
      <w:pPr>
        <w:tabs>
          <w:tab w:val="left" w:pos="1440"/>
        </w:tabs>
        <w:ind w:left="1080"/>
        <w:contextualSpacing/>
        <w:rPr>
          <w:rFonts w:cs="Tahoma"/>
        </w:rPr>
      </w:pPr>
    </w:p>
    <w:p w:rsidR="00F240D9" w:rsidRDefault="00F240D9" w:rsidP="00104195">
      <w:pPr>
        <w:tabs>
          <w:tab w:val="left" w:pos="1440"/>
        </w:tabs>
        <w:ind w:left="1080"/>
        <w:contextualSpacing/>
        <w:rPr>
          <w:rFonts w:cs="Tahoma"/>
        </w:rPr>
      </w:pPr>
    </w:p>
    <w:p w:rsidR="00F240D9" w:rsidRDefault="00F240D9" w:rsidP="00104195">
      <w:pPr>
        <w:tabs>
          <w:tab w:val="left" w:pos="1440"/>
        </w:tabs>
        <w:ind w:left="1080"/>
        <w:contextualSpacing/>
        <w:rPr>
          <w:rFonts w:cs="Tahoma"/>
        </w:rPr>
      </w:pPr>
    </w:p>
    <w:p w:rsidR="00F240D9" w:rsidRDefault="00F240D9" w:rsidP="00104195">
      <w:pPr>
        <w:tabs>
          <w:tab w:val="left" w:pos="1440"/>
        </w:tabs>
        <w:ind w:left="1080"/>
        <w:contextualSpacing/>
        <w:rPr>
          <w:rFonts w:cs="Tahoma"/>
        </w:rPr>
      </w:pPr>
    </w:p>
    <w:p w:rsidR="00F240D9" w:rsidRPr="004B208C" w:rsidRDefault="00F240D9" w:rsidP="00104195">
      <w:pPr>
        <w:tabs>
          <w:tab w:val="left" w:pos="1440"/>
        </w:tabs>
        <w:ind w:left="1080"/>
        <w:contextualSpacing/>
        <w:rPr>
          <w:rFonts w:cs="Tahoma"/>
        </w:rPr>
      </w:pPr>
    </w:p>
    <w:p w:rsidR="00104195" w:rsidRPr="004B208C" w:rsidRDefault="00A560B6" w:rsidP="00104195">
      <w:pPr>
        <w:pStyle w:val="Heading2"/>
        <w:ind w:hanging="720"/>
        <w:rPr>
          <w:rFonts w:ascii="Tahoma" w:hAnsi="Tahoma" w:cs="Tahoma"/>
        </w:rPr>
      </w:pPr>
      <w:bookmarkStart w:id="1108" w:name="_98_Windows_Multipoint"/>
      <w:bookmarkStart w:id="1109" w:name="_98Windows_Intune_Add-on"/>
      <w:bookmarkStart w:id="1110" w:name="_97_Windows_Intune"/>
      <w:bookmarkStart w:id="1111" w:name="_33_Windows_Intune"/>
      <w:bookmarkStart w:id="1112" w:name="Srv_110WindowsIntuneAddOn"/>
      <w:bookmarkStart w:id="1113" w:name="_Toc336338366"/>
      <w:bookmarkStart w:id="1114" w:name="Srv_104WindowsIntuneAddOn"/>
      <w:bookmarkStart w:id="1115" w:name="_Toc370981406"/>
      <w:bookmarkEnd w:id="1108"/>
      <w:bookmarkEnd w:id="1109"/>
      <w:bookmarkEnd w:id="1110"/>
      <w:bookmarkEnd w:id="1111"/>
      <w:r w:rsidRPr="004B208C">
        <w:rPr>
          <w:rFonts w:ascii="Tahoma" w:hAnsi="Tahoma" w:cs="Tahoma"/>
          <w:caps/>
          <w:color w:val="EE6000"/>
          <w:sz w:val="22"/>
          <w:szCs w:val="18"/>
          <w:vertAlign w:val="superscript"/>
        </w:rPr>
        <w:lastRenderedPageBreak/>
        <w:t xml:space="preserve">33 </w:t>
      </w:r>
      <w:r w:rsidRPr="004B208C">
        <w:rPr>
          <w:rFonts w:ascii="Tahoma" w:hAnsi="Tahoma" w:cs="Tahoma"/>
          <w:color w:val="EE6000"/>
          <w:sz w:val="22"/>
          <w:szCs w:val="18"/>
        </w:rPr>
        <w:t>Complemento do Windows Intune</w:t>
      </w:r>
      <w:bookmarkEnd w:id="1112"/>
      <w:bookmarkEnd w:id="1113"/>
      <w:r w:rsidRPr="004B208C">
        <w:rPr>
          <w:rFonts w:ascii="Tahoma" w:hAnsi="Tahoma" w:cs="Tahoma"/>
          <w:color w:val="EE6000"/>
          <w:sz w:val="22"/>
          <w:szCs w:val="18"/>
        </w:rPr>
        <w:t xml:space="preserve"> (Por Dispositivo)</w:t>
      </w:r>
      <w:bookmarkEnd w:id="1115"/>
    </w:p>
    <w:bookmarkEnd w:id="1114"/>
    <w:p w:rsidR="00104195" w:rsidRPr="004B208C" w:rsidRDefault="00104195" w:rsidP="00104195">
      <w:pPr>
        <w:ind w:left="720"/>
        <w:rPr>
          <w:rFonts w:cs="Tahoma"/>
        </w:rPr>
      </w:pPr>
    </w:p>
    <w:p w:rsidR="00104195" w:rsidRPr="004B208C" w:rsidRDefault="00104195" w:rsidP="00104195">
      <w:pPr>
        <w:ind w:left="720"/>
        <w:rPr>
          <w:rFonts w:cs="Tahoma"/>
        </w:rPr>
      </w:pPr>
      <w:r w:rsidRPr="004B208C">
        <w:rPr>
          <w:rFonts w:cs="Tahoma"/>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w:t>
      </w:r>
      <w:r w:rsidR="00172F11">
        <w:rPr>
          <w:rFonts w:cs="Tahoma"/>
        </w:rPr>
        <w:t xml:space="preserve"> </w:t>
      </w:r>
      <w:r w:rsidRPr="004B208C">
        <w:rPr>
          <w:rFonts w:cs="Tahoma"/>
        </w:rPr>
        <w:t xml:space="preserve">As licenças do Complemento do Windows Intune (Por Dispositivo) devem ser adquiridas de acordo com o mesmo registro da cobertura de Software Assurance ou licença do Windows VDA correspondentes. </w:t>
      </w:r>
    </w:p>
    <w:p w:rsidR="00104195" w:rsidRPr="004B208C" w:rsidRDefault="00104195" w:rsidP="00104195">
      <w:pPr>
        <w:ind w:left="720"/>
        <w:rPr>
          <w:rFonts w:cs="Tahoma"/>
        </w:rPr>
      </w:pPr>
    </w:p>
    <w:p w:rsidR="00104195" w:rsidRPr="004B208C" w:rsidRDefault="00104195" w:rsidP="00104195">
      <w:pPr>
        <w:spacing w:after="60"/>
        <w:ind w:left="720"/>
        <w:rPr>
          <w:rFonts w:cs="Tahoma"/>
        </w:rPr>
      </w:pPr>
      <w:r w:rsidRPr="004B208C">
        <w:rPr>
          <w:rFonts w:cs="Tahoma"/>
          <w:b/>
        </w:rPr>
        <w:t>Realocação da Licença</w:t>
      </w:r>
    </w:p>
    <w:p w:rsidR="00104195" w:rsidRPr="004B208C" w:rsidRDefault="00104195" w:rsidP="00104195">
      <w:pPr>
        <w:ind w:left="720"/>
        <w:rPr>
          <w:rFonts w:cs="Tahoma"/>
        </w:rPr>
      </w:pPr>
      <w:r w:rsidRPr="004B208C">
        <w:rPr>
          <w:rFonts w:cs="Tahoma"/>
        </w:rPr>
        <w:t>Os clientes poderão ceder licenças do Complemento do Windows Intune (Por Dispositivo), mas não a curto</w:t>
      </w:r>
      <w:r w:rsidR="0002786F">
        <w:rPr>
          <w:rFonts w:cs="Tahoma"/>
        </w:rPr>
        <w:t> </w:t>
      </w:r>
      <w:r w:rsidRPr="004B208C">
        <w:rPr>
          <w:rFonts w:cs="Tahoma"/>
        </w:rPr>
        <w:t>prazo (ou seja, não antes de 90 dias depois da última cessão).</w:t>
      </w:r>
      <w:r w:rsidR="00172F11">
        <w:rPr>
          <w:rFonts w:cs="Tahoma"/>
        </w:rPr>
        <w:t xml:space="preserve"> </w:t>
      </w:r>
      <w:r w:rsidRPr="004B208C">
        <w:rPr>
          <w:rFonts w:cs="Tahoma"/>
        </w:rPr>
        <w:t>Eles poderão transferir uma licença do</w:t>
      </w:r>
      <w:r w:rsidR="000B0909">
        <w:rPr>
          <w:rFonts w:cs="Tahoma"/>
        </w:rPr>
        <w:t> </w:t>
      </w:r>
      <w:r w:rsidRPr="004B208C">
        <w:rPr>
          <w:rFonts w:cs="Tahoma"/>
        </w:rPr>
        <w:t>Complemento do Windows Intune (Por Dispositivo) mais cedo se desativarem o dispositivo licenciado existente em decorrência de uma falha de hardware permanente.</w:t>
      </w:r>
      <w:r w:rsidR="00172F11">
        <w:rPr>
          <w:rFonts w:cs="Tahoma"/>
        </w:rPr>
        <w:t xml:space="preserve"> </w:t>
      </w:r>
      <w:r w:rsidRPr="004B208C">
        <w:rPr>
          <w:rFonts w:cs="Tahoma"/>
        </w:rPr>
        <w:t>O dispositivo para o qual a licença do</w:t>
      </w:r>
      <w:r w:rsidR="0092471B">
        <w:rPr>
          <w:rFonts w:cs="Tahoma"/>
        </w:rPr>
        <w:t> </w:t>
      </w:r>
      <w:r w:rsidRPr="004B208C">
        <w:rPr>
          <w:rFonts w:cs="Tahoma"/>
        </w:rPr>
        <w:t>Complemento do Windows Intune (Por Dispositivo) for cedida deverá ter um Software Assurance do</w:t>
      </w:r>
      <w:r w:rsidR="0092471B">
        <w:rPr>
          <w:rFonts w:cs="Tahoma"/>
        </w:rPr>
        <w:t> </w:t>
      </w:r>
      <w:r w:rsidRPr="004B208C">
        <w:rPr>
          <w:rFonts w:cs="Tahoma"/>
        </w:rPr>
        <w:t xml:space="preserve">Windows ativo ou uma licença ativa do Windows VDA adquirida de acordo com o mesmo registro da licença do Complemento do Windows Intune (Por Dispositivo). </w:t>
      </w:r>
    </w:p>
    <w:p w:rsidR="00023FE7" w:rsidRPr="004B208C" w:rsidRDefault="00113665">
      <w:pPr>
        <w:pStyle w:val="Heading2"/>
        <w:ind w:left="0"/>
        <w:rPr>
          <w:rFonts w:ascii="Tahoma" w:hAnsi="Tahoma" w:cs="Tahoma"/>
        </w:rPr>
      </w:pPr>
      <w:r w:rsidRPr="004B208C">
        <w:rPr>
          <w:rFonts w:ascii="Tahoma" w:hAnsi="Tahoma" w:cs="Tahoma"/>
          <w:sz w:val="28"/>
        </w:rPr>
        <w:br w:type="page"/>
      </w:r>
      <w:bookmarkStart w:id="1116" w:name="_Toc336338287"/>
      <w:bookmarkStart w:id="1117" w:name="_Toc370981407"/>
      <w:r w:rsidRPr="004B208C">
        <w:rPr>
          <w:rFonts w:ascii="Tahoma" w:hAnsi="Tahoma" w:cs="Tahoma"/>
          <w:sz w:val="28"/>
        </w:rPr>
        <w:lastRenderedPageBreak/>
        <w:t>Pool de Servidores</w:t>
      </w:r>
      <w:bookmarkEnd w:id="1116"/>
      <w:bookmarkEnd w:id="1117"/>
    </w:p>
    <w:p w:rsidR="00023FE7" w:rsidRPr="00F240D9" w:rsidRDefault="00023FE7">
      <w:pPr>
        <w:pStyle w:val="EndnoteText"/>
        <w:rPr>
          <w:rFonts w:ascii="Tahoma" w:hAnsi="Tahoma" w:cs="Tahoma"/>
          <w:sz w:val="18"/>
          <w:szCs w:val="18"/>
        </w:rPr>
      </w:pPr>
    </w:p>
    <w:p w:rsidR="003C75C8" w:rsidRPr="00F240D9" w:rsidRDefault="003C75C8" w:rsidP="003C75C8">
      <w:pPr>
        <w:pStyle w:val="EndnoteText"/>
        <w:rPr>
          <w:rFonts w:ascii="Tahoma" w:hAnsi="Tahoma" w:cs="Tahoma"/>
          <w:sz w:val="18"/>
          <w:szCs w:val="18"/>
        </w:rPr>
      </w:pPr>
      <w:bookmarkStart w:id="1118" w:name="Srv_25BingMapsandAddons"/>
    </w:p>
    <w:p w:rsidR="004640EC" w:rsidRPr="004B208C" w:rsidRDefault="00A560B6" w:rsidP="00F240D9">
      <w:pPr>
        <w:pStyle w:val="Heading2"/>
        <w:ind w:left="259" w:hanging="259"/>
        <w:rPr>
          <w:rFonts w:ascii="Tahoma" w:hAnsi="Tahoma" w:cs="Tahoma"/>
        </w:rPr>
      </w:pPr>
      <w:bookmarkStart w:id="1119" w:name="_34_Bing_Maps"/>
      <w:bookmarkStart w:id="1120" w:name="Srv_27BingMapsSvrandContentPack"/>
      <w:bookmarkStart w:id="1121" w:name="_Toc336338288"/>
      <w:bookmarkStart w:id="1122" w:name="_Toc370981408"/>
      <w:bookmarkEnd w:id="1119"/>
      <w:r w:rsidRPr="004B208C">
        <w:rPr>
          <w:rFonts w:ascii="Tahoma" w:hAnsi="Tahoma" w:cs="Tahoma"/>
          <w:caps/>
          <w:color w:val="EE6000"/>
          <w:sz w:val="22"/>
          <w:vertAlign w:val="superscript"/>
        </w:rPr>
        <w:t>34</w:t>
      </w:r>
      <w:r w:rsidRPr="004B208C">
        <w:rPr>
          <w:rFonts w:ascii="Tahoma" w:hAnsi="Tahoma" w:cs="Tahoma"/>
          <w:color w:val="EE6000"/>
          <w:sz w:val="22"/>
        </w:rPr>
        <w:t xml:space="preserve"> Complemento de Uso do Site Público dos Bing Maps e SL Complementar de Uso do</w:t>
      </w:r>
      <w:r w:rsidR="00F240D9">
        <w:rPr>
          <w:rFonts w:ascii="Tahoma" w:hAnsi="Tahoma" w:cs="Tahoma"/>
          <w:color w:val="EE6000"/>
          <w:sz w:val="22"/>
        </w:rPr>
        <w:t> </w:t>
      </w:r>
      <w:r w:rsidRPr="004B208C">
        <w:rPr>
          <w:rFonts w:ascii="Tahoma" w:hAnsi="Tahoma" w:cs="Tahoma"/>
          <w:color w:val="EE6000"/>
          <w:sz w:val="22"/>
        </w:rPr>
        <w:t>Site Interno do Bing Maps</w:t>
      </w:r>
      <w:bookmarkEnd w:id="1120"/>
      <w:bookmarkEnd w:id="1121"/>
      <w:bookmarkEnd w:id="1122"/>
    </w:p>
    <w:p w:rsidR="004668D9" w:rsidRPr="00F240D9" w:rsidRDefault="004668D9" w:rsidP="004640EC">
      <w:pPr>
        <w:pStyle w:val="NormalWeb"/>
        <w:spacing w:before="0" w:beforeAutospacing="0" w:after="0" w:afterAutospacing="0"/>
        <w:ind w:left="720"/>
        <w:rPr>
          <w:rFonts w:ascii="Tahoma" w:hAnsi="Tahoma" w:cs="Tahoma"/>
          <w:sz w:val="18"/>
          <w:szCs w:val="18"/>
        </w:rPr>
      </w:pPr>
    </w:p>
    <w:p w:rsidR="004640EC" w:rsidRPr="00F240D9" w:rsidRDefault="004640EC" w:rsidP="004640EC">
      <w:pPr>
        <w:pStyle w:val="NormalWeb"/>
        <w:spacing w:before="0" w:beforeAutospacing="0" w:after="0" w:afterAutospacing="0"/>
        <w:ind w:left="720"/>
        <w:rPr>
          <w:rFonts w:ascii="Tahoma" w:hAnsi="Tahoma" w:cs="Tahoma"/>
          <w:sz w:val="18"/>
          <w:szCs w:val="18"/>
        </w:rPr>
      </w:pPr>
      <w:r w:rsidRPr="00F240D9">
        <w:rPr>
          <w:rFonts w:ascii="Tahoma" w:hAnsi="Tahoma" w:cs="Tahoma"/>
          <w:sz w:val="18"/>
          <w:szCs w:val="18"/>
        </w:rPr>
        <w:t>Cada oferta de SL Complementar de Uso de Site Público do Bing Maps e SL Complementar de Uso de Site Interno do Bing Maps é composta de uma variedade de Transações Faturáveis (definidas neste documento).</w:t>
      </w:r>
      <w:r w:rsidR="00172F11" w:rsidRPr="00F240D9">
        <w:rPr>
          <w:rFonts w:ascii="Tahoma" w:hAnsi="Tahoma" w:cs="Tahoma"/>
          <w:sz w:val="18"/>
          <w:szCs w:val="18"/>
        </w:rPr>
        <w:t xml:space="preserve"> </w:t>
      </w:r>
      <w:r w:rsidRPr="00F240D9">
        <w:rPr>
          <w:rFonts w:ascii="Tahoma" w:hAnsi="Tahoma" w:cs="Tahoma"/>
          <w:sz w:val="18"/>
          <w:szCs w:val="18"/>
        </w:rPr>
        <w:t xml:space="preserve">“Transações Faturáveis” significa qualquer uma das seguintes opções (todos os termos com iniciais maiúsculas nos SDKs da Plataforma do Bing Maps ou nos Termos de Uso das APIs da Plataforma do Microsoft Bing Maps): (a) métodos de serviços da Web, incluindo, sem se limitar a, Imagens, Rotas, Geocode, Espaciais e Pesquisa nos Serviços; (b) uma sessão na API do Bing Maps AJAX Control, Bing Maps Windows Presentation Foundation API Beta ou API do Bing Maps Silverlight Control, sendo que uma sessão começa com a carga de qualquer uns dos controles mencionados anteriormente no navegador de um usuário e inclui todas as transações até que o navegador seja fechado ou o usuário mude para uma página diferente e (c) todos os novos recursos de Serviços podem constituir uma Transação Faturável, conforme descrição nos SDKs. </w:t>
      </w:r>
    </w:p>
    <w:p w:rsidR="004640EC" w:rsidRPr="00F240D9" w:rsidRDefault="004640EC" w:rsidP="004640EC">
      <w:pPr>
        <w:ind w:left="720"/>
        <w:rPr>
          <w:rFonts w:cs="Tahoma"/>
          <w:szCs w:val="18"/>
        </w:rPr>
      </w:pPr>
    </w:p>
    <w:p w:rsidR="004640EC" w:rsidRPr="00F240D9" w:rsidRDefault="004640EC" w:rsidP="004640EC">
      <w:pPr>
        <w:ind w:left="720"/>
        <w:rPr>
          <w:rFonts w:cs="Tahoma"/>
          <w:szCs w:val="18"/>
        </w:rPr>
      </w:pPr>
      <w:r w:rsidRPr="00F240D9">
        <w:rPr>
          <w:rFonts w:cs="Tahoma"/>
          <w:szCs w:val="18"/>
        </w:rPr>
        <w:t>Os Clientes podem comprar várias ofertas de SLs Complementares de Uso de Site Público do Bing Maps e</w:t>
      </w:r>
      <w:r w:rsidR="00F240D9">
        <w:rPr>
          <w:rFonts w:cs="Tahoma"/>
          <w:szCs w:val="18"/>
        </w:rPr>
        <w:t> </w:t>
      </w:r>
      <w:r w:rsidRPr="00F240D9">
        <w:rPr>
          <w:rFonts w:cs="Tahoma"/>
          <w:szCs w:val="18"/>
        </w:rPr>
        <w:t>SLs Complementares de Uso de Site Interno do Bing Maps para comprar Transações mais Faturáveis por</w:t>
      </w:r>
      <w:r w:rsidR="00F240D9">
        <w:rPr>
          <w:rFonts w:cs="Tahoma"/>
          <w:szCs w:val="18"/>
        </w:rPr>
        <w:t> </w:t>
      </w:r>
      <w:r w:rsidRPr="00F240D9">
        <w:rPr>
          <w:rFonts w:cs="Tahoma"/>
          <w:szCs w:val="18"/>
        </w:rPr>
        <w:t>mês, com exceção da SL Complementar do Bing Maps Platinum que só pode ser comprada uma vez.</w:t>
      </w:r>
      <w:r w:rsidR="00172F11" w:rsidRPr="00F240D9">
        <w:rPr>
          <w:rFonts w:cs="Tahoma"/>
          <w:szCs w:val="18"/>
        </w:rPr>
        <w:t xml:space="preserve"> </w:t>
      </w:r>
      <w:r w:rsidRPr="00F240D9">
        <w:rPr>
          <w:rFonts w:cs="Tahoma"/>
          <w:szCs w:val="18"/>
        </w:rPr>
        <w:t>As</w:t>
      </w:r>
      <w:r w:rsidR="00F240D9">
        <w:rPr>
          <w:rFonts w:cs="Tahoma"/>
          <w:szCs w:val="18"/>
        </w:rPr>
        <w:t> </w:t>
      </w:r>
      <w:r w:rsidRPr="00F240D9">
        <w:rPr>
          <w:rFonts w:cs="Tahoma"/>
          <w:szCs w:val="18"/>
        </w:rPr>
        <w:t>Transações Faturáveis mensais não utilizadas poderão ser transferidas mensalmente até a data do término do registro.</w:t>
      </w:r>
      <w:r w:rsidR="00172F11" w:rsidRPr="00F240D9">
        <w:rPr>
          <w:rFonts w:cs="Tahoma"/>
          <w:szCs w:val="18"/>
        </w:rPr>
        <w:t xml:space="preserve"> </w:t>
      </w:r>
      <w:r w:rsidRPr="00F240D9">
        <w:rPr>
          <w:rFonts w:cs="Tahoma"/>
          <w:szCs w:val="18"/>
        </w:rPr>
        <w:t>Na data do término do registro, todas as Transações Faturáveis não utilizadas compradas serão perdidas. Os Clientes poderão exceder o número de Transações Faturáveis compradas em</w:t>
      </w:r>
      <w:r w:rsidR="00F240D9">
        <w:rPr>
          <w:rFonts w:cs="Tahoma"/>
          <w:szCs w:val="18"/>
        </w:rPr>
        <w:t> </w:t>
      </w:r>
      <w:r w:rsidRPr="00F240D9">
        <w:rPr>
          <w:rFonts w:cs="Tahoma"/>
          <w:szCs w:val="18"/>
        </w:rPr>
        <w:t>um mês, contanto que o número total de Transações Faturáveis usadas não exceda o número total de</w:t>
      </w:r>
      <w:r w:rsidR="00F240D9">
        <w:rPr>
          <w:rFonts w:cs="Tahoma"/>
          <w:szCs w:val="18"/>
        </w:rPr>
        <w:t> </w:t>
      </w:r>
      <w:r w:rsidRPr="00F240D9">
        <w:rPr>
          <w:rFonts w:cs="Tahoma"/>
          <w:szCs w:val="18"/>
        </w:rPr>
        <w:t>Transações Faturáveis compradas depois do prazo do registro.</w:t>
      </w:r>
      <w:r w:rsidR="00172F11" w:rsidRPr="00F240D9">
        <w:rPr>
          <w:rFonts w:cs="Tahoma"/>
          <w:szCs w:val="18"/>
        </w:rPr>
        <w:t xml:space="preserve"> </w:t>
      </w:r>
      <w:r w:rsidRPr="00F240D9">
        <w:rPr>
          <w:rFonts w:cs="Tahoma"/>
          <w:szCs w:val="18"/>
        </w:rPr>
        <w:t>Se um cliente exceder o número total de</w:t>
      </w:r>
      <w:r w:rsidR="00F240D9">
        <w:rPr>
          <w:rFonts w:cs="Tahoma"/>
          <w:szCs w:val="18"/>
        </w:rPr>
        <w:t> </w:t>
      </w:r>
      <w:r w:rsidRPr="00F240D9">
        <w:rPr>
          <w:rFonts w:cs="Tahoma"/>
          <w:szCs w:val="18"/>
        </w:rPr>
        <w:t>Transações Faturáveis compradas, em 30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4640EC" w:rsidRPr="004B208C" w:rsidRDefault="004640EC" w:rsidP="004640EC">
      <w:pPr>
        <w:ind w:left="720"/>
        <w:rPr>
          <w:rFonts w:cs="Tahoma"/>
        </w:rPr>
      </w:pPr>
    </w:p>
    <w:p w:rsidR="004640EC" w:rsidRPr="004B208C" w:rsidRDefault="004640EC" w:rsidP="004640EC">
      <w:pPr>
        <w:spacing w:after="60"/>
        <w:ind w:left="720"/>
        <w:rPr>
          <w:rFonts w:cs="Tahoma"/>
        </w:rPr>
      </w:pPr>
      <w:r w:rsidRPr="004B208C">
        <w:rPr>
          <w:rFonts w:cs="Tahoma"/>
          <w:b/>
          <w:color w:val="000000" w:themeColor="text1"/>
          <w:szCs w:val="18"/>
        </w:rPr>
        <w:t>SL Complementar do Bing Maps Platinum</w:t>
      </w:r>
    </w:p>
    <w:p w:rsidR="004640EC" w:rsidRPr="00F240D9" w:rsidRDefault="004640EC" w:rsidP="004640EC">
      <w:pPr>
        <w:pStyle w:val="NormalWeb"/>
        <w:spacing w:before="0" w:beforeAutospacing="0" w:after="0" w:afterAutospacing="0"/>
        <w:ind w:left="720"/>
        <w:rPr>
          <w:rFonts w:ascii="Tahoma" w:hAnsi="Tahoma" w:cs="Tahoma"/>
          <w:sz w:val="18"/>
          <w:szCs w:val="18"/>
        </w:rPr>
      </w:pPr>
      <w:r w:rsidRPr="00F240D9">
        <w:rPr>
          <w:rFonts w:ascii="Tahoma" w:hAnsi="Tahoma" w:cs="Tahoma"/>
          <w:sz w:val="18"/>
          <w:szCs w:val="18"/>
        </w:rPr>
        <w:t>A oferta de SL Complementar do Bing Maps Platinum tem uma cobertura de uso de 400 milhões de Transações Faturáveis por ano.</w:t>
      </w:r>
      <w:r w:rsidR="00172F11" w:rsidRPr="00F240D9">
        <w:rPr>
          <w:rFonts w:ascii="Tahoma" w:hAnsi="Tahoma" w:cs="Tahoma"/>
          <w:sz w:val="18"/>
          <w:szCs w:val="18"/>
        </w:rPr>
        <w:t xml:space="preserve"> </w:t>
      </w:r>
      <w:r w:rsidRPr="00F240D9">
        <w:rPr>
          <w:rFonts w:ascii="Tahoma" w:hAnsi="Tahoma" w:cs="Tahoma"/>
          <w:sz w:val="18"/>
          <w:szCs w:val="18"/>
        </w:rPr>
        <w:t>Se, durante qualquer ano do prazo de registro, um cliente exceder a cobertura de uso de 400 milhões de Transações Faturáveis, em 60 dias do envio da notificação da Microsoft, o cliente deverá comprar ofertas adicionais de SL Complementar de Uso de Site Público do Bing Maps ou SL Complementar de Uso de Site Interno do Bing Maps para cobrir as Transações Faturáveis excedidas e as Transações Faturáveis futuras estimadas para o restante do prazo de registro, ou a Microsoft poderá encerrar o acesso do cliente ao Bing Maps.</w:t>
      </w:r>
    </w:p>
    <w:p w:rsidR="004640EC" w:rsidRPr="00F240D9" w:rsidRDefault="004640EC" w:rsidP="004640EC">
      <w:pPr>
        <w:pStyle w:val="NormalWeb"/>
        <w:spacing w:before="0" w:beforeAutospacing="0" w:after="0" w:afterAutospacing="0"/>
        <w:ind w:left="720"/>
        <w:rPr>
          <w:rFonts w:ascii="Tahoma" w:hAnsi="Tahoma" w:cs="Tahoma"/>
          <w:sz w:val="18"/>
          <w:szCs w:val="18"/>
        </w:rPr>
      </w:pPr>
    </w:p>
    <w:p w:rsidR="004640EC" w:rsidRPr="00F240D9" w:rsidRDefault="004640EC" w:rsidP="004640EC">
      <w:pPr>
        <w:spacing w:after="60"/>
        <w:ind w:left="720"/>
        <w:rPr>
          <w:rFonts w:cs="Tahoma"/>
          <w:szCs w:val="18"/>
        </w:rPr>
      </w:pPr>
      <w:r w:rsidRPr="00F240D9">
        <w:rPr>
          <w:rFonts w:cs="Tahoma"/>
          <w:b/>
          <w:color w:val="000000" w:themeColor="text1"/>
          <w:szCs w:val="18"/>
        </w:rPr>
        <w:t>Suporte ao Cliente do Bing Maps</w:t>
      </w:r>
    </w:p>
    <w:p w:rsidR="004640EC" w:rsidRPr="00F240D9" w:rsidRDefault="004640EC" w:rsidP="004640EC">
      <w:pPr>
        <w:pStyle w:val="NormalWeb"/>
        <w:spacing w:before="0" w:beforeAutospacing="0" w:after="0" w:afterAutospacing="0"/>
        <w:ind w:left="720"/>
        <w:rPr>
          <w:rFonts w:ascii="Tahoma" w:hAnsi="Tahoma" w:cs="Tahoma"/>
          <w:sz w:val="18"/>
          <w:szCs w:val="18"/>
        </w:rPr>
      </w:pPr>
      <w:r w:rsidRPr="00F240D9">
        <w:rPr>
          <w:rFonts w:ascii="Tahoma" w:hAnsi="Tahoma" w:cs="Tahoma"/>
          <w:sz w:val="18"/>
          <w:szCs w:val="18"/>
        </w:rPr>
        <w:t>O Suporte ao Cliente do Bing Maps está disponível para todos os clientes que comprem o Bing Maps da seguinte forma.</w:t>
      </w:r>
    </w:p>
    <w:p w:rsidR="004640EC" w:rsidRPr="00F240D9" w:rsidRDefault="004640EC" w:rsidP="004640EC">
      <w:pPr>
        <w:pStyle w:val="NormalWeb"/>
        <w:spacing w:before="0" w:beforeAutospacing="0" w:after="0" w:afterAutospacing="0"/>
        <w:ind w:left="720"/>
        <w:rPr>
          <w:rFonts w:ascii="Tahoma" w:hAnsi="Tahoma" w:cs="Tahoma"/>
          <w:sz w:val="18"/>
          <w:szCs w:val="18"/>
        </w:rPr>
      </w:pPr>
    </w:p>
    <w:p w:rsidR="004640EC" w:rsidRPr="00F240D9" w:rsidRDefault="004640EC" w:rsidP="004640EC">
      <w:pPr>
        <w:spacing w:after="60"/>
        <w:ind w:left="720"/>
        <w:rPr>
          <w:rFonts w:cs="Tahoma"/>
          <w:szCs w:val="18"/>
        </w:rPr>
      </w:pPr>
      <w:r w:rsidRPr="00F240D9">
        <w:rPr>
          <w:rFonts w:cs="Tahoma"/>
          <w:b/>
          <w:bCs/>
          <w:color w:val="000000"/>
          <w:szCs w:val="18"/>
        </w:rPr>
        <w:t>O Suporte ao Cliente do Bing Maps Inclui:</w:t>
      </w:r>
    </w:p>
    <w:p w:rsidR="004640EC" w:rsidRPr="00F240D9" w:rsidRDefault="004640EC" w:rsidP="004640EC">
      <w:pPr>
        <w:ind w:left="720"/>
        <w:rPr>
          <w:rFonts w:cs="Tahoma"/>
          <w:szCs w:val="18"/>
        </w:rPr>
      </w:pPr>
      <w:r w:rsidRPr="00F240D9">
        <w:rPr>
          <w:rFonts w:cs="Tahoma"/>
          <w:color w:val="000000"/>
          <w:szCs w:val="18"/>
        </w:rPr>
        <w:t>Acesso direto à Equipe de Suporte Técnico do Bing Maps por email, telefone e Web durante o horário comercial, das 8 às 2 da manhã GMT, de segunda a sexta-feira, exceto em feriados públicos americanos.</w:t>
      </w:r>
      <w:r w:rsidR="00172F11" w:rsidRPr="00F240D9">
        <w:rPr>
          <w:rFonts w:cs="Tahoma"/>
          <w:color w:val="000000"/>
          <w:szCs w:val="18"/>
        </w:rPr>
        <w:t xml:space="preserve"> </w:t>
      </w:r>
      <w:r w:rsidRPr="00F240D9">
        <w:rPr>
          <w:rFonts w:cs="Tahoma"/>
          <w:color w:val="000000"/>
          <w:szCs w:val="18"/>
        </w:rPr>
        <w:t>O</w:t>
      </w:r>
      <w:r w:rsidR="00F240D9">
        <w:rPr>
          <w:rFonts w:cs="Tahoma"/>
          <w:color w:val="000000"/>
          <w:szCs w:val="18"/>
        </w:rPr>
        <w:t> </w:t>
      </w:r>
      <w:r w:rsidRPr="00F240D9">
        <w:rPr>
          <w:rFonts w:cs="Tahoma"/>
          <w:color w:val="000000"/>
          <w:szCs w:val="18"/>
        </w:rPr>
        <w:t>cliente também horas nas quais não é fornecido acesso de emergência (das 2 às 8 da manhã GMT) à Equipe de Suporte para problemas relacionados a serviços de emergência (apenas pelo número de telefone fornecido abaixo).</w:t>
      </w:r>
      <w:r w:rsidR="00172F11" w:rsidRPr="00F240D9">
        <w:rPr>
          <w:rFonts w:cs="Tahoma"/>
          <w:color w:val="000000"/>
          <w:szCs w:val="18"/>
        </w:rPr>
        <w:t xml:space="preserve"> </w:t>
      </w:r>
      <w:r w:rsidRPr="00F240D9">
        <w:rPr>
          <w:rFonts w:cs="Tahoma"/>
          <w:color w:val="000000"/>
          <w:szCs w:val="18"/>
        </w:rPr>
        <w:t>Todos os outros problemas relacionados durante as horas sem acesso serão adiados para</w:t>
      </w:r>
      <w:r w:rsidR="00F240D9">
        <w:rPr>
          <w:rFonts w:cs="Tahoma"/>
          <w:color w:val="000000"/>
          <w:szCs w:val="18"/>
        </w:rPr>
        <w:t> </w:t>
      </w:r>
      <w:r w:rsidRPr="00F240D9">
        <w:rPr>
          <w:rFonts w:cs="Tahoma"/>
          <w:color w:val="000000"/>
          <w:szCs w:val="18"/>
        </w:rPr>
        <w:t>horas comerciais normais.</w:t>
      </w:r>
      <w:r w:rsidR="00172F11" w:rsidRPr="00F240D9">
        <w:rPr>
          <w:rFonts w:cs="Tahoma"/>
          <w:color w:val="000000"/>
          <w:szCs w:val="18"/>
        </w:rPr>
        <w:t xml:space="preserve"> </w:t>
      </w:r>
      <w:r w:rsidRPr="00F240D9">
        <w:rPr>
          <w:rFonts w:cs="Tahoma"/>
          <w:color w:val="000000"/>
          <w:szCs w:val="18"/>
        </w:rPr>
        <w:t>A Equipe de Suporte pode ser contatada pelos seguintes métodos ou sucessores deste:</w:t>
      </w:r>
    </w:p>
    <w:p w:rsidR="004640EC" w:rsidRDefault="004640EC" w:rsidP="004640EC">
      <w:pPr>
        <w:ind w:left="720"/>
        <w:rPr>
          <w:rFonts w:cs="Tahoma"/>
          <w:szCs w:val="18"/>
        </w:rPr>
      </w:pPr>
    </w:p>
    <w:p w:rsidR="006747B4" w:rsidRDefault="006747B4" w:rsidP="004640EC">
      <w:pPr>
        <w:ind w:left="720"/>
        <w:rPr>
          <w:rFonts w:cs="Tahoma"/>
          <w:szCs w:val="18"/>
        </w:rPr>
      </w:pPr>
    </w:p>
    <w:p w:rsidR="006747B4" w:rsidRDefault="006747B4" w:rsidP="004640EC">
      <w:pPr>
        <w:ind w:left="720"/>
        <w:rPr>
          <w:rFonts w:cs="Tahoma"/>
          <w:szCs w:val="18"/>
        </w:rPr>
      </w:pPr>
    </w:p>
    <w:p w:rsidR="006747B4" w:rsidRPr="00F240D9" w:rsidRDefault="006747B4" w:rsidP="004640EC">
      <w:pPr>
        <w:ind w:left="720"/>
        <w:rPr>
          <w:rFonts w:cs="Tahoma"/>
          <w:szCs w:val="18"/>
        </w:rPr>
      </w:pPr>
    </w:p>
    <w:p w:rsidR="004640EC" w:rsidRPr="004B208C" w:rsidRDefault="004640EC" w:rsidP="004640EC">
      <w:pPr>
        <w:ind w:left="720"/>
        <w:rPr>
          <w:rFonts w:cs="Tahoma"/>
        </w:rPr>
      </w:pPr>
      <w:r w:rsidRPr="004B208C">
        <w:rPr>
          <w:rFonts w:cs="Tahoma"/>
          <w:color w:val="000000"/>
          <w:szCs w:val="18"/>
        </w:rPr>
        <w:lastRenderedPageBreak/>
        <w:t>Email:</w:t>
      </w:r>
    </w:p>
    <w:p w:rsidR="004640EC" w:rsidRPr="004B208C" w:rsidRDefault="00C70EF2" w:rsidP="004640EC">
      <w:pPr>
        <w:ind w:left="720"/>
        <w:rPr>
          <w:rFonts w:cs="Tahoma"/>
        </w:rPr>
      </w:pPr>
      <w:hyperlink r:id="rId42" w:history="1">
        <w:r w:rsidR="00CF5A3E" w:rsidRPr="004B208C">
          <w:rPr>
            <w:rStyle w:val="Hyperlink"/>
            <w:rFonts w:cs="Tahoma"/>
            <w:szCs w:val="18"/>
          </w:rPr>
          <w:t>bmesupp@microsoft.com</w:t>
        </w:r>
      </w:hyperlink>
    </w:p>
    <w:p w:rsidR="004640EC" w:rsidRPr="004B208C" w:rsidRDefault="004640EC" w:rsidP="004640EC">
      <w:pPr>
        <w:ind w:left="720"/>
        <w:rPr>
          <w:rFonts w:cs="Tahoma"/>
        </w:rPr>
      </w:pPr>
    </w:p>
    <w:p w:rsidR="004640EC" w:rsidRPr="004B208C" w:rsidRDefault="004640EC" w:rsidP="004640EC">
      <w:pPr>
        <w:ind w:left="720"/>
        <w:rPr>
          <w:rFonts w:cs="Tahoma"/>
        </w:rPr>
      </w:pPr>
      <w:r w:rsidRPr="004B208C">
        <w:rPr>
          <w:rFonts w:cs="Tahoma"/>
          <w:color w:val="000000"/>
          <w:szCs w:val="18"/>
        </w:rPr>
        <w:t>Telefone:</w:t>
      </w:r>
    </w:p>
    <w:p w:rsidR="004640EC" w:rsidRPr="004B208C" w:rsidRDefault="004640EC" w:rsidP="004640EC">
      <w:pPr>
        <w:ind w:left="720"/>
        <w:rPr>
          <w:rFonts w:cs="Tahoma"/>
        </w:rPr>
      </w:pPr>
      <w:r w:rsidRPr="004B208C">
        <w:rPr>
          <w:rFonts w:cs="Tahoma"/>
          <w:color w:val="000000"/>
          <w:szCs w:val="18"/>
        </w:rPr>
        <w:t>+1 (800) 552-8872 (se estiver nos Estados Unidos e Canadá)</w:t>
      </w:r>
    </w:p>
    <w:p w:rsidR="004640EC" w:rsidRPr="004B208C" w:rsidRDefault="004640EC" w:rsidP="004640EC">
      <w:pPr>
        <w:ind w:left="720"/>
        <w:rPr>
          <w:rFonts w:cs="Tahoma"/>
        </w:rPr>
      </w:pPr>
      <w:r w:rsidRPr="004B208C">
        <w:rPr>
          <w:rFonts w:cs="Tahoma"/>
          <w:color w:val="000000"/>
          <w:szCs w:val="18"/>
        </w:rPr>
        <w:t>+1 (425) 705-2737 (se estiver fora dos Estados Unidos e Canadá)</w:t>
      </w:r>
    </w:p>
    <w:p w:rsidR="004640EC" w:rsidRPr="004B208C" w:rsidRDefault="004640EC" w:rsidP="004640EC">
      <w:pPr>
        <w:ind w:left="720"/>
        <w:rPr>
          <w:rFonts w:cs="Tahoma"/>
        </w:rPr>
      </w:pPr>
    </w:p>
    <w:p w:rsidR="004640EC" w:rsidRPr="004B208C" w:rsidRDefault="004640EC" w:rsidP="004640EC">
      <w:pPr>
        <w:ind w:left="720"/>
        <w:rPr>
          <w:rFonts w:cs="Tahoma"/>
        </w:rPr>
      </w:pPr>
      <w:r w:rsidRPr="004B208C">
        <w:rPr>
          <w:rFonts w:cs="Tahoma"/>
          <w:color w:val="000000"/>
          <w:szCs w:val="18"/>
        </w:rPr>
        <w:t>Formulário da Web</w:t>
      </w:r>
    </w:p>
    <w:p w:rsidR="004640EC" w:rsidRPr="004B208C" w:rsidRDefault="00C70EF2" w:rsidP="004640EC">
      <w:pPr>
        <w:ind w:left="720"/>
        <w:rPr>
          <w:rFonts w:cs="Tahoma"/>
        </w:rPr>
      </w:pPr>
      <w:hyperlink r:id="rId43" w:history="1">
        <w:r w:rsidR="00F240D9" w:rsidRPr="004640EC">
          <w:rPr>
            <w:rStyle w:val="Hyperlink"/>
            <w:rFonts w:cs="Tahoma"/>
            <w:szCs w:val="18"/>
          </w:rPr>
          <w:t>https://support.microsoft.com/oas/default.aspx?prid=13766&amp;st=1</w:t>
        </w:r>
      </w:hyperlink>
    </w:p>
    <w:p w:rsidR="004640EC" w:rsidRPr="004B208C" w:rsidRDefault="004640EC" w:rsidP="004640EC">
      <w:pPr>
        <w:ind w:left="720"/>
        <w:rPr>
          <w:rFonts w:cs="Tahoma"/>
        </w:rPr>
      </w:pPr>
    </w:p>
    <w:p w:rsidR="004640EC" w:rsidRPr="004B208C" w:rsidRDefault="004640EC" w:rsidP="004640EC">
      <w:pPr>
        <w:ind w:left="720"/>
        <w:rPr>
          <w:rFonts w:cs="Tahoma"/>
        </w:rPr>
      </w:pPr>
      <w:r w:rsidRPr="004B208C">
        <w:rPr>
          <w:rFonts w:cs="Tahoma"/>
          <w:b/>
          <w:bCs/>
          <w:color w:val="000000"/>
          <w:szCs w:val="18"/>
        </w:rPr>
        <w:t>Prioridade</w:t>
      </w:r>
      <w:r w:rsidRPr="004B208C">
        <w:rPr>
          <w:rFonts w:cs="Tahoma"/>
          <w:color w:val="000000"/>
          <w:szCs w:val="18"/>
        </w:rPr>
        <w:t>.</w:t>
      </w:r>
      <w:r w:rsidR="00172F11">
        <w:rPr>
          <w:rFonts w:cs="Tahoma"/>
          <w:color w:val="000000"/>
          <w:szCs w:val="18"/>
        </w:rPr>
        <w:t xml:space="preserve"> </w:t>
      </w:r>
      <w:r w:rsidRPr="004B208C">
        <w:rPr>
          <w:rFonts w:cs="Tahoma"/>
          <w:color w:val="000000"/>
          <w:szCs w:val="18"/>
        </w:rPr>
        <w:t>Todas as solicitações de suporte ao cliente do Bing Maps para a Equipe de Suporte serão designadas como Gravidade Nível A, B, C ou D, conforme descrito nos gráficos de Níveis de Gravidade e Meta do Tempo de Resposta abaixo.</w:t>
      </w:r>
      <w:r w:rsidR="00172F11">
        <w:rPr>
          <w:rFonts w:cs="Tahoma"/>
          <w:color w:val="000000"/>
          <w:szCs w:val="18"/>
        </w:rPr>
        <w:t xml:space="preserve"> </w:t>
      </w:r>
      <w:r w:rsidRPr="004B208C">
        <w:rPr>
          <w:rFonts w:cs="Tahoma"/>
          <w:color w:val="000000"/>
          <w:szCs w:val="18"/>
        </w:rPr>
        <w:t>Um Engenheiro de Suporte responderá de acordo com os Tempos-alvo de Resposta indicados no gráfico abaixo.</w:t>
      </w:r>
      <w:r w:rsidR="00172F11">
        <w:rPr>
          <w:rFonts w:cs="Tahoma"/>
          <w:color w:val="000000"/>
          <w:szCs w:val="18"/>
        </w:rPr>
        <w:t xml:space="preserve"> </w:t>
      </w:r>
      <w:r w:rsidRPr="004B208C">
        <w:rPr>
          <w:rFonts w:cs="Tahoma"/>
          <w:color w:val="000000"/>
          <w:szCs w:val="18"/>
        </w:rPr>
        <w:t>O Engenheiro de Suporte determinará a designação do nível de gravidade final de acordo com a Descrição dos Problemas de Serviço do gráfico abaixo.</w:t>
      </w:r>
    </w:p>
    <w:p w:rsidR="004640EC" w:rsidRPr="004B208C" w:rsidRDefault="004640EC" w:rsidP="004640EC">
      <w:pPr>
        <w:ind w:left="720"/>
        <w:rPr>
          <w:rFonts w:cs="Tahoma"/>
        </w:rPr>
      </w:pPr>
      <w:r w:rsidRPr="004B208C">
        <w:rPr>
          <w:rFonts w:cs="Tahoma"/>
          <w:b/>
          <w:bCs/>
          <w:color w:val="000000"/>
          <w:szCs w:val="18"/>
        </w:rPr>
        <w:t xml:space="preserve">Níveis de Gravidade de Horário Comercial Normal e Meta do Tempo de Resposta: </w:t>
      </w:r>
    </w:p>
    <w:p w:rsidR="004640EC" w:rsidRPr="004B208C" w:rsidRDefault="004640EC" w:rsidP="004640EC">
      <w:pPr>
        <w:ind w:left="720"/>
        <w:rPr>
          <w:rFonts w:cs="Tahoma"/>
        </w:rPr>
      </w:pPr>
    </w:p>
    <w:p w:rsidR="004640EC" w:rsidRPr="004B208C"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710"/>
        <w:gridCol w:w="2070"/>
        <w:gridCol w:w="5445"/>
      </w:tblGrid>
      <w:tr w:rsidR="004640EC" w:rsidRPr="004B208C" w:rsidTr="00F240D9">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b/>
                <w:bCs/>
                <w:color w:val="000000"/>
                <w:szCs w:val="18"/>
              </w:rPr>
              <w:t>Nível de Gravidade do Problema</w:t>
            </w:r>
          </w:p>
        </w:tc>
        <w:tc>
          <w:tcPr>
            <w:tcW w:w="207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b/>
                <w:bCs/>
                <w:color w:val="000000"/>
                <w:szCs w:val="18"/>
              </w:rPr>
              <w:t>Meta do Tempo de Resposta</w:t>
            </w:r>
          </w:p>
        </w:tc>
        <w:tc>
          <w:tcPr>
            <w:tcW w:w="544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b/>
                <w:bCs/>
                <w:color w:val="000000"/>
                <w:szCs w:val="18"/>
              </w:rPr>
              <w:t>Descrição dos Problemas de Serviço</w:t>
            </w:r>
          </w:p>
        </w:tc>
      </w:tr>
      <w:tr w:rsidR="004640EC" w:rsidRPr="004B208C" w:rsidTr="00F240D9">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Gravidade A</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1 Hora Comercial</w:t>
            </w:r>
          </w:p>
        </w:tc>
        <w:tc>
          <w:tcPr>
            <w:tcW w:w="54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O cliente está relatando uma paralisação dos Serviços ou outro problema crítico nos aplicativos de produção.</w:t>
            </w:r>
          </w:p>
        </w:tc>
      </w:tr>
      <w:tr w:rsidR="004640EC" w:rsidRPr="004B208C" w:rsidTr="00F240D9">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Gravidade B</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4 Horas Comerciais</w:t>
            </w:r>
          </w:p>
        </w:tc>
        <w:tc>
          <w:tcPr>
            <w:tcW w:w="54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O cliente está relatando um problema importante que está causando um problema significativo nos aplicativos de produção.</w:t>
            </w:r>
          </w:p>
        </w:tc>
      </w:tr>
      <w:tr w:rsidR="004640EC" w:rsidRPr="004B208C" w:rsidTr="00F240D9">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Gravidade C</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1 Dia Útil</w:t>
            </w:r>
          </w:p>
        </w:tc>
        <w:tc>
          <w:tcPr>
            <w:tcW w:w="54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O cliente está relatando problemas não críticos (como problemas em produtos ou de desenvolvimento em geral, etc.).</w:t>
            </w:r>
          </w:p>
        </w:tc>
      </w:tr>
      <w:tr w:rsidR="004640EC" w:rsidRPr="004B208C" w:rsidTr="00F240D9">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Gravidade D</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3 Dias Úteis</w:t>
            </w:r>
          </w:p>
        </w:tc>
        <w:tc>
          <w:tcPr>
            <w:tcW w:w="54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O cliente está fornecendo feedback sobre um problema de mapeamento, instruções de direção ou código geográfico.</w:t>
            </w:r>
          </w:p>
        </w:tc>
      </w:tr>
    </w:tbl>
    <w:p w:rsidR="004640EC" w:rsidRPr="004B208C" w:rsidRDefault="004640EC" w:rsidP="004640EC">
      <w:pPr>
        <w:ind w:left="720"/>
        <w:rPr>
          <w:rFonts w:cs="Tahoma"/>
        </w:rPr>
      </w:pPr>
    </w:p>
    <w:p w:rsidR="004640EC" w:rsidRPr="004B208C" w:rsidRDefault="004640EC" w:rsidP="004640EC">
      <w:pPr>
        <w:ind w:left="720"/>
        <w:rPr>
          <w:rFonts w:cs="Tahoma"/>
        </w:rPr>
      </w:pPr>
      <w:r w:rsidRPr="004B208C">
        <w:rPr>
          <w:rFonts w:cs="Tahoma"/>
          <w:b/>
          <w:bCs/>
          <w:color w:val="000000"/>
          <w:szCs w:val="18"/>
        </w:rPr>
        <w:t xml:space="preserve">Entre em Contato com as Informações por 24 horas por dia, 7 dias por semana, com o Suporte de Emergência de Paralisação de Clientes: </w:t>
      </w:r>
    </w:p>
    <w:p w:rsidR="00F240D9" w:rsidRPr="004640EC" w:rsidRDefault="00F240D9" w:rsidP="00F240D9">
      <w:pPr>
        <w:ind w:left="720"/>
        <w:rPr>
          <w:rFonts w:cs="Tahoma"/>
          <w:i/>
          <w:iCs/>
          <w:szCs w:val="18"/>
        </w:rPr>
      </w:pPr>
    </w:p>
    <w:p w:rsidR="004640EC" w:rsidRPr="004B208C" w:rsidRDefault="004640EC" w:rsidP="004640EC">
      <w:pPr>
        <w:ind w:left="720"/>
        <w:rPr>
          <w:rFonts w:cs="Tahoma"/>
        </w:rPr>
      </w:pPr>
      <w:r w:rsidRPr="004B208C">
        <w:rPr>
          <w:rFonts w:cs="Tahoma"/>
          <w:szCs w:val="18"/>
        </w:rPr>
        <w:t>Telefone:</w:t>
      </w:r>
    </w:p>
    <w:p w:rsidR="004640EC" w:rsidRPr="004B208C" w:rsidRDefault="004640EC" w:rsidP="004640EC">
      <w:pPr>
        <w:ind w:left="720"/>
        <w:rPr>
          <w:rFonts w:cs="Tahoma"/>
        </w:rPr>
      </w:pPr>
      <w:r w:rsidRPr="004B208C">
        <w:rPr>
          <w:rFonts w:cs="Tahoma"/>
          <w:color w:val="000000"/>
          <w:szCs w:val="18"/>
        </w:rPr>
        <w:t xml:space="preserve">+1 (800) 552-8872 (se estiver nos Estados Unidos e Canadá) </w:t>
      </w:r>
    </w:p>
    <w:p w:rsidR="004640EC" w:rsidRPr="004B208C" w:rsidRDefault="004640EC" w:rsidP="004640EC">
      <w:pPr>
        <w:ind w:left="720"/>
        <w:rPr>
          <w:rFonts w:cs="Tahoma"/>
        </w:rPr>
      </w:pPr>
      <w:r w:rsidRPr="004B208C">
        <w:rPr>
          <w:rFonts w:cs="Tahoma"/>
          <w:color w:val="000000"/>
          <w:szCs w:val="18"/>
        </w:rPr>
        <w:t xml:space="preserve">+1 (425) 705-2737 (se estiver fora dos Estados Unidos e Canadá) </w:t>
      </w:r>
    </w:p>
    <w:p w:rsidR="004640EC" w:rsidRPr="004B208C" w:rsidRDefault="004640EC" w:rsidP="004640EC">
      <w:pPr>
        <w:ind w:left="720"/>
        <w:rPr>
          <w:rFonts w:cs="Tahoma"/>
        </w:rPr>
      </w:pPr>
    </w:p>
    <w:p w:rsidR="004640EC" w:rsidRPr="004B208C" w:rsidRDefault="004640EC" w:rsidP="004640EC">
      <w:pPr>
        <w:ind w:left="720"/>
        <w:rPr>
          <w:rFonts w:cs="Tahoma"/>
        </w:rPr>
      </w:pPr>
      <w:r w:rsidRPr="004B208C">
        <w:rPr>
          <w:rFonts w:cs="Tahoma"/>
          <w:color w:val="000000"/>
          <w:szCs w:val="18"/>
        </w:rPr>
        <w:t>Notificação Importante: o suporte de emergência de 24 horas por dia, 7 dias por semana, só está disponível para problemas que se enquadrem no Nível A de Gravidade (uma paralisação de Serviços ou degradação de</w:t>
      </w:r>
      <w:r w:rsidR="00F240D9">
        <w:rPr>
          <w:rFonts w:cs="Tahoma"/>
          <w:color w:val="000000"/>
          <w:szCs w:val="18"/>
        </w:rPr>
        <w:t> </w:t>
      </w:r>
      <w:r w:rsidRPr="004B208C">
        <w:rPr>
          <w:rFonts w:cs="Tahoma"/>
          <w:color w:val="000000"/>
          <w:szCs w:val="18"/>
        </w:rPr>
        <w:t>Serviços que afetam os aplicativos de produção do Cliente). A Microsoft responderá a todos os problemas de</w:t>
      </w:r>
      <w:r w:rsidR="00F240D9">
        <w:rPr>
          <w:rFonts w:cs="Tahoma"/>
          <w:color w:val="000000"/>
          <w:szCs w:val="18"/>
        </w:rPr>
        <w:t> </w:t>
      </w:r>
      <w:r w:rsidRPr="004B208C">
        <w:rPr>
          <w:rFonts w:cs="Tahoma"/>
          <w:color w:val="000000"/>
          <w:szCs w:val="18"/>
        </w:rPr>
        <w:t>horas sem acesso que não se enquadrem no Nível A de Gravidade no próximo dia útil, com base na Meta</w:t>
      </w:r>
      <w:r w:rsidR="00F240D9">
        <w:rPr>
          <w:rFonts w:cs="Tahoma"/>
          <w:color w:val="000000"/>
          <w:szCs w:val="18"/>
        </w:rPr>
        <w:t> </w:t>
      </w:r>
      <w:r w:rsidRPr="004B208C">
        <w:rPr>
          <w:rFonts w:cs="Tahoma"/>
          <w:color w:val="000000"/>
          <w:szCs w:val="18"/>
        </w:rPr>
        <w:t>de</w:t>
      </w:r>
      <w:r w:rsidR="00F240D9">
        <w:rPr>
          <w:rFonts w:cs="Tahoma"/>
          <w:color w:val="000000"/>
          <w:szCs w:val="18"/>
        </w:rPr>
        <w:t> </w:t>
      </w:r>
      <w:r w:rsidRPr="004B208C">
        <w:rPr>
          <w:rFonts w:cs="Tahoma"/>
          <w:color w:val="000000"/>
          <w:szCs w:val="18"/>
        </w:rPr>
        <w:t>Tempo de Resposta destacada acima. Além disso, note que os problemas enviados por email (</w:t>
      </w:r>
      <w:hyperlink r:id="rId44" w:history="1">
        <w:r w:rsidRPr="004B208C">
          <w:rPr>
            <w:rStyle w:val="Hyperlink"/>
            <w:rFonts w:cs="Tahoma"/>
            <w:szCs w:val="18"/>
          </w:rPr>
          <w:t>bmesupp@microsoft.com</w:t>
        </w:r>
      </w:hyperlink>
      <w:r w:rsidRPr="004B208C">
        <w:rPr>
          <w:rFonts w:cs="Tahoma"/>
          <w:color w:val="000000"/>
          <w:szCs w:val="18"/>
        </w:rPr>
        <w:t xml:space="preserve">) ou Formulário da Web não são monitorados fora das horas comerciais normais da Equipe de Suporte ao Cliente do Bing Maps. </w:t>
      </w:r>
    </w:p>
    <w:p w:rsidR="004640EC" w:rsidRPr="004B208C" w:rsidRDefault="004640EC" w:rsidP="004640EC">
      <w:pPr>
        <w:ind w:left="720"/>
        <w:rPr>
          <w:rFonts w:cs="Tahoma"/>
        </w:rPr>
      </w:pPr>
    </w:p>
    <w:p w:rsidR="004640EC" w:rsidRPr="004B208C" w:rsidRDefault="004640EC" w:rsidP="004640EC">
      <w:pPr>
        <w:ind w:left="720"/>
        <w:rPr>
          <w:rFonts w:cs="Tahoma"/>
        </w:rPr>
      </w:pPr>
      <w:r w:rsidRPr="004B208C">
        <w:rPr>
          <w:rFonts w:cs="Tahoma"/>
          <w:b/>
          <w:bCs/>
          <w:color w:val="000000"/>
          <w:szCs w:val="18"/>
        </w:rPr>
        <w:t>Níveis de Gravidade de Horário de Emergência sem Acesso e Meta do Tempo de Resposta:</w:t>
      </w:r>
    </w:p>
    <w:p w:rsidR="004640EC" w:rsidRPr="004B208C"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710"/>
        <w:gridCol w:w="2070"/>
        <w:gridCol w:w="5445"/>
      </w:tblGrid>
      <w:tr w:rsidR="004640EC" w:rsidRPr="004B208C" w:rsidTr="00F240D9">
        <w:trPr>
          <w:trHeight w:val="549"/>
        </w:trPr>
        <w:tc>
          <w:tcPr>
            <w:tcW w:w="1710"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b/>
                <w:bCs/>
                <w:color w:val="000000"/>
                <w:szCs w:val="18"/>
              </w:rPr>
              <w:t>Nível de Gravidade do Problema</w:t>
            </w:r>
          </w:p>
        </w:tc>
        <w:tc>
          <w:tcPr>
            <w:tcW w:w="207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b/>
                <w:bCs/>
                <w:color w:val="000000"/>
                <w:szCs w:val="18"/>
              </w:rPr>
              <w:t>Meta do Tempo de Resposta</w:t>
            </w:r>
          </w:p>
        </w:tc>
        <w:tc>
          <w:tcPr>
            <w:tcW w:w="544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b/>
                <w:bCs/>
                <w:color w:val="000000"/>
                <w:szCs w:val="18"/>
              </w:rPr>
              <w:t>Descrição dos Problemas de Serviço</w:t>
            </w:r>
          </w:p>
        </w:tc>
      </w:tr>
      <w:tr w:rsidR="004640EC" w:rsidRPr="004B208C" w:rsidTr="00F240D9">
        <w:trPr>
          <w:trHeight w:val="549"/>
        </w:trPr>
        <w:tc>
          <w:tcPr>
            <w:tcW w:w="171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Gravidade A</w:t>
            </w:r>
          </w:p>
        </w:tc>
        <w:tc>
          <w:tcPr>
            <w:tcW w:w="20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1 Hora Comercial</w:t>
            </w:r>
          </w:p>
        </w:tc>
        <w:tc>
          <w:tcPr>
            <w:tcW w:w="54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4B208C" w:rsidRDefault="004640EC" w:rsidP="00136585">
            <w:pPr>
              <w:rPr>
                <w:rFonts w:cs="Tahoma"/>
                <w:color w:val="000000"/>
                <w:szCs w:val="18"/>
              </w:rPr>
            </w:pPr>
            <w:r w:rsidRPr="004B208C">
              <w:rPr>
                <w:rFonts w:cs="Tahoma"/>
                <w:color w:val="000000"/>
                <w:szCs w:val="18"/>
              </w:rPr>
              <w:t>O cliente está relatando uma paralisação dos Serviços ou outro problema crítico nos aplicativos de produção.</w:t>
            </w:r>
          </w:p>
        </w:tc>
      </w:tr>
    </w:tbl>
    <w:p w:rsidR="004640EC" w:rsidRPr="004B208C" w:rsidRDefault="004640EC" w:rsidP="004640EC">
      <w:pPr>
        <w:ind w:left="720"/>
        <w:rPr>
          <w:rFonts w:cs="Tahoma"/>
        </w:rPr>
      </w:pPr>
    </w:p>
    <w:bookmarkEnd w:id="1118"/>
    <w:p w:rsidR="00F240D9" w:rsidRDefault="00F240D9" w:rsidP="00AD481C">
      <w:pPr>
        <w:ind w:left="720"/>
        <w:rPr>
          <w:rFonts w:cs="Tahoma"/>
          <w:b/>
          <w:bCs/>
          <w:color w:val="000000"/>
          <w:szCs w:val="18"/>
        </w:rPr>
      </w:pPr>
    </w:p>
    <w:p w:rsidR="00F240D9" w:rsidRDefault="00F240D9" w:rsidP="00AD481C">
      <w:pPr>
        <w:ind w:left="720"/>
        <w:rPr>
          <w:rFonts w:cs="Tahoma"/>
          <w:b/>
          <w:bCs/>
          <w:color w:val="000000"/>
          <w:szCs w:val="18"/>
        </w:rPr>
      </w:pPr>
    </w:p>
    <w:p w:rsidR="00F240D9" w:rsidRDefault="00F240D9" w:rsidP="00AD481C">
      <w:pPr>
        <w:ind w:left="720"/>
        <w:rPr>
          <w:rFonts w:cs="Tahoma"/>
          <w:b/>
          <w:bCs/>
          <w:color w:val="000000"/>
          <w:szCs w:val="18"/>
        </w:rPr>
      </w:pPr>
    </w:p>
    <w:p w:rsidR="00AD481C" w:rsidRPr="004B208C" w:rsidRDefault="00AD481C" w:rsidP="00AD481C">
      <w:pPr>
        <w:ind w:left="720"/>
        <w:rPr>
          <w:rFonts w:cs="Tahoma"/>
        </w:rPr>
      </w:pPr>
      <w:r w:rsidRPr="004B208C">
        <w:rPr>
          <w:rFonts w:cs="Tahoma"/>
          <w:b/>
          <w:bCs/>
          <w:color w:val="000000"/>
          <w:szCs w:val="18"/>
        </w:rPr>
        <w:lastRenderedPageBreak/>
        <w:t>Como acessar o Serviço Bing Maps:</w:t>
      </w:r>
    </w:p>
    <w:p w:rsidR="00AD481C" w:rsidRPr="004B208C" w:rsidRDefault="00AD481C" w:rsidP="00AD481C">
      <w:pPr>
        <w:ind w:left="720"/>
        <w:rPr>
          <w:rFonts w:cs="Tahoma"/>
        </w:rPr>
      </w:pPr>
    </w:p>
    <w:p w:rsidR="00B17BCD" w:rsidRPr="004B208C" w:rsidRDefault="00B17BCD" w:rsidP="00B17BCD">
      <w:pPr>
        <w:ind w:left="720"/>
        <w:rPr>
          <w:rFonts w:cs="Tahoma"/>
        </w:rPr>
      </w:pPr>
      <w:r w:rsidRPr="004B208C">
        <w:rPr>
          <w:rFonts w:cs="Tahoma"/>
          <w:color w:val="000000"/>
          <w:szCs w:val="18"/>
        </w:rPr>
        <w:t>Você pode provisionar as IDs de Conta do Bing Maps de acordo com seu Contrato de Licenciamento por Volume usando o formulário de provisionamento de acesso de produção no Centro de Contas do Bing Maps (</w:t>
      </w:r>
      <w:hyperlink r:id="rId45" w:history="1">
        <w:r w:rsidR="00F240D9" w:rsidRPr="009D42D5">
          <w:rPr>
            <w:rFonts w:cs="Tahoma"/>
            <w:color w:val="000000"/>
            <w:szCs w:val="18"/>
          </w:rPr>
          <w:t>https://www.bingmapsportal.com/</w:t>
        </w:r>
      </w:hyperlink>
      <w:r w:rsidRPr="004B208C">
        <w:rPr>
          <w:rFonts w:cs="Tahoma"/>
          <w:color w:val="000000"/>
          <w:szCs w:val="18"/>
        </w:rPr>
        <w:t>).</w:t>
      </w:r>
      <w:r w:rsidR="00172F11">
        <w:rPr>
          <w:rFonts w:cs="Tahoma"/>
          <w:color w:val="000000"/>
          <w:szCs w:val="18"/>
        </w:rPr>
        <w:t xml:space="preserve"> </w:t>
      </w:r>
      <w:r w:rsidRPr="004B208C">
        <w:rPr>
          <w:rFonts w:cs="Tahoma"/>
          <w:color w:val="000000"/>
          <w:szCs w:val="18"/>
        </w:rPr>
        <w:t>O acesso de produção para IDs de Conta do Bing Maps será concedido assim que você tiver fornecido seu número de Registro/Contrato de Licenciamento por Volume e selecionado a família de produtos associada à sua compra.</w:t>
      </w:r>
    </w:p>
    <w:p w:rsidR="00B17BCD" w:rsidRPr="004B208C" w:rsidRDefault="00B17BCD" w:rsidP="00B17BCD">
      <w:pPr>
        <w:pStyle w:val="EndnoteText"/>
        <w:ind w:left="0"/>
        <w:rPr>
          <w:rFonts w:ascii="Tahoma" w:hAnsi="Tahoma" w:cs="Tahoma"/>
        </w:rPr>
      </w:pPr>
    </w:p>
    <w:p w:rsidR="00B17BCD" w:rsidRPr="00F240D9" w:rsidRDefault="00B17BCD" w:rsidP="00B17BCD">
      <w:pPr>
        <w:pStyle w:val="NormalWeb"/>
        <w:spacing w:before="0" w:beforeAutospacing="0" w:after="0" w:afterAutospacing="0"/>
        <w:ind w:left="720"/>
        <w:rPr>
          <w:rFonts w:ascii="Tahoma" w:hAnsi="Tahoma" w:cs="Tahoma"/>
          <w:sz w:val="18"/>
          <w:szCs w:val="18"/>
        </w:rPr>
      </w:pPr>
      <w:r w:rsidRPr="00F240D9">
        <w:rPr>
          <w:rFonts w:ascii="Tahoma" w:hAnsi="Tahoma" w:cs="Tahoma"/>
          <w:sz w:val="18"/>
          <w:szCs w:val="18"/>
        </w:rPr>
        <w:t>É necessário no mínimo uma ID de Conta do Bing Maps para cada oferta adquirida de uma família de produtos diferente. As famílias de produtos diferentes são Site Público do Bing Maps, Site Interno do Bing Maps, SL de Usuário Conhecido do Bing Maps, Usuário Conhecido do Bing Maps Light e Gerenciamento de Ativos Móveis do Bing Maps.</w:t>
      </w:r>
    </w:p>
    <w:p w:rsidR="00B17BCD" w:rsidRPr="00F240D9" w:rsidRDefault="00B17BCD" w:rsidP="00B17BCD">
      <w:pPr>
        <w:pStyle w:val="NormalWeb"/>
        <w:spacing w:before="0" w:beforeAutospacing="0" w:after="0" w:afterAutospacing="0"/>
        <w:ind w:left="720"/>
        <w:rPr>
          <w:rFonts w:ascii="Tahoma" w:hAnsi="Tahoma" w:cs="Tahoma"/>
          <w:sz w:val="18"/>
          <w:szCs w:val="18"/>
        </w:rPr>
      </w:pPr>
    </w:p>
    <w:p w:rsidR="00B17BCD" w:rsidRPr="00F240D9" w:rsidRDefault="00B17BCD" w:rsidP="00B17BCD">
      <w:pPr>
        <w:spacing w:after="60"/>
        <w:ind w:left="720"/>
        <w:rPr>
          <w:rFonts w:cs="Tahoma"/>
          <w:szCs w:val="18"/>
        </w:rPr>
      </w:pPr>
      <w:r w:rsidRPr="00F240D9">
        <w:rPr>
          <w:rFonts w:cs="Tahoma"/>
          <w:szCs w:val="18"/>
        </w:rPr>
        <w:t xml:space="preserve">Condições especiais se aplicam à família de produtos de Gerenciamento de Ativos Móveis. Ao adquirir algo desta família de produtos, você terá uma ID de Conta do Bing Maps separada para cada combinação de região (por exemplo, Europa vs. América do Norte) e opções de roteamento(com roteamento vs. sem roteamento). Por exemplo: um cliente que solicitar o </w:t>
      </w:r>
      <w:r w:rsidRPr="00F240D9">
        <w:rPr>
          <w:rFonts w:eastAsia="Calibri" w:cs="Tahoma"/>
          <w:color w:val="000000"/>
          <w:szCs w:val="18"/>
        </w:rPr>
        <w:t xml:space="preserve">Gerenciamento de Ativos Móveis do Bing Maps para América do Norte sem Roteamento, Gerenciamento de Ativos Móveis do Bing Maps para Europa sem Roteamento e Gerenciamento de Ativos Móveis do Bing Maps para Europa com Roteamento terão pelo menos três IDs de Conta do Bing Maps devido às seleções diferentes de regiões geográficas e roteamento. </w:t>
      </w:r>
    </w:p>
    <w:p w:rsidR="00AD481C" w:rsidRPr="004B208C" w:rsidRDefault="00AD481C" w:rsidP="00EB6203">
      <w:pPr>
        <w:spacing w:after="60"/>
        <w:ind w:left="1440"/>
        <w:rPr>
          <w:rFonts w:cs="Tahoma"/>
        </w:rPr>
      </w:pPr>
    </w:p>
    <w:p w:rsidR="00E03856" w:rsidRPr="00F240D9" w:rsidRDefault="00E03856" w:rsidP="00676723">
      <w:pPr>
        <w:pStyle w:val="EndnoteText"/>
        <w:ind w:left="0"/>
        <w:rPr>
          <w:rFonts w:ascii="Tahoma" w:hAnsi="Tahoma" w:cs="Tahoma"/>
          <w:sz w:val="18"/>
          <w:szCs w:val="18"/>
        </w:rPr>
      </w:pPr>
    </w:p>
    <w:p w:rsidR="008233B3" w:rsidRPr="004B208C" w:rsidRDefault="00A560B6" w:rsidP="008233B3">
      <w:pPr>
        <w:pStyle w:val="Heading3"/>
        <w:rPr>
          <w:rFonts w:ascii="Tahoma" w:hAnsi="Tahoma" w:cs="Tahoma"/>
        </w:rPr>
      </w:pPr>
      <w:bookmarkStart w:id="1123" w:name="_29_BizTalk®_Server"/>
      <w:bookmarkStart w:id="1124" w:name="_32_BizTalk_Server®"/>
      <w:bookmarkStart w:id="1125" w:name="_35_BizTalk_Server®"/>
      <w:bookmarkStart w:id="1126" w:name="_Toc370981409"/>
      <w:bookmarkEnd w:id="1123"/>
      <w:bookmarkEnd w:id="1124"/>
      <w:bookmarkEnd w:id="1125"/>
      <w:r w:rsidRPr="004B208C">
        <w:rPr>
          <w:rFonts w:ascii="Tahoma" w:hAnsi="Tahoma" w:cs="Tahoma"/>
          <w:caps/>
          <w:color w:val="F66400"/>
          <w:sz w:val="22"/>
          <w:vertAlign w:val="superscript"/>
        </w:rPr>
        <w:t xml:space="preserve">35 </w:t>
      </w:r>
      <w:r w:rsidRPr="004B208C">
        <w:rPr>
          <w:rFonts w:ascii="Tahoma" w:hAnsi="Tahoma" w:cs="Tahoma"/>
          <w:color w:val="F66400"/>
          <w:sz w:val="22"/>
        </w:rPr>
        <w:t>BizTalk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2013 Branch</w:t>
      </w:r>
      <w:bookmarkEnd w:id="1126"/>
    </w:p>
    <w:p w:rsidR="008233B3" w:rsidRPr="004B208C" w:rsidRDefault="008233B3" w:rsidP="008233B3">
      <w:pPr>
        <w:rPr>
          <w:rFonts w:cs="Tahoma"/>
        </w:rPr>
      </w:pPr>
    </w:p>
    <w:p w:rsidR="008233B3" w:rsidRPr="004B208C" w:rsidRDefault="008233B3" w:rsidP="008233B3">
      <w:pPr>
        <w:spacing w:after="60"/>
        <w:ind w:left="720"/>
        <w:rPr>
          <w:rFonts w:cs="Tahoma"/>
        </w:rPr>
      </w:pPr>
      <w:r w:rsidRPr="004B208C">
        <w:rPr>
          <w:rFonts w:eastAsia="Calibri" w:cs="Tahoma"/>
          <w:b/>
          <w:color w:val="000000"/>
          <w:szCs w:val="18"/>
        </w:rPr>
        <w:t>Outorgas de Licença Associadas à Alteração no Modelo de Licenciamento</w:t>
      </w:r>
    </w:p>
    <w:p w:rsidR="008233B3" w:rsidRPr="004B208C" w:rsidRDefault="008233B3" w:rsidP="008233B3">
      <w:pPr>
        <w:ind w:left="720"/>
        <w:rPr>
          <w:rFonts w:cs="Tahoma"/>
        </w:rPr>
      </w:pPr>
      <w:r w:rsidRPr="004B208C">
        <w:rPr>
          <w:rFonts w:eastAsia="Calibri" w:cs="Tahoma"/>
          <w:color w:val="000000"/>
          <w:szCs w:val="18"/>
        </w:rPr>
        <w:t>O BizTalk Server 2010 será a última versão do BizTalk Server licenciada sob o modelo de licenciamento por processador.</w:t>
      </w:r>
      <w:r w:rsidR="00172F11">
        <w:rPr>
          <w:rFonts w:eastAsia="Calibri" w:cs="Tahoma"/>
          <w:color w:val="000000"/>
          <w:szCs w:val="18"/>
        </w:rPr>
        <w:t xml:space="preserve"> </w:t>
      </w:r>
      <w:r w:rsidRPr="004B208C">
        <w:rPr>
          <w:rFonts w:eastAsia="Calibri" w:cs="Tahoma"/>
          <w:color w:val="000000"/>
          <w:szCs w:val="18"/>
        </w:rPr>
        <w:t xml:space="preserve">Como uma exceção, aos clientes de Licenciamento por Volume com Software Assurance ativo para licenças do processador do BizTalk Server 2010 Branch a partir da publicação desta Lista de Produtos (“licenças qualificadas”) são concedidas as seguintes opções. </w:t>
      </w:r>
    </w:p>
    <w:p w:rsidR="008233B3" w:rsidRPr="004B208C" w:rsidRDefault="008233B3" w:rsidP="008233B3">
      <w:pPr>
        <w:ind w:left="720"/>
        <w:rPr>
          <w:rFonts w:cs="Tahoma"/>
        </w:rPr>
      </w:pPr>
    </w:p>
    <w:p w:rsidR="008233B3" w:rsidRPr="004B208C" w:rsidRDefault="008233B3" w:rsidP="008233B3">
      <w:pPr>
        <w:spacing w:after="60"/>
        <w:ind w:left="720"/>
        <w:rPr>
          <w:rFonts w:cs="Tahoma"/>
        </w:rPr>
      </w:pPr>
      <w:r w:rsidRPr="004B208C">
        <w:rPr>
          <w:rFonts w:eastAsia="Calibri" w:cs="Tahoma"/>
          <w:b/>
          <w:color w:val="000000"/>
          <w:szCs w:val="18"/>
        </w:rPr>
        <w:t>Prazo Atual</w:t>
      </w:r>
    </w:p>
    <w:p w:rsidR="008233B3" w:rsidRPr="004B208C" w:rsidRDefault="008233B3" w:rsidP="008233B3">
      <w:pPr>
        <w:ind w:left="720"/>
        <w:rPr>
          <w:rFonts w:cs="Tahoma"/>
        </w:rPr>
      </w:pPr>
      <w:r w:rsidRPr="004B208C">
        <w:rPr>
          <w:rFonts w:eastAsia="Calibri" w:cs="Tahoma"/>
          <w:color w:val="000000"/>
          <w:szCs w:val="18"/>
        </w:rPr>
        <w:t xml:space="preserve">Durante o prazo atual da sua cobertura de Software Assurance, os clientes (incluindo aqueles sob contratos de assinatura) poderão, sob qualquer licença qualificada, atualizar e usar a última versão do BizTalk Server Branch em vez do BizTalk Server 2010 Branch sujeito aos direitos de uso do produto de licença do processador do BizTalk Server 2010 Branch (conforme os Direitos de Uso do Produto de janeiro de 2013). </w:t>
      </w:r>
    </w:p>
    <w:p w:rsidR="00D57009" w:rsidRPr="004B208C" w:rsidRDefault="00D57009">
      <w:pPr>
        <w:rPr>
          <w:rFonts w:cs="Tahoma"/>
        </w:rPr>
      </w:pPr>
    </w:p>
    <w:p w:rsidR="008233B3" w:rsidRPr="004B208C" w:rsidRDefault="008233B3" w:rsidP="008233B3">
      <w:pPr>
        <w:spacing w:after="60"/>
        <w:ind w:left="720"/>
        <w:rPr>
          <w:rFonts w:cs="Tahoma"/>
        </w:rPr>
      </w:pPr>
      <w:r w:rsidRPr="004B208C">
        <w:rPr>
          <w:rFonts w:eastAsia="Calibri" w:cs="Tahoma"/>
          <w:b/>
          <w:color w:val="000000"/>
          <w:szCs w:val="18"/>
        </w:rPr>
        <w:t>Primeiro Prazo de Renovação</w:t>
      </w:r>
    </w:p>
    <w:p w:rsidR="008233B3" w:rsidRPr="004B208C" w:rsidRDefault="008233B3" w:rsidP="008233B3">
      <w:pPr>
        <w:tabs>
          <w:tab w:val="left" w:pos="1800"/>
        </w:tabs>
        <w:spacing w:after="60"/>
        <w:ind w:left="720"/>
        <w:rPr>
          <w:rFonts w:cs="Tahoma"/>
        </w:rPr>
      </w:pPr>
      <w:r w:rsidRPr="004B208C">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Branch sem adquirir as licenças principais subjacentes para uma série de licenças principais iguais ao número de licenças de processador qualificadas atribuídas ao servidor multiplicado pelo maior de: </w:t>
      </w:r>
    </w:p>
    <w:p w:rsidR="008233B3" w:rsidRPr="004B208C" w:rsidRDefault="008233B3" w:rsidP="00A1385C">
      <w:pPr>
        <w:numPr>
          <w:ilvl w:val="3"/>
          <w:numId w:val="88"/>
        </w:numPr>
        <w:tabs>
          <w:tab w:val="left" w:pos="2160"/>
        </w:tabs>
        <w:spacing w:after="60"/>
        <w:ind w:left="2160"/>
        <w:rPr>
          <w:rFonts w:cs="Tahoma"/>
        </w:rPr>
      </w:pPr>
      <w:r w:rsidRPr="004B208C">
        <w:rPr>
          <w:rFonts w:eastAsia="Calibri" w:cs="Tahoma"/>
          <w:color w:val="000000"/>
          <w:szCs w:val="18"/>
        </w:rPr>
        <w:t>Quatro OU</w:t>
      </w:r>
    </w:p>
    <w:p w:rsidR="008233B3" w:rsidRPr="004B208C" w:rsidRDefault="008233B3" w:rsidP="00A1385C">
      <w:pPr>
        <w:numPr>
          <w:ilvl w:val="3"/>
          <w:numId w:val="88"/>
        </w:numPr>
        <w:tabs>
          <w:tab w:val="left" w:pos="2160"/>
        </w:tabs>
        <w:spacing w:after="60"/>
        <w:ind w:left="2160"/>
        <w:rPr>
          <w:rFonts w:cs="Tahoma"/>
        </w:rPr>
      </w:pPr>
      <w:r w:rsidRPr="004B208C">
        <w:rPr>
          <w:rFonts w:eastAsia="Calibri" w:cs="Tahoma"/>
          <w:color w:val="000000"/>
          <w:szCs w:val="18"/>
        </w:rPr>
        <w:t>o número real de núcleos por processador físico multiplicado pelo fator do núcleo apropriado.</w:t>
      </w:r>
      <w:r w:rsidR="00172F11">
        <w:rPr>
          <w:rFonts w:eastAsia="Calibri" w:cs="Tahoma"/>
          <w:color w:val="000000"/>
          <w:szCs w:val="18"/>
        </w:rPr>
        <w:t xml:space="preserve"> </w:t>
      </w:r>
      <w:r w:rsidRPr="004B208C">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4B208C" w:rsidRDefault="008233B3" w:rsidP="008233B3">
      <w:pPr>
        <w:tabs>
          <w:tab w:val="left" w:pos="1800"/>
        </w:tabs>
        <w:ind w:left="1080"/>
        <w:rPr>
          <w:rFonts w:cs="Tahoma"/>
        </w:rPr>
      </w:pPr>
    </w:p>
    <w:p w:rsidR="008233B3" w:rsidRPr="004B208C" w:rsidRDefault="008233B3" w:rsidP="008233B3">
      <w:pPr>
        <w:spacing w:after="60"/>
        <w:ind w:left="720"/>
        <w:rPr>
          <w:rFonts w:cs="Tahoma"/>
        </w:rPr>
      </w:pPr>
      <w:r w:rsidRPr="004B208C">
        <w:rPr>
          <w:rFonts w:eastAsia="Calibri" w:cs="Tahoma"/>
          <w:color w:val="000000"/>
          <w:szCs w:val="18"/>
        </w:rPr>
        <w:t xml:space="preserve">As licenças do processador dos clientes não são mais válidas na aquisição do Software Assurance para as licenças principais sob esta oferta. </w:t>
      </w:r>
      <w:r w:rsidRPr="004B208C">
        <w:rPr>
          <w:rFonts w:eastAsia="Calibri" w:cs="Tahoma"/>
          <w:szCs w:val="18"/>
        </w:rPr>
        <w:t>A opção de adquirir o Software Assurance para licenças principais do BizTalk Server não é aplicável à renovação de cobertura sob os programas de assinatura.</w:t>
      </w:r>
      <w:r w:rsidR="00172F11">
        <w:rPr>
          <w:rFonts w:eastAsia="Calibri" w:cs="Tahoma"/>
          <w:szCs w:val="18"/>
        </w:rPr>
        <w:t xml:space="preserve"> </w:t>
      </w:r>
    </w:p>
    <w:p w:rsidR="008233B3" w:rsidRDefault="008233B3" w:rsidP="008233B3">
      <w:pPr>
        <w:ind w:left="1440"/>
        <w:rPr>
          <w:rFonts w:cs="Tahoma"/>
        </w:rPr>
      </w:pPr>
    </w:p>
    <w:p w:rsidR="00F240D9" w:rsidRPr="004B208C" w:rsidRDefault="00F240D9" w:rsidP="008233B3">
      <w:pPr>
        <w:ind w:left="1440"/>
        <w:rPr>
          <w:rFonts w:cs="Tahoma"/>
        </w:rPr>
      </w:pPr>
    </w:p>
    <w:p w:rsidR="008233B3" w:rsidRPr="004B208C" w:rsidRDefault="008233B3" w:rsidP="008233B3">
      <w:pPr>
        <w:tabs>
          <w:tab w:val="left" w:pos="1440"/>
        </w:tabs>
        <w:spacing w:after="60"/>
        <w:ind w:left="720"/>
        <w:rPr>
          <w:rFonts w:cs="Tahoma"/>
        </w:rPr>
      </w:pPr>
      <w:r w:rsidRPr="004B208C">
        <w:rPr>
          <w:rFonts w:eastAsia="Calibri" w:cs="Tahoma"/>
          <w:b/>
          <w:color w:val="000000"/>
          <w:szCs w:val="18"/>
        </w:rPr>
        <w:lastRenderedPageBreak/>
        <w:t>Para os clientes com cobertura de Software Assurance que optaram pela não renovação</w:t>
      </w:r>
    </w:p>
    <w:p w:rsidR="008233B3" w:rsidRPr="004B208C" w:rsidRDefault="008233B3" w:rsidP="008233B3">
      <w:pPr>
        <w:tabs>
          <w:tab w:val="left" w:pos="1440"/>
        </w:tabs>
        <w:ind w:left="720"/>
        <w:rPr>
          <w:rFonts w:cs="Tahoma"/>
        </w:rPr>
      </w:pPr>
      <w:r w:rsidRPr="004B208C">
        <w:rPr>
          <w:rFonts w:cs="Tahoma"/>
        </w:rPr>
        <w:t xml:space="preserve">Os clientes </w:t>
      </w:r>
      <w:r w:rsidRPr="004B208C">
        <w:rPr>
          <w:rFonts w:eastAsia="Calibri" w:cs="Tahoma"/>
          <w:color w:val="000000"/>
          <w:szCs w:val="18"/>
        </w:rPr>
        <w:t xml:space="preserve">Enterprise Subscription </w:t>
      </w:r>
      <w:r w:rsidRPr="004B208C">
        <w:rPr>
          <w:rFonts w:cs="Tahoma"/>
          <w:bCs/>
          <w:color w:val="000000"/>
          <w:szCs w:val="18"/>
        </w:rPr>
        <w:t xml:space="preserve">e Open Value Subscription </w:t>
      </w:r>
      <w:r w:rsidRPr="004B208C">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rsidR="008233B3" w:rsidRPr="004B208C" w:rsidRDefault="008233B3" w:rsidP="008233B3">
      <w:pPr>
        <w:tabs>
          <w:tab w:val="left" w:pos="1440"/>
        </w:tabs>
        <w:ind w:left="720"/>
        <w:rPr>
          <w:rFonts w:cs="Tahoma"/>
        </w:rPr>
      </w:pPr>
    </w:p>
    <w:p w:rsidR="008233B3" w:rsidRPr="004B208C" w:rsidRDefault="008233B3" w:rsidP="00A1385C">
      <w:pPr>
        <w:numPr>
          <w:ilvl w:val="0"/>
          <w:numId w:val="51"/>
        </w:numPr>
        <w:spacing w:after="60"/>
        <w:ind w:left="1440"/>
        <w:rPr>
          <w:rFonts w:cs="Tahoma"/>
        </w:rPr>
      </w:pPr>
      <w:r w:rsidRPr="004B208C">
        <w:rPr>
          <w:rFonts w:eastAsia="Calibri" w:cs="Tahoma"/>
          <w:b/>
          <w:color w:val="000000"/>
          <w:szCs w:val="18"/>
        </w:rPr>
        <w:t>BizTalk Server 2010 Branch:</w:t>
      </w:r>
      <w:r w:rsidRPr="004B208C">
        <w:rPr>
          <w:rFonts w:eastAsia="Calibri" w:cs="Tahoma"/>
          <w:color w:val="000000"/>
          <w:szCs w:val="18"/>
        </w:rPr>
        <w:t xml:space="preserve"> O uso contínuo desta versão do software está sujeito aos direitos de uso do produto de licença do processador do BizTalk Server 2010 Branch; no entanto, os clientes não têm mais Mobilidade de Licenças por meio de Software Assurance.</w:t>
      </w:r>
    </w:p>
    <w:p w:rsidR="008233B3" w:rsidRPr="004B208C" w:rsidRDefault="00AF7294" w:rsidP="00A1385C">
      <w:pPr>
        <w:numPr>
          <w:ilvl w:val="0"/>
          <w:numId w:val="51"/>
        </w:numPr>
        <w:tabs>
          <w:tab w:val="left" w:pos="1800"/>
        </w:tabs>
        <w:spacing w:after="60"/>
        <w:ind w:left="1440"/>
        <w:rPr>
          <w:rFonts w:cs="Tahoma"/>
        </w:rPr>
      </w:pPr>
      <w:r w:rsidRPr="004B208C">
        <w:rPr>
          <w:rFonts w:eastAsia="Calibri" w:cs="Tahoma"/>
          <w:b/>
          <w:color w:val="000000"/>
          <w:szCs w:val="18"/>
        </w:rPr>
        <w:t xml:space="preserve">Última versão do BizTalk Server Branch: </w:t>
      </w:r>
      <w:r w:rsidRPr="004B208C">
        <w:rPr>
          <w:rFonts w:eastAsia="Calibri" w:cs="Tahoma"/>
          <w:color w:val="000000"/>
          <w:szCs w:val="18"/>
        </w:rPr>
        <w:t xml:space="preserve">O uso desta versão do software está sujeito aos direitos de uso do produto de licença do processador do BizTalk Server 2010 Branch, no entanto: </w:t>
      </w:r>
    </w:p>
    <w:p w:rsidR="008233B3" w:rsidRPr="004B208C" w:rsidRDefault="008233B3" w:rsidP="00A1385C">
      <w:pPr>
        <w:numPr>
          <w:ilvl w:val="1"/>
          <w:numId w:val="51"/>
        </w:numPr>
        <w:tabs>
          <w:tab w:val="left" w:pos="2160"/>
        </w:tabs>
        <w:spacing w:after="60"/>
        <w:ind w:left="2160"/>
        <w:rPr>
          <w:rFonts w:cs="Tahoma"/>
        </w:rPr>
      </w:pPr>
      <w:r w:rsidRPr="004B208C">
        <w:rPr>
          <w:rFonts w:eastAsia="Calibri" w:cs="Tahoma"/>
          <w:color w:val="000000"/>
          <w:szCs w:val="18"/>
        </w:rPr>
        <w:t xml:space="preserve">os clientes não têm mais Mobilidade de Licença nos Farms de Servidores nem Mobilidade de Licença por meio de Software Assurance e </w:t>
      </w:r>
    </w:p>
    <w:p w:rsidR="008233B3" w:rsidRPr="004B208C" w:rsidRDefault="008233B3" w:rsidP="00A1385C">
      <w:pPr>
        <w:numPr>
          <w:ilvl w:val="1"/>
          <w:numId w:val="51"/>
        </w:numPr>
        <w:tabs>
          <w:tab w:val="left" w:pos="2160"/>
          <w:tab w:val="left" w:pos="2970"/>
        </w:tabs>
        <w:spacing w:after="60"/>
        <w:ind w:left="2160"/>
        <w:rPr>
          <w:rFonts w:cs="Tahoma"/>
        </w:rPr>
      </w:pPr>
      <w:r w:rsidRPr="004B208C">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rsidR="008233B3" w:rsidRPr="004B208C" w:rsidRDefault="008233B3" w:rsidP="00A1385C">
      <w:pPr>
        <w:numPr>
          <w:ilvl w:val="2"/>
          <w:numId w:val="51"/>
        </w:numPr>
        <w:tabs>
          <w:tab w:val="left" w:pos="2520"/>
        </w:tabs>
        <w:spacing w:after="60"/>
        <w:ind w:left="2520"/>
        <w:rPr>
          <w:rFonts w:cs="Tahoma"/>
        </w:rPr>
      </w:pPr>
      <w:r w:rsidRPr="004B208C">
        <w:rPr>
          <w:rFonts w:eastAsia="Calibri" w:cs="Tahoma"/>
          <w:color w:val="000000"/>
          <w:szCs w:val="18"/>
        </w:rPr>
        <w:t xml:space="preserve">Para cada licença qualificada atribuída ao servidor, a equivalência de licença principal é maior do que: </w:t>
      </w:r>
    </w:p>
    <w:p w:rsidR="008233B3" w:rsidRPr="004B208C" w:rsidRDefault="008233B3" w:rsidP="00A1385C">
      <w:pPr>
        <w:numPr>
          <w:ilvl w:val="4"/>
          <w:numId w:val="121"/>
        </w:numPr>
        <w:tabs>
          <w:tab w:val="left" w:pos="2880"/>
        </w:tabs>
        <w:spacing w:after="60"/>
        <w:ind w:left="2880"/>
        <w:rPr>
          <w:rFonts w:cs="Tahoma"/>
        </w:rPr>
      </w:pPr>
      <w:r w:rsidRPr="004B208C">
        <w:rPr>
          <w:rFonts w:eastAsia="Calibri" w:cs="Tahoma"/>
          <w:color w:val="000000"/>
          <w:szCs w:val="18"/>
        </w:rPr>
        <w:t xml:space="preserve">quatro núcleos por licença de processador OU </w:t>
      </w:r>
    </w:p>
    <w:p w:rsidR="008233B3" w:rsidRPr="004B208C" w:rsidRDefault="008233B3" w:rsidP="00A1385C">
      <w:pPr>
        <w:numPr>
          <w:ilvl w:val="4"/>
          <w:numId w:val="121"/>
        </w:numPr>
        <w:tabs>
          <w:tab w:val="left" w:pos="2880"/>
        </w:tabs>
        <w:spacing w:after="60"/>
        <w:ind w:left="2880"/>
        <w:rPr>
          <w:rFonts w:cs="Tahoma"/>
        </w:rPr>
      </w:pPr>
      <w:r w:rsidRPr="004B208C">
        <w:rPr>
          <w:rFonts w:eastAsia="Calibri" w:cs="Tahoma"/>
          <w:color w:val="000000"/>
          <w:szCs w:val="18"/>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4B208C" w:rsidRDefault="008233B3" w:rsidP="00A1385C">
      <w:pPr>
        <w:numPr>
          <w:ilvl w:val="1"/>
          <w:numId w:val="123"/>
        </w:numPr>
        <w:tabs>
          <w:tab w:val="left" w:pos="1800"/>
        </w:tabs>
        <w:spacing w:after="60"/>
        <w:rPr>
          <w:rFonts w:cs="Tahoma"/>
        </w:rPr>
      </w:pPr>
      <w:r w:rsidRPr="004B208C">
        <w:rPr>
          <w:rFonts w:eastAsia="Calibri" w:cs="Tahoma"/>
          <w:color w:val="000000"/>
          <w:szCs w:val="18"/>
        </w:rPr>
        <w:t xml:space="preserve">Os Clientes </w:t>
      </w:r>
      <w:r w:rsidRPr="004B208C">
        <w:rPr>
          <w:rFonts w:eastAsia="Calibri" w:cs="Tahoma"/>
          <w:szCs w:val="18"/>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8233B3" w:rsidRPr="004B208C" w:rsidRDefault="008233B3" w:rsidP="00A1385C">
      <w:pPr>
        <w:numPr>
          <w:ilvl w:val="1"/>
          <w:numId w:val="123"/>
        </w:numPr>
        <w:tabs>
          <w:tab w:val="left" w:pos="1800"/>
          <w:tab w:val="left" w:pos="2970"/>
        </w:tabs>
        <w:spacing w:after="60"/>
        <w:rPr>
          <w:rFonts w:cs="Tahoma"/>
        </w:rPr>
      </w:pPr>
      <w:r w:rsidRPr="004B208C">
        <w:rPr>
          <w:rFonts w:eastAsia="Calibri" w:cs="Tahoma"/>
          <w:color w:val="000000"/>
          <w:szCs w:val="18"/>
        </w:rPr>
        <w:t>A equivalência de licença principal dos clientes não implica que eles podem atribuir uma única licença de processador a núcleos por dois ou mais processadores.</w:t>
      </w:r>
    </w:p>
    <w:p w:rsidR="008233B3" w:rsidRPr="004B208C" w:rsidRDefault="008233B3" w:rsidP="008233B3">
      <w:pPr>
        <w:ind w:left="1440"/>
        <w:rPr>
          <w:rFonts w:cs="Tahoma"/>
        </w:rPr>
      </w:pPr>
    </w:p>
    <w:p w:rsidR="008233B3" w:rsidRPr="004B208C" w:rsidRDefault="008233B3" w:rsidP="008233B3">
      <w:pPr>
        <w:rPr>
          <w:rFonts w:cs="Tahoma"/>
        </w:rPr>
      </w:pPr>
    </w:p>
    <w:p w:rsidR="008233B3" w:rsidRPr="004B208C" w:rsidRDefault="00A560B6" w:rsidP="008233B3">
      <w:pPr>
        <w:pStyle w:val="Heading3"/>
        <w:rPr>
          <w:rFonts w:ascii="Tahoma" w:hAnsi="Tahoma" w:cs="Tahoma"/>
        </w:rPr>
      </w:pPr>
      <w:bookmarkStart w:id="1127" w:name="_36_BizTalk_Server®"/>
      <w:bookmarkStart w:id="1128" w:name="_Toc343596567"/>
      <w:bookmarkStart w:id="1129" w:name="_Toc370981410"/>
      <w:bookmarkEnd w:id="1127"/>
      <w:r w:rsidRPr="004B208C">
        <w:rPr>
          <w:rFonts w:ascii="Tahoma" w:hAnsi="Tahoma" w:cs="Tahoma"/>
          <w:caps/>
          <w:color w:val="F66400"/>
          <w:sz w:val="22"/>
          <w:vertAlign w:val="superscript"/>
        </w:rPr>
        <w:t xml:space="preserve">36 </w:t>
      </w:r>
      <w:r w:rsidRPr="004B208C">
        <w:rPr>
          <w:rFonts w:ascii="Tahoma" w:hAnsi="Tahoma" w:cs="Tahoma"/>
          <w:color w:val="F66400"/>
          <w:sz w:val="22"/>
        </w:rPr>
        <w:t>BizTalk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2013 Enterprise</w:t>
      </w:r>
      <w:bookmarkEnd w:id="1129"/>
      <w:r w:rsidRPr="004B208C">
        <w:rPr>
          <w:rFonts w:ascii="Tahoma" w:hAnsi="Tahoma" w:cs="Tahoma"/>
          <w:color w:val="F66400"/>
          <w:sz w:val="22"/>
        </w:rPr>
        <w:t xml:space="preserve"> </w:t>
      </w:r>
      <w:bookmarkEnd w:id="1128"/>
    </w:p>
    <w:p w:rsidR="008233B3" w:rsidRPr="004B208C" w:rsidRDefault="008233B3" w:rsidP="008233B3">
      <w:pPr>
        <w:ind w:left="720"/>
        <w:rPr>
          <w:rFonts w:cs="Tahoma"/>
        </w:rPr>
      </w:pPr>
    </w:p>
    <w:p w:rsidR="008233B3" w:rsidRPr="004B208C" w:rsidRDefault="008233B3" w:rsidP="008233B3">
      <w:pPr>
        <w:spacing w:after="60"/>
        <w:ind w:left="720"/>
        <w:rPr>
          <w:rFonts w:cs="Tahoma"/>
        </w:rPr>
      </w:pPr>
      <w:r w:rsidRPr="004B208C">
        <w:rPr>
          <w:rFonts w:eastAsia="Calibri" w:cs="Tahoma"/>
          <w:b/>
          <w:color w:val="000000"/>
          <w:szCs w:val="18"/>
        </w:rPr>
        <w:t>Outorgas de Licença Associadas à Alteração no Modelo de Licenciamento</w:t>
      </w:r>
    </w:p>
    <w:p w:rsidR="008233B3" w:rsidRPr="004B208C" w:rsidRDefault="008233B3" w:rsidP="008233B3">
      <w:pPr>
        <w:ind w:left="720"/>
        <w:rPr>
          <w:rFonts w:cs="Tahoma"/>
        </w:rPr>
      </w:pPr>
      <w:r w:rsidRPr="004B208C">
        <w:rPr>
          <w:rFonts w:eastAsia="Calibri" w:cs="Tahoma"/>
          <w:color w:val="000000"/>
          <w:szCs w:val="18"/>
        </w:rPr>
        <w:t>O BizTalk Server 2010 será a última versão do BizTalk Server licenciada sob o modelo de licenciamento por processador.</w:t>
      </w:r>
      <w:r w:rsidR="00172F11">
        <w:rPr>
          <w:rFonts w:eastAsia="Calibri" w:cs="Tahoma"/>
          <w:color w:val="000000"/>
          <w:szCs w:val="18"/>
        </w:rPr>
        <w:t xml:space="preserve"> </w:t>
      </w:r>
      <w:r w:rsidRPr="004B208C">
        <w:rPr>
          <w:rFonts w:eastAsia="Calibri" w:cs="Tahoma"/>
          <w:color w:val="000000"/>
          <w:szCs w:val="18"/>
        </w:rPr>
        <w:t>Como uma exceção, aos clientes de Licenciamento por Volume com Software Assurance ativo para licenças do processador do BizTalk Server 2010 Enterprise a partir da publicação desta Lista de Produtos (“licenças qualificadas”) são concedidas as seguintes opções</w:t>
      </w:r>
      <w:r w:rsidRPr="004B208C">
        <w:rPr>
          <w:rFonts w:cs="Tahoma"/>
          <w:bCs/>
          <w:color w:val="000000"/>
          <w:szCs w:val="18"/>
        </w:rPr>
        <w:t>.</w:t>
      </w:r>
    </w:p>
    <w:p w:rsidR="008233B3" w:rsidRPr="004B208C" w:rsidRDefault="008233B3" w:rsidP="008233B3">
      <w:pPr>
        <w:ind w:left="720"/>
        <w:rPr>
          <w:rFonts w:cs="Tahoma"/>
        </w:rPr>
      </w:pPr>
    </w:p>
    <w:p w:rsidR="008233B3" w:rsidRPr="004B208C" w:rsidRDefault="008233B3" w:rsidP="008233B3">
      <w:pPr>
        <w:spacing w:after="60"/>
        <w:ind w:left="720"/>
        <w:rPr>
          <w:rFonts w:cs="Tahoma"/>
        </w:rPr>
      </w:pPr>
      <w:r w:rsidRPr="004B208C">
        <w:rPr>
          <w:rFonts w:eastAsia="Calibri" w:cs="Tahoma"/>
          <w:b/>
          <w:color w:val="000000"/>
          <w:szCs w:val="18"/>
        </w:rPr>
        <w:t>Prazo Atual</w:t>
      </w:r>
    </w:p>
    <w:p w:rsidR="008233B3" w:rsidRPr="004B208C" w:rsidRDefault="008233B3" w:rsidP="008233B3">
      <w:pPr>
        <w:ind w:left="720"/>
        <w:rPr>
          <w:rFonts w:cs="Tahoma"/>
        </w:rPr>
      </w:pPr>
      <w:r w:rsidRPr="004B208C">
        <w:rPr>
          <w:rFonts w:eastAsia="Calibri" w:cs="Tahoma"/>
          <w:color w:val="000000"/>
          <w:szCs w:val="18"/>
        </w:rPr>
        <w:t>Durante o prazo atual da sua cobertura de Software Assurance, os clientes (incluindo aqueles sob contratos de assinatura) poderão, sob qualquer licença qualificada, atualizar e usar a última versão do BizTalk Server Enterprise em vez do BizTalk Server 2010 Enterprise sujeito aos direitos de uso do produto de licença do</w:t>
      </w:r>
      <w:r w:rsidR="00F240D9">
        <w:rPr>
          <w:rFonts w:eastAsia="Calibri" w:cs="Tahoma"/>
          <w:color w:val="000000"/>
          <w:szCs w:val="18"/>
        </w:rPr>
        <w:t> </w:t>
      </w:r>
      <w:r w:rsidRPr="004B208C">
        <w:rPr>
          <w:rFonts w:eastAsia="Calibri" w:cs="Tahoma"/>
          <w:color w:val="000000"/>
          <w:szCs w:val="18"/>
        </w:rPr>
        <w:t>processador do BizTalk Server 2010 Enterprise (conforme os Direitos de Uso do Produto de janeiro de</w:t>
      </w:r>
      <w:r w:rsidR="00F240D9">
        <w:rPr>
          <w:rFonts w:eastAsia="Calibri" w:cs="Tahoma"/>
          <w:color w:val="000000"/>
          <w:szCs w:val="18"/>
        </w:rPr>
        <w:t> </w:t>
      </w:r>
      <w:r w:rsidRPr="004B208C">
        <w:rPr>
          <w:rFonts w:eastAsia="Calibri" w:cs="Tahoma"/>
          <w:color w:val="000000"/>
          <w:szCs w:val="18"/>
        </w:rPr>
        <w:t xml:space="preserve">2013). </w:t>
      </w:r>
    </w:p>
    <w:p w:rsidR="008233B3" w:rsidRDefault="008233B3" w:rsidP="008233B3">
      <w:pPr>
        <w:ind w:left="720"/>
        <w:rPr>
          <w:rFonts w:cs="Tahoma"/>
        </w:rPr>
      </w:pPr>
    </w:p>
    <w:p w:rsidR="00F240D9" w:rsidRDefault="00F240D9" w:rsidP="008233B3">
      <w:pPr>
        <w:ind w:left="720"/>
        <w:rPr>
          <w:rFonts w:cs="Tahoma"/>
        </w:rPr>
      </w:pPr>
    </w:p>
    <w:p w:rsidR="00F240D9" w:rsidRDefault="00F240D9" w:rsidP="008233B3">
      <w:pPr>
        <w:ind w:left="720"/>
        <w:rPr>
          <w:rFonts w:cs="Tahoma"/>
        </w:rPr>
      </w:pPr>
    </w:p>
    <w:p w:rsidR="00F240D9" w:rsidRDefault="00F240D9" w:rsidP="008233B3">
      <w:pPr>
        <w:ind w:left="720"/>
        <w:rPr>
          <w:rFonts w:cs="Tahoma"/>
        </w:rPr>
      </w:pPr>
    </w:p>
    <w:p w:rsidR="00F240D9" w:rsidRPr="004B208C" w:rsidRDefault="00F240D9" w:rsidP="008233B3">
      <w:pPr>
        <w:ind w:left="720"/>
        <w:rPr>
          <w:rFonts w:cs="Tahoma"/>
        </w:rPr>
      </w:pPr>
    </w:p>
    <w:p w:rsidR="008233B3" w:rsidRPr="004B208C" w:rsidRDefault="008233B3" w:rsidP="008233B3">
      <w:pPr>
        <w:spacing w:after="60"/>
        <w:ind w:left="720"/>
        <w:rPr>
          <w:rFonts w:cs="Tahoma"/>
        </w:rPr>
      </w:pPr>
      <w:r w:rsidRPr="004B208C">
        <w:rPr>
          <w:rFonts w:eastAsia="Calibri" w:cs="Tahoma"/>
          <w:b/>
          <w:color w:val="000000"/>
          <w:szCs w:val="18"/>
        </w:rPr>
        <w:lastRenderedPageBreak/>
        <w:t>Primeiro Prazo de Renovação</w:t>
      </w:r>
    </w:p>
    <w:p w:rsidR="008233B3" w:rsidRPr="004B208C" w:rsidRDefault="008233B3" w:rsidP="008233B3">
      <w:pPr>
        <w:tabs>
          <w:tab w:val="left" w:pos="1800"/>
        </w:tabs>
        <w:spacing w:after="60"/>
        <w:ind w:left="720"/>
        <w:rPr>
          <w:rFonts w:cs="Tahoma"/>
        </w:rPr>
      </w:pPr>
      <w:r w:rsidRPr="004B208C">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Enterprise sem adquirir as licenças principais subjacentes para uma série de licenças principais iguais ao número de licenças de processador qualificadas atribuídas ao servidor multiplicado pelo maior de: </w:t>
      </w:r>
    </w:p>
    <w:p w:rsidR="008233B3" w:rsidRPr="004B208C" w:rsidRDefault="008233B3" w:rsidP="00A1385C">
      <w:pPr>
        <w:numPr>
          <w:ilvl w:val="3"/>
          <w:numId w:val="88"/>
        </w:numPr>
        <w:tabs>
          <w:tab w:val="left" w:pos="2160"/>
        </w:tabs>
        <w:spacing w:after="60"/>
        <w:ind w:left="2160"/>
        <w:rPr>
          <w:rFonts w:cs="Tahoma"/>
        </w:rPr>
      </w:pPr>
      <w:r w:rsidRPr="004B208C">
        <w:rPr>
          <w:rFonts w:eastAsia="Calibri" w:cs="Tahoma"/>
          <w:color w:val="000000"/>
          <w:szCs w:val="18"/>
        </w:rPr>
        <w:t>Quatro OU</w:t>
      </w:r>
    </w:p>
    <w:p w:rsidR="008233B3" w:rsidRPr="004B208C" w:rsidRDefault="008233B3" w:rsidP="00A1385C">
      <w:pPr>
        <w:numPr>
          <w:ilvl w:val="3"/>
          <w:numId w:val="88"/>
        </w:numPr>
        <w:tabs>
          <w:tab w:val="left" w:pos="2160"/>
        </w:tabs>
        <w:spacing w:after="60"/>
        <w:ind w:left="2160"/>
        <w:rPr>
          <w:rFonts w:cs="Tahoma"/>
        </w:rPr>
      </w:pPr>
      <w:r w:rsidRPr="004B208C">
        <w:rPr>
          <w:rFonts w:eastAsia="Calibri" w:cs="Tahoma"/>
          <w:color w:val="000000"/>
          <w:szCs w:val="18"/>
        </w:rPr>
        <w:t>o número real de núcleos por processador físico multiplicado pelo fator do núcleo apropriado.</w:t>
      </w:r>
      <w:r w:rsidR="00172F11">
        <w:rPr>
          <w:rFonts w:eastAsia="Calibri" w:cs="Tahoma"/>
          <w:color w:val="000000"/>
          <w:szCs w:val="18"/>
        </w:rPr>
        <w:t xml:space="preserve"> </w:t>
      </w:r>
      <w:r w:rsidRPr="004B208C">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4B208C" w:rsidRDefault="008233B3" w:rsidP="008233B3">
      <w:pPr>
        <w:tabs>
          <w:tab w:val="left" w:pos="1800"/>
        </w:tabs>
        <w:ind w:left="1080"/>
        <w:rPr>
          <w:rFonts w:cs="Tahoma"/>
        </w:rPr>
      </w:pPr>
    </w:p>
    <w:p w:rsidR="008233B3" w:rsidRPr="004B208C" w:rsidRDefault="008233B3" w:rsidP="008233B3">
      <w:pPr>
        <w:spacing w:after="60"/>
        <w:ind w:left="720"/>
        <w:rPr>
          <w:rFonts w:cs="Tahoma"/>
        </w:rPr>
      </w:pPr>
      <w:r w:rsidRPr="004B208C">
        <w:rPr>
          <w:rFonts w:eastAsia="Calibri" w:cs="Tahoma"/>
          <w:color w:val="000000"/>
          <w:szCs w:val="18"/>
        </w:rPr>
        <w:t xml:space="preserve">As licenças do processador dos clientes não são mais válidas na aquisição do Software Assurance para as licenças principais sob esta oferta. </w:t>
      </w:r>
      <w:r w:rsidRPr="004B208C">
        <w:rPr>
          <w:rFonts w:eastAsia="Calibri" w:cs="Tahoma"/>
          <w:szCs w:val="18"/>
        </w:rPr>
        <w:t>A opção de adquirir o Software Assurance para licenças principais do BizTalk Server não é aplicável à renovação de cobertura sob os programas de assinatura.</w:t>
      </w:r>
      <w:r w:rsidR="00172F11">
        <w:rPr>
          <w:rFonts w:eastAsia="Calibri" w:cs="Tahoma"/>
          <w:szCs w:val="18"/>
        </w:rPr>
        <w:t xml:space="preserve"> </w:t>
      </w:r>
    </w:p>
    <w:p w:rsidR="008233B3" w:rsidRPr="004B208C" w:rsidRDefault="008233B3" w:rsidP="008233B3">
      <w:pPr>
        <w:ind w:left="1440"/>
        <w:rPr>
          <w:rFonts w:cs="Tahoma"/>
        </w:rPr>
      </w:pPr>
    </w:p>
    <w:p w:rsidR="008233B3" w:rsidRPr="004B208C" w:rsidRDefault="008233B3" w:rsidP="008233B3">
      <w:pPr>
        <w:tabs>
          <w:tab w:val="left" w:pos="1440"/>
        </w:tabs>
        <w:spacing w:after="60"/>
        <w:ind w:left="720"/>
        <w:rPr>
          <w:rFonts w:cs="Tahoma"/>
        </w:rPr>
      </w:pPr>
      <w:r w:rsidRPr="004B208C">
        <w:rPr>
          <w:rFonts w:eastAsia="Calibri" w:cs="Tahoma"/>
          <w:b/>
          <w:color w:val="000000"/>
          <w:szCs w:val="18"/>
        </w:rPr>
        <w:t>Para os clientes com cobertura de Software Assurance que optaram pela não renovação</w:t>
      </w:r>
    </w:p>
    <w:p w:rsidR="008233B3" w:rsidRPr="004B208C" w:rsidRDefault="008233B3" w:rsidP="008233B3">
      <w:pPr>
        <w:tabs>
          <w:tab w:val="left" w:pos="1440"/>
        </w:tabs>
        <w:ind w:left="720"/>
        <w:rPr>
          <w:rFonts w:cs="Tahoma"/>
        </w:rPr>
      </w:pPr>
      <w:r w:rsidRPr="004B208C">
        <w:rPr>
          <w:rFonts w:cs="Tahoma"/>
        </w:rPr>
        <w:t xml:space="preserve">Os clientes </w:t>
      </w:r>
      <w:r w:rsidRPr="004B208C">
        <w:rPr>
          <w:rFonts w:eastAsia="Calibri" w:cs="Tahoma"/>
          <w:color w:val="000000"/>
          <w:szCs w:val="18"/>
        </w:rPr>
        <w:t xml:space="preserve">Enterprise Subscription </w:t>
      </w:r>
      <w:r w:rsidRPr="004B208C">
        <w:rPr>
          <w:rFonts w:cs="Tahoma"/>
          <w:bCs/>
          <w:color w:val="000000"/>
          <w:szCs w:val="18"/>
        </w:rPr>
        <w:t xml:space="preserve">e Open Value Subscription </w:t>
      </w:r>
      <w:r w:rsidRPr="004B208C">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disponível sob essas licenças da seguinte forma:</w:t>
      </w:r>
    </w:p>
    <w:p w:rsidR="008233B3" w:rsidRPr="004B208C" w:rsidRDefault="008233B3" w:rsidP="008233B3">
      <w:pPr>
        <w:tabs>
          <w:tab w:val="left" w:pos="1440"/>
        </w:tabs>
        <w:ind w:left="720"/>
        <w:rPr>
          <w:rFonts w:cs="Tahoma"/>
        </w:rPr>
      </w:pPr>
    </w:p>
    <w:p w:rsidR="008233B3" w:rsidRPr="004B208C" w:rsidRDefault="008233B3" w:rsidP="00A1385C">
      <w:pPr>
        <w:numPr>
          <w:ilvl w:val="0"/>
          <w:numId w:val="51"/>
        </w:numPr>
        <w:spacing w:after="60"/>
        <w:ind w:left="1440"/>
        <w:rPr>
          <w:rFonts w:cs="Tahoma"/>
        </w:rPr>
      </w:pPr>
      <w:r w:rsidRPr="004B208C">
        <w:rPr>
          <w:rFonts w:eastAsia="Calibri" w:cs="Tahoma"/>
          <w:b/>
          <w:color w:val="000000"/>
          <w:szCs w:val="18"/>
        </w:rPr>
        <w:t>BizTalk Server 2010 Enterprise:</w:t>
      </w:r>
      <w:r w:rsidRPr="004B208C">
        <w:rPr>
          <w:rFonts w:eastAsia="Calibri" w:cs="Tahoma"/>
          <w:color w:val="000000"/>
          <w:szCs w:val="18"/>
        </w:rPr>
        <w:t xml:space="preserve"> O uso contínuo desta versão do software está sujeito aos direitos de uso do produto de licença do processador do BizTalk Server 2010 Enterprise; no entanto, os clientes não têm mais Mobilidade de Licenças por meio de Software Assurance.</w:t>
      </w:r>
    </w:p>
    <w:p w:rsidR="008233B3" w:rsidRPr="004B208C" w:rsidRDefault="00F3254C" w:rsidP="00A1385C">
      <w:pPr>
        <w:numPr>
          <w:ilvl w:val="0"/>
          <w:numId w:val="51"/>
        </w:numPr>
        <w:tabs>
          <w:tab w:val="left" w:pos="1800"/>
        </w:tabs>
        <w:spacing w:after="60"/>
        <w:ind w:left="1440"/>
        <w:rPr>
          <w:rFonts w:cs="Tahoma"/>
        </w:rPr>
      </w:pPr>
      <w:r w:rsidRPr="004B208C">
        <w:rPr>
          <w:rFonts w:eastAsia="Calibri" w:cs="Tahoma"/>
          <w:b/>
          <w:color w:val="000000"/>
          <w:szCs w:val="18"/>
        </w:rPr>
        <w:t xml:space="preserve">Última versão do BizTalk Server Enterprise: </w:t>
      </w:r>
      <w:r w:rsidRPr="004B208C">
        <w:rPr>
          <w:rFonts w:eastAsia="Calibri" w:cs="Tahoma"/>
          <w:color w:val="000000"/>
          <w:szCs w:val="18"/>
        </w:rPr>
        <w:t>O uso desta versão do software está sujeito aos</w:t>
      </w:r>
      <w:r w:rsidR="00E35EBB">
        <w:rPr>
          <w:rFonts w:eastAsia="Calibri" w:cs="Tahoma"/>
          <w:color w:val="000000"/>
          <w:szCs w:val="18"/>
        </w:rPr>
        <w:t> </w:t>
      </w:r>
      <w:r w:rsidRPr="004B208C">
        <w:rPr>
          <w:rFonts w:eastAsia="Calibri" w:cs="Tahoma"/>
          <w:color w:val="000000"/>
          <w:szCs w:val="18"/>
        </w:rPr>
        <w:t>direitos de uso do produto de licença do processador do BizTalk Server 2010 Enterprise, no</w:t>
      </w:r>
      <w:r w:rsidR="00E35EBB">
        <w:rPr>
          <w:rFonts w:eastAsia="Calibri" w:cs="Tahoma"/>
          <w:color w:val="000000"/>
          <w:szCs w:val="18"/>
        </w:rPr>
        <w:t> </w:t>
      </w:r>
      <w:r w:rsidRPr="004B208C">
        <w:rPr>
          <w:rFonts w:eastAsia="Calibri" w:cs="Tahoma"/>
          <w:color w:val="000000"/>
          <w:szCs w:val="18"/>
        </w:rPr>
        <w:t xml:space="preserve">entanto: </w:t>
      </w:r>
    </w:p>
    <w:p w:rsidR="008233B3" w:rsidRPr="004B208C" w:rsidRDefault="008233B3" w:rsidP="00A1385C">
      <w:pPr>
        <w:numPr>
          <w:ilvl w:val="1"/>
          <w:numId w:val="51"/>
        </w:numPr>
        <w:tabs>
          <w:tab w:val="left" w:pos="2160"/>
        </w:tabs>
        <w:spacing w:after="60"/>
        <w:ind w:left="2160"/>
        <w:rPr>
          <w:rFonts w:cs="Tahoma"/>
        </w:rPr>
      </w:pPr>
      <w:r w:rsidRPr="004B208C">
        <w:rPr>
          <w:rFonts w:eastAsia="Calibri" w:cs="Tahoma"/>
          <w:color w:val="000000"/>
          <w:szCs w:val="18"/>
        </w:rPr>
        <w:t xml:space="preserve">os clientes não têm mais Mobilidade de Licença nos Farms de Servidores nem Mobilidade de Licença por meio de Software Assurance e </w:t>
      </w:r>
    </w:p>
    <w:p w:rsidR="008233B3" w:rsidRPr="004B208C" w:rsidRDefault="008233B3" w:rsidP="00A1385C">
      <w:pPr>
        <w:numPr>
          <w:ilvl w:val="1"/>
          <w:numId w:val="51"/>
        </w:numPr>
        <w:tabs>
          <w:tab w:val="left" w:pos="2160"/>
          <w:tab w:val="left" w:pos="2970"/>
        </w:tabs>
        <w:spacing w:after="60"/>
        <w:ind w:left="2160"/>
        <w:rPr>
          <w:rFonts w:cs="Tahoma"/>
        </w:rPr>
      </w:pPr>
      <w:r w:rsidRPr="004B208C">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rsidR="008233B3" w:rsidRPr="004B208C" w:rsidRDefault="008233B3" w:rsidP="00A1385C">
      <w:pPr>
        <w:numPr>
          <w:ilvl w:val="2"/>
          <w:numId w:val="51"/>
        </w:numPr>
        <w:tabs>
          <w:tab w:val="left" w:pos="2520"/>
        </w:tabs>
        <w:spacing w:after="60"/>
        <w:ind w:left="2520"/>
        <w:rPr>
          <w:rFonts w:cs="Tahoma"/>
        </w:rPr>
      </w:pPr>
      <w:r w:rsidRPr="004B208C">
        <w:rPr>
          <w:rFonts w:eastAsia="Calibri" w:cs="Tahoma"/>
          <w:color w:val="000000"/>
          <w:szCs w:val="18"/>
        </w:rPr>
        <w:t xml:space="preserve">Para cada licença qualificada atribuída ao servidor, a equivalência de licença principal é maior do que: </w:t>
      </w:r>
    </w:p>
    <w:p w:rsidR="008233B3" w:rsidRPr="004B208C" w:rsidRDefault="008233B3" w:rsidP="00A1385C">
      <w:pPr>
        <w:numPr>
          <w:ilvl w:val="4"/>
          <w:numId w:val="121"/>
        </w:numPr>
        <w:tabs>
          <w:tab w:val="left" w:pos="2880"/>
        </w:tabs>
        <w:spacing w:after="60"/>
        <w:ind w:left="2880"/>
        <w:rPr>
          <w:rFonts w:cs="Tahoma"/>
        </w:rPr>
      </w:pPr>
      <w:r w:rsidRPr="004B208C">
        <w:rPr>
          <w:rFonts w:eastAsia="Calibri" w:cs="Tahoma"/>
          <w:color w:val="000000"/>
          <w:szCs w:val="18"/>
        </w:rPr>
        <w:t xml:space="preserve">quatro núcleos por licença de processador OU </w:t>
      </w:r>
    </w:p>
    <w:p w:rsidR="008233B3" w:rsidRPr="004B208C" w:rsidRDefault="008233B3" w:rsidP="00A1385C">
      <w:pPr>
        <w:numPr>
          <w:ilvl w:val="4"/>
          <w:numId w:val="121"/>
        </w:numPr>
        <w:tabs>
          <w:tab w:val="left" w:pos="2880"/>
        </w:tabs>
        <w:spacing w:after="60"/>
        <w:ind w:left="2880"/>
        <w:rPr>
          <w:rFonts w:cs="Tahoma"/>
        </w:rPr>
      </w:pPr>
      <w:r w:rsidRPr="004B208C">
        <w:rPr>
          <w:rFonts w:eastAsia="Calibri" w:cs="Tahoma"/>
          <w:color w:val="000000"/>
          <w:szCs w:val="18"/>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4B208C" w:rsidRDefault="008233B3" w:rsidP="00A1385C">
      <w:pPr>
        <w:numPr>
          <w:ilvl w:val="1"/>
          <w:numId w:val="122"/>
        </w:numPr>
        <w:tabs>
          <w:tab w:val="left" w:pos="1800"/>
        </w:tabs>
        <w:spacing w:after="60"/>
        <w:rPr>
          <w:rFonts w:cs="Tahoma"/>
        </w:rPr>
      </w:pPr>
      <w:r w:rsidRPr="004B208C">
        <w:rPr>
          <w:rFonts w:eastAsia="Calibri" w:cs="Tahoma"/>
          <w:color w:val="000000"/>
          <w:szCs w:val="18"/>
        </w:rPr>
        <w:t>Os Clientes 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8233B3" w:rsidRPr="004B208C" w:rsidRDefault="008233B3" w:rsidP="00A1385C">
      <w:pPr>
        <w:numPr>
          <w:ilvl w:val="1"/>
          <w:numId w:val="122"/>
        </w:numPr>
        <w:tabs>
          <w:tab w:val="left" w:pos="1800"/>
          <w:tab w:val="left" w:pos="2970"/>
        </w:tabs>
        <w:spacing w:after="60"/>
        <w:rPr>
          <w:rFonts w:cs="Tahoma"/>
        </w:rPr>
      </w:pPr>
      <w:r w:rsidRPr="004B208C">
        <w:rPr>
          <w:rFonts w:eastAsia="Calibri" w:cs="Tahoma"/>
          <w:color w:val="000000"/>
          <w:szCs w:val="18"/>
        </w:rPr>
        <w:t>A equivalência de licença principal dos clientes não implica que eles podem atribuir uma única licença de processador a núcleos por dois ou mais processadores.</w:t>
      </w:r>
    </w:p>
    <w:p w:rsidR="008233B3" w:rsidRPr="004B208C" w:rsidRDefault="008233B3" w:rsidP="008233B3">
      <w:pPr>
        <w:tabs>
          <w:tab w:val="left" w:pos="720"/>
        </w:tabs>
        <w:ind w:left="720"/>
        <w:rPr>
          <w:rFonts w:cs="Tahoma"/>
        </w:rPr>
      </w:pPr>
    </w:p>
    <w:p w:rsidR="008233B3" w:rsidRPr="004B208C" w:rsidRDefault="00A560B6" w:rsidP="008233B3">
      <w:pPr>
        <w:pStyle w:val="Heading3"/>
        <w:rPr>
          <w:rFonts w:ascii="Tahoma" w:hAnsi="Tahoma" w:cs="Tahoma"/>
        </w:rPr>
      </w:pPr>
      <w:bookmarkStart w:id="1130" w:name="_37_BizTalk_Server®"/>
      <w:bookmarkStart w:id="1131" w:name="_Toc343596569"/>
      <w:bookmarkStart w:id="1132" w:name="_Toc370981411"/>
      <w:bookmarkEnd w:id="1130"/>
      <w:r w:rsidRPr="004B208C">
        <w:rPr>
          <w:rFonts w:ascii="Tahoma" w:hAnsi="Tahoma" w:cs="Tahoma"/>
          <w:caps/>
          <w:color w:val="F66400"/>
          <w:sz w:val="22"/>
          <w:vertAlign w:val="superscript"/>
        </w:rPr>
        <w:lastRenderedPageBreak/>
        <w:t>37</w:t>
      </w:r>
      <w:r w:rsidRPr="004B208C">
        <w:rPr>
          <w:rFonts w:ascii="Tahoma" w:hAnsi="Tahoma" w:cs="Tahoma"/>
          <w:color w:val="F66400"/>
          <w:sz w:val="22"/>
        </w:rPr>
        <w:t xml:space="preserve"> BizTalk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2013 Standard</w:t>
      </w:r>
      <w:bookmarkEnd w:id="1132"/>
      <w:r w:rsidRPr="004B208C">
        <w:rPr>
          <w:rFonts w:ascii="Tahoma" w:eastAsia="Calibri" w:hAnsi="Tahoma" w:cs="Tahoma"/>
          <w:color w:val="F66400"/>
          <w:sz w:val="22"/>
          <w:szCs w:val="18"/>
        </w:rPr>
        <w:t xml:space="preserve"> </w:t>
      </w:r>
      <w:bookmarkEnd w:id="1131"/>
    </w:p>
    <w:p w:rsidR="008233B3" w:rsidRPr="004B208C" w:rsidRDefault="008233B3" w:rsidP="008233B3">
      <w:pPr>
        <w:rPr>
          <w:rFonts w:cs="Tahoma"/>
        </w:rPr>
      </w:pPr>
    </w:p>
    <w:p w:rsidR="008233B3" w:rsidRPr="004B208C" w:rsidRDefault="008233B3" w:rsidP="008233B3">
      <w:pPr>
        <w:spacing w:after="60"/>
        <w:ind w:left="720"/>
        <w:rPr>
          <w:rFonts w:cs="Tahoma"/>
        </w:rPr>
      </w:pPr>
      <w:r w:rsidRPr="004B208C">
        <w:rPr>
          <w:rFonts w:eastAsia="Calibri" w:cs="Tahoma"/>
          <w:b/>
          <w:color w:val="000000"/>
          <w:szCs w:val="18"/>
        </w:rPr>
        <w:t>Outorgas de Licença Associadas à Alteração no Modelo de Licenciamento</w:t>
      </w:r>
    </w:p>
    <w:p w:rsidR="008233B3" w:rsidRPr="004B208C" w:rsidRDefault="008233B3" w:rsidP="008233B3">
      <w:pPr>
        <w:ind w:left="720"/>
        <w:rPr>
          <w:rFonts w:cs="Tahoma"/>
        </w:rPr>
      </w:pPr>
      <w:r w:rsidRPr="004B208C">
        <w:rPr>
          <w:rFonts w:eastAsia="Calibri" w:cs="Tahoma"/>
          <w:color w:val="000000"/>
          <w:szCs w:val="18"/>
        </w:rPr>
        <w:t>O BizTalk Server 2010 será a última versão do BizTalk Server licenciada sob o modelo de licenciamento por processador.</w:t>
      </w:r>
      <w:r w:rsidR="00172F11">
        <w:rPr>
          <w:rFonts w:eastAsia="Calibri" w:cs="Tahoma"/>
          <w:color w:val="000000"/>
          <w:szCs w:val="18"/>
        </w:rPr>
        <w:t xml:space="preserve"> </w:t>
      </w:r>
      <w:r w:rsidRPr="004B208C">
        <w:rPr>
          <w:rFonts w:eastAsia="Calibri" w:cs="Tahoma"/>
          <w:color w:val="000000"/>
          <w:szCs w:val="18"/>
        </w:rPr>
        <w:t>Como uma exceção, aos clientes de Licenciamento por Volume com Software Assurance ativo para licenças do processador do BizTalk Server 2010 Standard a partir da publicação desta Lista de Produtos (“licenças qualificadas”) são concedidas as seguintes opções.</w:t>
      </w:r>
    </w:p>
    <w:p w:rsidR="008233B3" w:rsidRPr="004B208C" w:rsidRDefault="008233B3" w:rsidP="008233B3">
      <w:pPr>
        <w:ind w:left="720"/>
        <w:rPr>
          <w:rFonts w:cs="Tahoma"/>
        </w:rPr>
      </w:pPr>
    </w:p>
    <w:p w:rsidR="008233B3" w:rsidRPr="004B208C" w:rsidRDefault="008233B3" w:rsidP="008233B3">
      <w:pPr>
        <w:spacing w:after="60"/>
        <w:ind w:left="720"/>
        <w:rPr>
          <w:rFonts w:cs="Tahoma"/>
        </w:rPr>
      </w:pPr>
      <w:r w:rsidRPr="004B208C">
        <w:rPr>
          <w:rFonts w:eastAsia="Calibri" w:cs="Tahoma"/>
          <w:b/>
          <w:color w:val="000000"/>
          <w:szCs w:val="18"/>
        </w:rPr>
        <w:t>Prazo Atual</w:t>
      </w:r>
    </w:p>
    <w:p w:rsidR="008233B3" w:rsidRPr="004B208C" w:rsidRDefault="008233B3" w:rsidP="008233B3">
      <w:pPr>
        <w:ind w:left="720"/>
        <w:rPr>
          <w:rFonts w:cs="Tahoma"/>
        </w:rPr>
      </w:pPr>
      <w:r w:rsidRPr="004B208C">
        <w:rPr>
          <w:rFonts w:eastAsia="Calibri" w:cs="Tahoma"/>
          <w:color w:val="000000"/>
          <w:szCs w:val="18"/>
        </w:rPr>
        <w:t>Durante o prazo atual da sua cobertura de Software Assurance a partir de 1º de abril de 2013, os clientes (incluindo aqueles sob contratos de assinatura) poderão, sob qualquer licença qualificada, atualizar e usar a</w:t>
      </w:r>
      <w:r w:rsidR="00F240D9">
        <w:rPr>
          <w:rFonts w:eastAsia="Calibri" w:cs="Tahoma"/>
          <w:color w:val="000000"/>
          <w:szCs w:val="18"/>
        </w:rPr>
        <w:t> </w:t>
      </w:r>
      <w:r w:rsidRPr="004B208C">
        <w:rPr>
          <w:rFonts w:eastAsia="Calibri" w:cs="Tahoma"/>
          <w:color w:val="000000"/>
          <w:szCs w:val="18"/>
        </w:rPr>
        <w:t>última versão do BizTalk Server Standard em vez do BizTalk Server 2010 Standard sujeito aos direitos de uso do produto de licença do processador do BizTalk Server 2010 Standard (conforme os Direitos de Uso do</w:t>
      </w:r>
      <w:r w:rsidR="00F240D9">
        <w:rPr>
          <w:rFonts w:eastAsia="Calibri" w:cs="Tahoma"/>
          <w:color w:val="000000"/>
          <w:szCs w:val="18"/>
        </w:rPr>
        <w:t> </w:t>
      </w:r>
      <w:r w:rsidRPr="004B208C">
        <w:rPr>
          <w:rFonts w:eastAsia="Calibri" w:cs="Tahoma"/>
          <w:color w:val="000000"/>
          <w:szCs w:val="18"/>
        </w:rPr>
        <w:t xml:space="preserve">Produto de janeiro de 2013). </w:t>
      </w:r>
    </w:p>
    <w:p w:rsidR="008233B3" w:rsidRPr="004B208C" w:rsidRDefault="008233B3" w:rsidP="008233B3">
      <w:pPr>
        <w:ind w:left="720"/>
        <w:rPr>
          <w:rFonts w:cs="Tahoma"/>
        </w:rPr>
      </w:pPr>
    </w:p>
    <w:p w:rsidR="008233B3" w:rsidRPr="004B208C" w:rsidRDefault="008233B3" w:rsidP="008233B3">
      <w:pPr>
        <w:spacing w:after="60"/>
        <w:ind w:left="720"/>
        <w:rPr>
          <w:rFonts w:cs="Tahoma"/>
        </w:rPr>
      </w:pPr>
      <w:r w:rsidRPr="004B208C">
        <w:rPr>
          <w:rFonts w:eastAsia="Calibri" w:cs="Tahoma"/>
          <w:b/>
          <w:color w:val="000000"/>
          <w:szCs w:val="18"/>
        </w:rPr>
        <w:t>Primeiro Prazo de Renovação</w:t>
      </w:r>
    </w:p>
    <w:p w:rsidR="008233B3" w:rsidRPr="004B208C" w:rsidRDefault="008233B3" w:rsidP="008233B3">
      <w:pPr>
        <w:tabs>
          <w:tab w:val="left" w:pos="1800"/>
        </w:tabs>
        <w:spacing w:after="60"/>
        <w:ind w:left="720"/>
        <w:rPr>
          <w:rFonts w:cs="Tahoma"/>
        </w:rPr>
      </w:pPr>
      <w:r w:rsidRPr="004B208C">
        <w:rPr>
          <w:rFonts w:eastAsia="Calibri" w:cs="Tahoma"/>
          <w:color w:val="000000"/>
          <w:szCs w:val="18"/>
        </w:rPr>
        <w:t xml:space="preserve">Na sua primeira renovação de Software Assurance em ou depois de 1º de abril de 2013, para cada servidor que um cliente tiver licenciado corretamente sob os direitos de uso do produto da licença do processador do BizTalk Server 2010, o cliente poderá adquirir licenças principais do Software Assurance para BizTalk Server Standard sem adquirir as licenças principais subjacentes para uma série de licenças principais iguais ao número de licenças de processador qualificadas atribuídas ao servidor multiplicado pelo maior de: </w:t>
      </w:r>
    </w:p>
    <w:p w:rsidR="008233B3" w:rsidRPr="004B208C" w:rsidRDefault="008233B3" w:rsidP="00A1385C">
      <w:pPr>
        <w:numPr>
          <w:ilvl w:val="3"/>
          <w:numId w:val="88"/>
        </w:numPr>
        <w:tabs>
          <w:tab w:val="left" w:pos="2160"/>
        </w:tabs>
        <w:spacing w:after="60"/>
        <w:ind w:left="2160"/>
        <w:rPr>
          <w:rFonts w:cs="Tahoma"/>
        </w:rPr>
      </w:pPr>
      <w:r w:rsidRPr="004B208C">
        <w:rPr>
          <w:rFonts w:eastAsia="Calibri" w:cs="Tahoma"/>
          <w:color w:val="000000"/>
          <w:szCs w:val="18"/>
        </w:rPr>
        <w:t>Quatro OU</w:t>
      </w:r>
    </w:p>
    <w:p w:rsidR="008233B3" w:rsidRPr="004B208C" w:rsidRDefault="008233B3" w:rsidP="00A1385C">
      <w:pPr>
        <w:numPr>
          <w:ilvl w:val="3"/>
          <w:numId w:val="88"/>
        </w:numPr>
        <w:tabs>
          <w:tab w:val="left" w:pos="2160"/>
        </w:tabs>
        <w:spacing w:after="60"/>
        <w:ind w:left="2160"/>
        <w:rPr>
          <w:rFonts w:cs="Tahoma"/>
        </w:rPr>
      </w:pPr>
      <w:r w:rsidRPr="004B208C">
        <w:rPr>
          <w:rFonts w:eastAsia="Calibri" w:cs="Tahoma"/>
          <w:color w:val="000000"/>
          <w:szCs w:val="18"/>
        </w:rPr>
        <w:t>o número real de núcleos por processador físico multiplicado pelo fator do núcleo apropriado.</w:t>
      </w:r>
      <w:r w:rsidR="00172F11">
        <w:rPr>
          <w:rFonts w:eastAsia="Calibri" w:cs="Tahoma"/>
          <w:color w:val="000000"/>
          <w:szCs w:val="18"/>
        </w:rPr>
        <w:t xml:space="preserve"> </w:t>
      </w:r>
      <w:r w:rsidRPr="004B208C">
        <w:rPr>
          <w:rFonts w:eastAsia="Calibri" w:cs="Tahoma"/>
          <w:color w:val="000000"/>
          <w:szCs w:val="18"/>
        </w:rPr>
        <w:t xml:space="preserve">(Nos casos em que o número real de núcleos por processador físico excede quatro, os clientes devem manter um registro da configuração do software BizTalk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233B3" w:rsidRPr="004B208C" w:rsidRDefault="008233B3" w:rsidP="008233B3">
      <w:pPr>
        <w:tabs>
          <w:tab w:val="left" w:pos="1800"/>
        </w:tabs>
        <w:ind w:left="1080"/>
        <w:rPr>
          <w:rFonts w:cs="Tahoma"/>
        </w:rPr>
      </w:pPr>
    </w:p>
    <w:p w:rsidR="008233B3" w:rsidRPr="004B208C" w:rsidRDefault="008233B3" w:rsidP="008233B3">
      <w:pPr>
        <w:spacing w:after="60"/>
        <w:ind w:left="720"/>
        <w:rPr>
          <w:rFonts w:cs="Tahoma"/>
        </w:rPr>
      </w:pPr>
      <w:r w:rsidRPr="004B208C">
        <w:rPr>
          <w:rFonts w:eastAsia="Calibri" w:cs="Tahoma"/>
          <w:color w:val="000000"/>
          <w:szCs w:val="18"/>
        </w:rPr>
        <w:t xml:space="preserve">As licenças do processador dos clientes não são mais válidas na aquisição do Software Assurance para as licenças principais sob esta oferta. </w:t>
      </w:r>
      <w:r w:rsidRPr="004B208C">
        <w:rPr>
          <w:rFonts w:eastAsia="Calibri" w:cs="Tahoma"/>
          <w:szCs w:val="18"/>
        </w:rPr>
        <w:t>A opção de adquirir o Software Assurance para licenças principais do BizTalk Server não é aplicável à renovação de cobertura sob os programas de assinatura.</w:t>
      </w:r>
      <w:r w:rsidR="00172F11">
        <w:rPr>
          <w:rFonts w:eastAsia="Calibri" w:cs="Tahoma"/>
          <w:szCs w:val="18"/>
        </w:rPr>
        <w:t xml:space="preserve"> </w:t>
      </w:r>
    </w:p>
    <w:p w:rsidR="008233B3" w:rsidRPr="004B208C" w:rsidRDefault="008233B3" w:rsidP="008233B3">
      <w:pPr>
        <w:ind w:left="1440"/>
        <w:rPr>
          <w:rFonts w:cs="Tahoma"/>
        </w:rPr>
      </w:pPr>
    </w:p>
    <w:p w:rsidR="008233B3" w:rsidRPr="004B208C" w:rsidRDefault="008233B3" w:rsidP="008233B3">
      <w:pPr>
        <w:tabs>
          <w:tab w:val="left" w:pos="1440"/>
        </w:tabs>
        <w:spacing w:after="60"/>
        <w:ind w:left="720"/>
        <w:rPr>
          <w:rFonts w:cs="Tahoma"/>
        </w:rPr>
      </w:pPr>
      <w:r w:rsidRPr="004B208C">
        <w:rPr>
          <w:rFonts w:eastAsia="Calibri" w:cs="Tahoma"/>
          <w:b/>
          <w:color w:val="000000"/>
          <w:szCs w:val="18"/>
        </w:rPr>
        <w:t>Para os clientes com cobertura de Software Assurance que optaram pela não renovação</w:t>
      </w:r>
    </w:p>
    <w:p w:rsidR="008233B3" w:rsidRPr="004B208C" w:rsidRDefault="008233B3" w:rsidP="008233B3">
      <w:pPr>
        <w:tabs>
          <w:tab w:val="left" w:pos="1440"/>
        </w:tabs>
        <w:ind w:left="720"/>
        <w:rPr>
          <w:rFonts w:cs="Tahoma"/>
        </w:rPr>
      </w:pPr>
      <w:r w:rsidRPr="004B208C">
        <w:rPr>
          <w:rFonts w:cs="Tahoma"/>
        </w:rPr>
        <w:t xml:space="preserve">Os clientes </w:t>
      </w:r>
      <w:r w:rsidRPr="004B208C">
        <w:rPr>
          <w:rFonts w:eastAsia="Calibri" w:cs="Tahoma"/>
          <w:color w:val="000000"/>
          <w:szCs w:val="18"/>
        </w:rPr>
        <w:t xml:space="preserve">Enterprise Subscription </w:t>
      </w:r>
      <w:r w:rsidRPr="004B208C">
        <w:rPr>
          <w:rFonts w:cs="Tahoma"/>
          <w:bCs/>
          <w:color w:val="000000"/>
          <w:szCs w:val="18"/>
        </w:rPr>
        <w:t xml:space="preserve">e Open Value Subscription </w:t>
      </w:r>
      <w:r w:rsidRPr="004B208C">
        <w:rPr>
          <w:rFonts w:eastAsia="Calibri" w:cs="Tahoma"/>
          <w:color w:val="000000"/>
          <w:szCs w:val="18"/>
        </w:rPr>
        <w:t>que optam por comprar licenças do processador e quaisquer outros clientes que adquirem licenças perpétuas sob seu contrato e optam por não renovar o Software Assurance próximo à data de término poderão executar BizTalk Server 2010 ou a última versão do BizTalk Server sob essas licenças da seguinte forma:</w:t>
      </w:r>
    </w:p>
    <w:p w:rsidR="008233B3" w:rsidRPr="004B208C" w:rsidRDefault="008233B3" w:rsidP="008233B3">
      <w:pPr>
        <w:tabs>
          <w:tab w:val="left" w:pos="1440"/>
        </w:tabs>
        <w:ind w:left="720"/>
        <w:rPr>
          <w:rFonts w:cs="Tahoma"/>
        </w:rPr>
      </w:pPr>
    </w:p>
    <w:p w:rsidR="008233B3" w:rsidRPr="004B208C" w:rsidRDefault="008233B3" w:rsidP="00A1385C">
      <w:pPr>
        <w:numPr>
          <w:ilvl w:val="0"/>
          <w:numId w:val="51"/>
        </w:numPr>
        <w:spacing w:after="60"/>
        <w:ind w:left="1440"/>
        <w:rPr>
          <w:rFonts w:cs="Tahoma"/>
        </w:rPr>
      </w:pPr>
      <w:r w:rsidRPr="004B208C">
        <w:rPr>
          <w:rFonts w:eastAsia="Calibri" w:cs="Tahoma"/>
          <w:b/>
          <w:color w:val="000000"/>
          <w:szCs w:val="18"/>
        </w:rPr>
        <w:t>BizTalk Server 2010 Standard:</w:t>
      </w:r>
      <w:r w:rsidRPr="004B208C">
        <w:rPr>
          <w:rFonts w:eastAsia="Calibri" w:cs="Tahoma"/>
          <w:color w:val="000000"/>
          <w:szCs w:val="18"/>
        </w:rPr>
        <w:t xml:space="preserve"> O uso contínuo desta versão do software está sujeito aos direitos de uso do produto de licença do processador do BizTalk Server 2010 Standard; no entanto, os clientes não têm mais Mobilidade de Licenças por meio de Software Assurance.</w:t>
      </w:r>
    </w:p>
    <w:p w:rsidR="008233B3" w:rsidRPr="004B208C" w:rsidRDefault="00F3254C" w:rsidP="00A1385C">
      <w:pPr>
        <w:numPr>
          <w:ilvl w:val="0"/>
          <w:numId w:val="51"/>
        </w:numPr>
        <w:tabs>
          <w:tab w:val="left" w:pos="1800"/>
        </w:tabs>
        <w:spacing w:after="60"/>
        <w:ind w:left="1440"/>
        <w:rPr>
          <w:rFonts w:cs="Tahoma"/>
        </w:rPr>
      </w:pPr>
      <w:r w:rsidRPr="004B208C">
        <w:rPr>
          <w:rFonts w:eastAsia="Calibri" w:cs="Tahoma"/>
          <w:b/>
          <w:color w:val="000000"/>
          <w:szCs w:val="18"/>
        </w:rPr>
        <w:t xml:space="preserve">Última versão do BizTalk Server Standard: </w:t>
      </w:r>
      <w:r w:rsidRPr="004B208C">
        <w:rPr>
          <w:rFonts w:eastAsia="Calibri" w:cs="Tahoma"/>
          <w:color w:val="000000"/>
          <w:szCs w:val="18"/>
        </w:rPr>
        <w:t xml:space="preserve">O uso desta versão do software está sujeito aos direitos de uso do produto de licença do processador do BizTalk Server 2010 Standard, no entanto: </w:t>
      </w:r>
    </w:p>
    <w:p w:rsidR="008233B3" w:rsidRPr="004B208C" w:rsidRDefault="008233B3" w:rsidP="00A1385C">
      <w:pPr>
        <w:numPr>
          <w:ilvl w:val="1"/>
          <w:numId w:val="51"/>
        </w:numPr>
        <w:tabs>
          <w:tab w:val="left" w:pos="2160"/>
        </w:tabs>
        <w:spacing w:after="60"/>
        <w:ind w:left="2160"/>
        <w:rPr>
          <w:rFonts w:cs="Tahoma"/>
        </w:rPr>
      </w:pPr>
      <w:r w:rsidRPr="004B208C">
        <w:rPr>
          <w:rFonts w:eastAsia="Calibri" w:cs="Tahoma"/>
          <w:color w:val="000000"/>
          <w:szCs w:val="18"/>
        </w:rPr>
        <w:t xml:space="preserve">os clientes não têm mais Mobilidade de Licença nos Farms de Servidores nem Mobilidade de Licença por meio de Software Assurance e </w:t>
      </w:r>
    </w:p>
    <w:p w:rsidR="008233B3" w:rsidRPr="004B208C" w:rsidRDefault="008233B3" w:rsidP="00A1385C">
      <w:pPr>
        <w:numPr>
          <w:ilvl w:val="1"/>
          <w:numId w:val="51"/>
        </w:numPr>
        <w:tabs>
          <w:tab w:val="left" w:pos="2160"/>
          <w:tab w:val="left" w:pos="2970"/>
        </w:tabs>
        <w:spacing w:after="60"/>
        <w:ind w:left="2160"/>
        <w:rPr>
          <w:rFonts w:cs="Tahoma"/>
        </w:rPr>
      </w:pPr>
      <w:r w:rsidRPr="004B208C">
        <w:rPr>
          <w:rFonts w:eastAsia="Calibri" w:cs="Tahoma"/>
          <w:color w:val="000000"/>
          <w:szCs w:val="18"/>
        </w:rPr>
        <w:t xml:space="preserve">quaisquer reatribuição de licenças está sujeita a limitações abaixo relacionada a sua “equivalência de licença principal”. A equivalência de licença principal é determinada da seguinte forma: </w:t>
      </w:r>
    </w:p>
    <w:p w:rsidR="008233B3" w:rsidRPr="004B208C" w:rsidRDefault="008233B3" w:rsidP="00A1385C">
      <w:pPr>
        <w:numPr>
          <w:ilvl w:val="2"/>
          <w:numId w:val="51"/>
        </w:numPr>
        <w:tabs>
          <w:tab w:val="left" w:pos="2520"/>
        </w:tabs>
        <w:spacing w:after="60"/>
        <w:ind w:left="2520"/>
        <w:rPr>
          <w:rFonts w:cs="Tahoma"/>
        </w:rPr>
      </w:pPr>
      <w:r w:rsidRPr="004B208C">
        <w:rPr>
          <w:rFonts w:eastAsia="Calibri" w:cs="Tahoma"/>
          <w:color w:val="000000"/>
          <w:szCs w:val="18"/>
        </w:rPr>
        <w:t xml:space="preserve">Para cada licença qualificada atribuída ao servidor, a equivalência de licença principal é maior do que: </w:t>
      </w:r>
    </w:p>
    <w:p w:rsidR="008233B3" w:rsidRPr="00F240D9" w:rsidRDefault="008233B3" w:rsidP="00A1385C">
      <w:pPr>
        <w:numPr>
          <w:ilvl w:val="4"/>
          <w:numId w:val="121"/>
        </w:numPr>
        <w:tabs>
          <w:tab w:val="left" w:pos="2880"/>
        </w:tabs>
        <w:spacing w:after="60"/>
        <w:ind w:left="2880"/>
        <w:rPr>
          <w:rFonts w:cs="Tahoma"/>
        </w:rPr>
      </w:pPr>
      <w:r w:rsidRPr="004B208C">
        <w:rPr>
          <w:rFonts w:eastAsia="Calibri" w:cs="Tahoma"/>
          <w:color w:val="000000"/>
          <w:szCs w:val="18"/>
        </w:rPr>
        <w:t xml:space="preserve">quatro núcleos por licença de processador OU </w:t>
      </w:r>
    </w:p>
    <w:p w:rsidR="00F240D9" w:rsidRPr="004B208C" w:rsidRDefault="00F240D9" w:rsidP="00F240D9">
      <w:pPr>
        <w:tabs>
          <w:tab w:val="left" w:pos="2880"/>
        </w:tabs>
        <w:spacing w:after="60"/>
        <w:ind w:left="2520"/>
        <w:rPr>
          <w:rFonts w:cs="Tahoma"/>
        </w:rPr>
      </w:pPr>
    </w:p>
    <w:p w:rsidR="008233B3" w:rsidRPr="004B208C" w:rsidRDefault="008233B3" w:rsidP="00A1385C">
      <w:pPr>
        <w:numPr>
          <w:ilvl w:val="4"/>
          <w:numId w:val="121"/>
        </w:numPr>
        <w:tabs>
          <w:tab w:val="left" w:pos="2880"/>
        </w:tabs>
        <w:spacing w:after="60"/>
        <w:ind w:left="2880"/>
        <w:rPr>
          <w:rFonts w:cs="Tahoma"/>
        </w:rPr>
      </w:pPr>
      <w:r w:rsidRPr="004B208C">
        <w:rPr>
          <w:rFonts w:eastAsia="Calibri" w:cs="Tahoma"/>
          <w:color w:val="000000"/>
          <w:szCs w:val="18"/>
        </w:rPr>
        <w:lastRenderedPageBreak/>
        <w:t>um número de núcleos por licença do processador com base no número real de núcleos por processador físico multiplicado pelo fator de núcleo apropriado. (Nos casos em que o número real de núcleos por processador físico excede quatro, os</w:t>
      </w:r>
      <w:r w:rsidR="00E35EBB">
        <w:rPr>
          <w:rFonts w:eastAsia="Calibri" w:cs="Tahoma"/>
          <w:color w:val="000000"/>
          <w:szCs w:val="18"/>
        </w:rPr>
        <w:t> </w:t>
      </w:r>
      <w:r w:rsidRPr="004B208C">
        <w:rPr>
          <w:rFonts w:eastAsia="Calibri" w:cs="Tahoma"/>
          <w:color w:val="000000"/>
          <w:szCs w:val="18"/>
        </w:rPr>
        <w:t xml:space="preserve">clientes devem manter um registro da configuração do software BizTalk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233B3" w:rsidRPr="004B208C" w:rsidRDefault="008233B3" w:rsidP="00A1385C">
      <w:pPr>
        <w:numPr>
          <w:ilvl w:val="1"/>
          <w:numId w:val="123"/>
        </w:numPr>
        <w:tabs>
          <w:tab w:val="left" w:pos="1800"/>
        </w:tabs>
        <w:spacing w:after="60"/>
        <w:rPr>
          <w:rFonts w:cs="Tahoma"/>
        </w:rPr>
      </w:pPr>
      <w:r w:rsidRPr="004B208C">
        <w:rPr>
          <w:rFonts w:eastAsia="Calibri" w:cs="Tahoma"/>
          <w:color w:val="000000"/>
          <w:szCs w:val="18"/>
        </w:rPr>
        <w:t xml:space="preserve">Os Clientes </w:t>
      </w:r>
      <w:r w:rsidRPr="004B208C">
        <w:rPr>
          <w:rFonts w:eastAsia="Calibri" w:cs="Tahoma"/>
          <w:szCs w:val="18"/>
        </w:rPr>
        <w:t>poderão transferir as Licenças para outro servidor. No entanto, se o cliente transferir uma licença para outro servidor, o cliente terá que seguir os direitos de uso da versão do software que eles estão usando. Ao transferir licenças principais para servidores sob tais cenários, o cliente poderá combinar a equivalência de núcleo de suas licenças existentes com as licenças principais do BizTalk Server adicionais.</w:t>
      </w:r>
    </w:p>
    <w:p w:rsidR="008233B3" w:rsidRPr="004B208C" w:rsidRDefault="008233B3" w:rsidP="00A1385C">
      <w:pPr>
        <w:numPr>
          <w:ilvl w:val="1"/>
          <w:numId w:val="123"/>
        </w:numPr>
        <w:tabs>
          <w:tab w:val="left" w:pos="1800"/>
          <w:tab w:val="left" w:pos="2970"/>
        </w:tabs>
        <w:spacing w:after="60"/>
        <w:rPr>
          <w:rFonts w:cs="Tahoma"/>
        </w:rPr>
      </w:pPr>
      <w:r w:rsidRPr="004B208C">
        <w:rPr>
          <w:rFonts w:eastAsia="Calibri" w:cs="Tahoma"/>
          <w:color w:val="000000"/>
          <w:szCs w:val="18"/>
        </w:rPr>
        <w:t>A equivalência de licença principal dos clientes não implica que eles podem atribuir uma única licença de processador a núcleos por dois ou mais processadores.</w:t>
      </w:r>
    </w:p>
    <w:p w:rsidR="003540FA" w:rsidRPr="004B208C" w:rsidRDefault="003540FA" w:rsidP="00A66BD2">
      <w:pPr>
        <w:ind w:left="540"/>
        <w:rPr>
          <w:rFonts w:cs="Tahoma"/>
        </w:rPr>
      </w:pPr>
    </w:p>
    <w:p w:rsidR="00676723" w:rsidRPr="004B208C" w:rsidRDefault="00676723" w:rsidP="00A66BD2">
      <w:pPr>
        <w:ind w:left="540"/>
        <w:rPr>
          <w:rFonts w:cs="Tahoma"/>
        </w:rPr>
      </w:pPr>
    </w:p>
    <w:p w:rsidR="007B48BC" w:rsidRPr="004B208C" w:rsidRDefault="00A560B6" w:rsidP="000773D2">
      <w:pPr>
        <w:pStyle w:val="Heading3"/>
        <w:ind w:left="270" w:hanging="270"/>
        <w:rPr>
          <w:rFonts w:ascii="Tahoma" w:hAnsi="Tahoma" w:cs="Tahoma"/>
        </w:rPr>
      </w:pPr>
      <w:bookmarkStart w:id="1133" w:name="_38_Business_Intelligence"/>
      <w:bookmarkStart w:id="1134" w:name="_Toc336338293"/>
      <w:bookmarkStart w:id="1135" w:name="Srv_35BusinessIntellApp2012"/>
      <w:bookmarkStart w:id="1136" w:name="Srv_35CoreCALBridgeWinIntune"/>
      <w:bookmarkStart w:id="1137" w:name="_Toc370981412"/>
      <w:bookmarkEnd w:id="1133"/>
      <w:r w:rsidRPr="004B208C">
        <w:rPr>
          <w:rFonts w:ascii="Tahoma" w:hAnsi="Tahoma" w:cs="Tahoma"/>
          <w:caps/>
          <w:color w:val="F66400"/>
          <w:sz w:val="22"/>
          <w:vertAlign w:val="superscript"/>
        </w:rPr>
        <w:t xml:space="preserve">38 </w:t>
      </w:r>
      <w:r w:rsidRPr="004B208C">
        <w:rPr>
          <w:rFonts w:ascii="Tahoma" w:hAnsi="Tahoma" w:cs="Tahoma"/>
          <w:color w:val="F66400"/>
          <w:sz w:val="22"/>
        </w:rPr>
        <w:t>Business Intelligence Appliance 2012</w:t>
      </w:r>
      <w:bookmarkEnd w:id="1134"/>
      <w:bookmarkEnd w:id="1137"/>
      <w:r w:rsidRPr="004B208C">
        <w:rPr>
          <w:rFonts w:ascii="Tahoma" w:hAnsi="Tahoma" w:cs="Tahoma"/>
          <w:caps/>
          <w:color w:val="F66400"/>
          <w:sz w:val="22"/>
          <w:vertAlign w:val="superscript"/>
        </w:rPr>
        <w:t xml:space="preserve"> </w:t>
      </w:r>
    </w:p>
    <w:bookmarkEnd w:id="1135"/>
    <w:p w:rsidR="007B48BC" w:rsidRPr="004B208C" w:rsidRDefault="007B48BC" w:rsidP="007B48BC">
      <w:pPr>
        <w:rPr>
          <w:rFonts w:cs="Tahoma"/>
        </w:rPr>
      </w:pPr>
    </w:p>
    <w:p w:rsidR="00E03856" w:rsidRPr="004B208C" w:rsidRDefault="00E50460" w:rsidP="00A66BD2">
      <w:pPr>
        <w:ind w:left="720"/>
        <w:rPr>
          <w:rFonts w:cs="Tahoma"/>
        </w:rPr>
      </w:pPr>
      <w:r w:rsidRPr="004B208C">
        <w:rPr>
          <w:rFonts w:cs="Tahoma"/>
          <w:szCs w:val="18"/>
        </w:rPr>
        <w:t>O software Business Intelligence Appliance 2012, que incorpora o SQL Server 2008 R2 e SharePoint Server 2010, está disponível somente nas configurações de hardware e software aprovadas pela Microsoft.</w:t>
      </w:r>
      <w:r w:rsidR="00172F11">
        <w:rPr>
          <w:rFonts w:cs="Tahoma"/>
          <w:szCs w:val="18"/>
        </w:rPr>
        <w:t xml:space="preserve"> </w:t>
      </w:r>
      <w:r w:rsidRPr="004B208C">
        <w:rPr>
          <w:rFonts w:cs="Tahoma"/>
          <w:szCs w:val="18"/>
        </w:rPr>
        <w:t>Não há</w:t>
      </w:r>
      <w:r w:rsidR="00F240D9">
        <w:rPr>
          <w:rFonts w:cs="Tahoma"/>
          <w:szCs w:val="18"/>
        </w:rPr>
        <w:t> </w:t>
      </w:r>
      <w:r w:rsidRPr="004B208C">
        <w:rPr>
          <w:rFonts w:cs="Tahoma"/>
          <w:szCs w:val="18"/>
        </w:rPr>
        <w:t>suporte para o uso do software em outras configurações e, nesse caso, o desempenho poderá afetado.</w:t>
      </w:r>
      <w:r w:rsidR="00172F11">
        <w:rPr>
          <w:rFonts w:cs="Tahoma"/>
          <w:szCs w:val="18"/>
        </w:rPr>
        <w:t xml:space="preserve"> </w:t>
      </w:r>
      <w:r w:rsidRPr="004B208C">
        <w:rPr>
          <w:rFonts w:cs="Tahoma"/>
          <w:szCs w:val="18"/>
        </w:rPr>
        <w:t>Para</w:t>
      </w:r>
      <w:r w:rsidR="00F240D9">
        <w:rPr>
          <w:rFonts w:cs="Tahoma"/>
          <w:szCs w:val="18"/>
        </w:rPr>
        <w:t> </w:t>
      </w:r>
      <w:r w:rsidRPr="004B208C">
        <w:rPr>
          <w:rFonts w:cs="Tahoma"/>
          <w:szCs w:val="18"/>
        </w:rPr>
        <w:t>obter mais informações, visite o site</w:t>
      </w:r>
      <w:r w:rsidRPr="004B208C">
        <w:rPr>
          <w:rFonts w:cs="Tahoma"/>
          <w:color w:val="1F497D"/>
          <w:szCs w:val="18"/>
        </w:rPr>
        <w:t xml:space="preserve"> </w:t>
      </w:r>
      <w:hyperlink r:id="rId46" w:tooltip="http://www.microsoft.com/sqlserver/en/us/get-sql-server/how-to-buy.aspx" w:history="1">
        <w:r w:rsidRPr="004B208C">
          <w:rPr>
            <w:rStyle w:val="Hyperlink"/>
            <w:rFonts w:cs="Tahoma"/>
            <w:szCs w:val="18"/>
          </w:rPr>
          <w:t>http://www.microsoft.com/sqlserver/en/us/get-sql-server/how-to-buy.aspx</w:t>
        </w:r>
      </w:hyperlink>
      <w:r w:rsidRPr="004B208C">
        <w:rPr>
          <w:rFonts w:cs="Tahoma"/>
          <w:szCs w:val="18"/>
        </w:rPr>
        <w:t>.</w:t>
      </w:r>
      <w:r w:rsidR="00172F11">
        <w:rPr>
          <w:rFonts w:cs="Tahoma"/>
          <w:szCs w:val="18"/>
        </w:rPr>
        <w:t xml:space="preserve"> </w:t>
      </w:r>
    </w:p>
    <w:p w:rsidR="00A66BD2" w:rsidRPr="004B208C" w:rsidRDefault="00A66BD2" w:rsidP="00A66BD2">
      <w:pPr>
        <w:rPr>
          <w:rFonts w:cs="Tahoma"/>
        </w:rPr>
      </w:pPr>
    </w:p>
    <w:p w:rsidR="00A66BD2" w:rsidRPr="004B208C" w:rsidRDefault="00A66BD2" w:rsidP="00A66BD2">
      <w:pPr>
        <w:rPr>
          <w:rFonts w:cs="Tahoma"/>
        </w:rPr>
      </w:pPr>
    </w:p>
    <w:p w:rsidR="003540FA" w:rsidRPr="004B208C" w:rsidRDefault="001C55B1" w:rsidP="00F240D9">
      <w:pPr>
        <w:pStyle w:val="Heading3"/>
        <w:ind w:left="245" w:hanging="245"/>
        <w:rPr>
          <w:rFonts w:ascii="Tahoma" w:hAnsi="Tahoma" w:cs="Tahoma"/>
        </w:rPr>
      </w:pPr>
      <w:bookmarkStart w:id="1138" w:name="_39_Core_CAL"/>
      <w:bookmarkStart w:id="1139" w:name="_Toc336338294"/>
      <w:bookmarkStart w:id="1140" w:name="_Toc370981413"/>
      <w:bookmarkEnd w:id="1138"/>
      <w:r w:rsidRPr="004B208C">
        <w:rPr>
          <w:rFonts w:ascii="Tahoma" w:hAnsi="Tahoma" w:cs="Tahoma"/>
          <w:caps/>
          <w:color w:val="F66400"/>
          <w:sz w:val="22"/>
          <w:vertAlign w:val="superscript"/>
        </w:rPr>
        <w:t>39</w:t>
      </w:r>
      <w:r w:rsidRPr="004B208C">
        <w:rPr>
          <w:rFonts w:ascii="Tahoma" w:hAnsi="Tahoma" w:cs="Tahoma"/>
          <w:color w:val="F66400"/>
          <w:sz w:val="22"/>
        </w:rPr>
        <w:t xml:space="preserve"> Bridge do Pacote de </w:t>
      </w:r>
      <w:r w:rsidRPr="004B208C">
        <w:rPr>
          <w:rFonts w:ascii="Tahoma" w:hAnsi="Tahoma" w:cs="Tahoma"/>
          <w:color w:val="FF6600"/>
          <w:sz w:val="22"/>
        </w:rPr>
        <w:t>CALs Principais para Office 365, Bridge do Pacote de CALs Principais para Office 365 e Windows Intune e Bridge do Pacote de CALs Principais para Windows Intune</w:t>
      </w:r>
      <w:bookmarkEnd w:id="1139"/>
      <w:bookmarkEnd w:id="1140"/>
    </w:p>
    <w:bookmarkEnd w:id="1136"/>
    <w:p w:rsidR="003540FA" w:rsidRPr="004B208C" w:rsidRDefault="003540FA" w:rsidP="00A66BD2">
      <w:pPr>
        <w:ind w:left="540"/>
        <w:rPr>
          <w:rFonts w:cs="Tahoma"/>
        </w:rPr>
      </w:pPr>
    </w:p>
    <w:p w:rsidR="00A66BD2" w:rsidRPr="004B208C" w:rsidRDefault="000773D2" w:rsidP="00A66BD2">
      <w:pPr>
        <w:spacing w:after="60"/>
        <w:ind w:left="720"/>
        <w:rPr>
          <w:rFonts w:cs="Tahoma"/>
        </w:rPr>
      </w:pPr>
      <w:r w:rsidRPr="004B208C">
        <w:rPr>
          <w:rFonts w:cs="Tahoma"/>
          <w:b/>
          <w:szCs w:val="18"/>
        </w:rPr>
        <w:t>Definição</w:t>
      </w:r>
    </w:p>
    <w:p w:rsidR="000773D2" w:rsidRPr="004B208C" w:rsidRDefault="00A66BD2" w:rsidP="00A66BD2">
      <w:pPr>
        <w:ind w:left="720"/>
        <w:rPr>
          <w:rFonts w:cs="Tahoma"/>
        </w:rPr>
      </w:pPr>
      <w:r w:rsidRPr="00172F11">
        <w:rPr>
          <w:rFonts w:cs="Tahoma"/>
          <w:szCs w:val="18"/>
        </w:rPr>
        <w:t>“</w:t>
      </w:r>
      <w:r w:rsidRPr="004B208C">
        <w:rPr>
          <w:rFonts w:cs="Tahoma"/>
          <w:szCs w:val="18"/>
        </w:rPr>
        <w:t>Transição” significa a conversão de uma Licença com o Software Assurance atual para ou de uma licença de assinatura.</w:t>
      </w:r>
      <w:r w:rsidR="00172F11">
        <w:rPr>
          <w:rFonts w:cs="Tahoma"/>
          <w:szCs w:val="18"/>
        </w:rPr>
        <w:t xml:space="preserve"> </w:t>
      </w:r>
    </w:p>
    <w:p w:rsidR="00A66BD2" w:rsidRPr="004B208C" w:rsidRDefault="00A66BD2" w:rsidP="00A66BD2">
      <w:pPr>
        <w:ind w:left="720"/>
        <w:rPr>
          <w:rFonts w:cs="Tahoma"/>
        </w:rPr>
      </w:pPr>
    </w:p>
    <w:p w:rsidR="00A66BD2" w:rsidRPr="004B208C" w:rsidRDefault="000773D2" w:rsidP="00A66BD2">
      <w:pPr>
        <w:spacing w:after="60"/>
        <w:ind w:left="720"/>
        <w:rPr>
          <w:rFonts w:cs="Tahoma"/>
        </w:rPr>
      </w:pPr>
      <w:r w:rsidRPr="004B208C">
        <w:rPr>
          <w:rFonts w:cs="Tahoma"/>
          <w:b/>
          <w:szCs w:val="18"/>
        </w:rPr>
        <w:t xml:space="preserve">Direitos de Uso Aplicáveis </w:t>
      </w:r>
    </w:p>
    <w:p w:rsidR="000773D2" w:rsidRPr="004B208C" w:rsidRDefault="000773D2" w:rsidP="00A66BD2">
      <w:pPr>
        <w:spacing w:line="276" w:lineRule="auto"/>
        <w:ind w:left="720"/>
        <w:rPr>
          <w:rFonts w:cs="Tahoma"/>
        </w:rPr>
      </w:pPr>
      <w:r w:rsidRPr="004B208C">
        <w:rPr>
          <w:rFonts w:eastAsia="Calibri" w:cs="Tahoma"/>
          <w:szCs w:val="18"/>
        </w:rPr>
        <w:t>O Bridge do Pacote de CALs é independente da versão e os Direitos de Uso de Produto são determinados pelo status da cobertura do Software Assurance sobre ele.</w:t>
      </w:r>
      <w:r w:rsidR="00172F11">
        <w:rPr>
          <w:rFonts w:eastAsia="Calibri" w:cs="Tahoma"/>
          <w:szCs w:val="18"/>
        </w:rPr>
        <w:t xml:space="preserve"> </w:t>
      </w:r>
      <w:r w:rsidRPr="004B208C">
        <w:rPr>
          <w:rFonts w:eastAsia="Calibri" w:cs="Tahoma"/>
          <w:szCs w:val="18"/>
        </w:rPr>
        <w:t>Se a cobertura for interrompida, os direitos de acesso sob as Licenças perpétuas serão determinados com base nos Direitos de Uso de Produto em vigor antes da interrupção.</w:t>
      </w:r>
      <w:r w:rsidR="00172F11">
        <w:rPr>
          <w:rFonts w:eastAsia="Calibri" w:cs="Tahoma"/>
          <w:szCs w:val="18"/>
        </w:rPr>
        <w:t xml:space="preserve"> </w:t>
      </w:r>
      <w:r w:rsidRPr="004B208C">
        <w:rPr>
          <w:rFonts w:eastAsia="Calibri" w:cs="Tahoma"/>
          <w:szCs w:val="18"/>
        </w:rPr>
        <w:t>A Licença para um Bridge do Pacote de CALs é uma licença individual que deverá ser cedida a um único usuário ou dispositivo.</w:t>
      </w:r>
    </w:p>
    <w:p w:rsidR="00A66BD2" w:rsidRPr="004B208C" w:rsidRDefault="00A66BD2" w:rsidP="00A66BD2">
      <w:pPr>
        <w:spacing w:line="276" w:lineRule="auto"/>
        <w:ind w:left="720"/>
        <w:rPr>
          <w:rFonts w:cs="Tahoma"/>
        </w:rPr>
      </w:pPr>
    </w:p>
    <w:p w:rsidR="00A66BD2" w:rsidRPr="004B208C" w:rsidRDefault="000773D2" w:rsidP="00A66BD2">
      <w:pPr>
        <w:spacing w:after="60"/>
        <w:ind w:left="720"/>
        <w:rPr>
          <w:rFonts w:cs="Tahoma"/>
        </w:rPr>
      </w:pPr>
      <w:r w:rsidRPr="004B208C">
        <w:rPr>
          <w:rFonts w:cs="Tahoma"/>
          <w:b/>
          <w:szCs w:val="18"/>
        </w:rPr>
        <w:t>Exigências</w:t>
      </w:r>
    </w:p>
    <w:p w:rsidR="000773D2" w:rsidRPr="004B208C" w:rsidRDefault="000773D2" w:rsidP="00A66BD2">
      <w:pPr>
        <w:spacing w:line="276" w:lineRule="auto"/>
        <w:ind w:left="720"/>
        <w:rPr>
          <w:rFonts w:cs="Tahoma"/>
        </w:rPr>
      </w:pPr>
      <w:r w:rsidRPr="004B208C">
        <w:rPr>
          <w:rFonts w:eastAsia="Calibri" w:cs="Tahoma"/>
          <w:szCs w:val="18"/>
        </w:rPr>
        <w:t>Um Bridge do Pacote de CALs poderá ser solicitado durante a Transição de um Pacote de CALs para uma combinação de Produto e Serviço Online comparáveis.</w:t>
      </w:r>
      <w:r w:rsidR="00172F11">
        <w:rPr>
          <w:rFonts w:eastAsia="Calibri" w:cs="Tahoma"/>
          <w:szCs w:val="18"/>
        </w:rPr>
        <w:t xml:space="preserve"> </w:t>
      </w:r>
      <w:r w:rsidRPr="004B208C">
        <w:rPr>
          <w:rFonts w:eastAsia="Calibri" w:cs="Tahoma"/>
          <w:szCs w:val="18"/>
        </w:rPr>
        <w:t>Quando uma Transição requerer um Brigde do Pacote de CALs e a Licença qualificada tiver sido paga integralmente pelo Cliente, não será necessário comprar nenhuma Licença do Bridge do Pacote de CALs.</w:t>
      </w:r>
      <w:r w:rsidR="00172F11">
        <w:rPr>
          <w:rFonts w:eastAsia="Calibri" w:cs="Tahoma"/>
          <w:szCs w:val="18"/>
        </w:rPr>
        <w:t xml:space="preserve"> </w:t>
      </w:r>
      <w:r w:rsidRPr="004B208C">
        <w:rPr>
          <w:rFonts w:eastAsia="Calibri" w:cs="Tahoma"/>
          <w:szCs w:val="18"/>
        </w:rPr>
        <w:t>Em vez disso, o Software Assurance poderá ser comprado para o Bridge do Pacote de CALs no aniversário do Registro em que a Transição entrar em vigor.</w:t>
      </w:r>
      <w:r w:rsidR="00172F11">
        <w:rPr>
          <w:rFonts w:eastAsia="Calibri" w:cs="Tahoma"/>
          <w:szCs w:val="18"/>
        </w:rPr>
        <w:t xml:space="preserve"> </w:t>
      </w:r>
      <w:r w:rsidRPr="004B208C">
        <w:rPr>
          <w:rFonts w:eastAsia="Calibri" w:cs="Tahoma"/>
          <w:szCs w:val="18"/>
        </w:rPr>
        <w:t>Nessas circunstâncias, a relação de Transição poderá ser de um Bridge do Pacote de CALs com Software Assurance para um Pacote de CALs com Software Assurance e para a mesma Licença de usuário ou dispositivo como o Pacote de CALs qualificado.</w:t>
      </w:r>
      <w:r w:rsidR="00172F11">
        <w:rPr>
          <w:rFonts w:eastAsia="Calibri" w:cs="Tahoma"/>
          <w:szCs w:val="18"/>
        </w:rPr>
        <w:t xml:space="preserve"> </w:t>
      </w:r>
    </w:p>
    <w:p w:rsidR="00A66BD2" w:rsidRPr="004B208C" w:rsidRDefault="00A66BD2" w:rsidP="00A66BD2">
      <w:pPr>
        <w:spacing w:line="276" w:lineRule="auto"/>
        <w:ind w:left="720"/>
        <w:rPr>
          <w:rFonts w:cs="Tahoma"/>
        </w:rPr>
      </w:pPr>
    </w:p>
    <w:p w:rsidR="000773D2" w:rsidRPr="004B208C" w:rsidRDefault="000773D2" w:rsidP="00A66BD2">
      <w:pPr>
        <w:spacing w:line="276" w:lineRule="auto"/>
        <w:ind w:left="720"/>
        <w:rPr>
          <w:rFonts w:cs="Tahoma"/>
        </w:rPr>
      </w:pPr>
      <w:r w:rsidRPr="004B208C">
        <w:rPr>
          <w:rFonts w:eastAsia="Calibri" w:cs="Tahoma"/>
          <w:szCs w:val="18"/>
        </w:rPr>
        <w:t>Um Bridge do Pacote de CALs é um Produto Enterprise e pode ser licenciado em conjunto com o Serviço Online qualificado para atender os requisitos para toda a empresa desse Bridge do Pacote de CALs ou do Pacote de CALs pai.</w:t>
      </w:r>
    </w:p>
    <w:tbl>
      <w:tblPr>
        <w:tblW w:w="4366" w:type="pct"/>
        <w:tblInd w:w="730" w:type="dxa"/>
        <w:tblCellMar>
          <w:left w:w="0" w:type="dxa"/>
          <w:right w:w="0" w:type="dxa"/>
        </w:tblCellMar>
        <w:tblLook w:val="04A0" w:firstRow="1" w:lastRow="0" w:firstColumn="1" w:lastColumn="0" w:noHBand="0" w:noVBand="1"/>
      </w:tblPr>
      <w:tblGrid>
        <w:gridCol w:w="2792"/>
        <w:gridCol w:w="2159"/>
        <w:gridCol w:w="3240"/>
      </w:tblGrid>
      <w:tr w:rsidR="005A36EF" w:rsidRPr="004B208C" w:rsidTr="00F240D9">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4B208C" w:rsidRDefault="000773D2" w:rsidP="000773D2">
            <w:pPr>
              <w:spacing w:before="80" w:after="200" w:line="276" w:lineRule="auto"/>
              <w:jc w:val="center"/>
              <w:rPr>
                <w:rFonts w:eastAsia="Calibri" w:cs="Tahoma"/>
                <w:b/>
                <w:bCs/>
                <w:color w:val="000000"/>
                <w:szCs w:val="18"/>
                <w:lang w:eastAsia="ja-JP"/>
              </w:rPr>
            </w:pPr>
            <w:r w:rsidRPr="004B208C">
              <w:rPr>
                <w:rFonts w:eastAsia="Calibri" w:cs="Tahoma"/>
                <w:b/>
                <w:bCs/>
                <w:szCs w:val="18"/>
              </w:rPr>
              <w:lastRenderedPageBreak/>
              <w:t>Bridge do Pacote de CALs</w:t>
            </w:r>
          </w:p>
        </w:tc>
        <w:tc>
          <w:tcPr>
            <w:tcW w:w="1318" w:type="pct"/>
            <w:tcBorders>
              <w:top w:val="single" w:sz="8" w:space="0" w:color="auto"/>
              <w:left w:val="nil"/>
              <w:bottom w:val="single" w:sz="8" w:space="0" w:color="auto"/>
              <w:right w:val="single" w:sz="8" w:space="0" w:color="auto"/>
            </w:tcBorders>
            <w:shd w:val="clear" w:color="auto" w:fill="FABF8F"/>
            <w:vAlign w:val="center"/>
            <w:hideMark/>
          </w:tcPr>
          <w:p w:rsidR="000773D2" w:rsidRPr="004B208C" w:rsidRDefault="000773D2" w:rsidP="000773D2">
            <w:pPr>
              <w:spacing w:before="80" w:after="200" w:line="276" w:lineRule="auto"/>
              <w:jc w:val="center"/>
              <w:rPr>
                <w:rFonts w:eastAsia="Calibri" w:cs="Tahoma"/>
                <w:b/>
                <w:bCs/>
                <w:color w:val="000000"/>
                <w:szCs w:val="18"/>
                <w:lang w:eastAsia="ja-JP"/>
              </w:rPr>
            </w:pPr>
            <w:r w:rsidRPr="004B208C">
              <w:rPr>
                <w:rFonts w:eastAsia="Calibri" w:cs="Tahoma"/>
                <w:b/>
                <w:bCs/>
                <w:szCs w:val="18"/>
              </w:rPr>
              <w:t>Pacote de CALs Pai</w:t>
            </w:r>
          </w:p>
        </w:tc>
        <w:tc>
          <w:tcPr>
            <w:tcW w:w="1978" w:type="pct"/>
            <w:tcBorders>
              <w:top w:val="single" w:sz="8" w:space="0" w:color="auto"/>
              <w:left w:val="nil"/>
              <w:bottom w:val="single" w:sz="8" w:space="0" w:color="auto"/>
              <w:right w:val="single" w:sz="8" w:space="0" w:color="auto"/>
            </w:tcBorders>
            <w:shd w:val="clear" w:color="auto" w:fill="FABF8F"/>
            <w:hideMark/>
          </w:tcPr>
          <w:p w:rsidR="000773D2" w:rsidRPr="004B208C" w:rsidRDefault="000773D2" w:rsidP="005A36EF">
            <w:pPr>
              <w:spacing w:before="80" w:after="200" w:line="276" w:lineRule="auto"/>
              <w:ind w:left="180" w:right="180"/>
              <w:jc w:val="center"/>
              <w:rPr>
                <w:rFonts w:eastAsia="Calibri" w:cs="Tahoma"/>
                <w:b/>
                <w:bCs/>
                <w:color w:val="000000"/>
                <w:szCs w:val="18"/>
                <w:lang w:eastAsia="ja-JP"/>
              </w:rPr>
            </w:pPr>
            <w:r w:rsidRPr="004B208C">
              <w:rPr>
                <w:rFonts w:eastAsia="Calibri" w:cs="Tahoma"/>
                <w:b/>
                <w:bCs/>
                <w:szCs w:val="18"/>
              </w:rPr>
              <w:t>Serviços Online Qualificados</w:t>
            </w:r>
          </w:p>
        </w:tc>
      </w:tr>
      <w:tr w:rsidR="005A36EF" w:rsidRPr="004B208C" w:rsidTr="00F240D9">
        <w:trPr>
          <w:trHeight w:val="576"/>
        </w:trPr>
        <w:tc>
          <w:tcPr>
            <w:tcW w:w="1704" w:type="pct"/>
            <w:tcBorders>
              <w:top w:val="nil"/>
              <w:left w:val="single" w:sz="8" w:space="0" w:color="auto"/>
              <w:bottom w:val="single" w:sz="8" w:space="0" w:color="auto"/>
              <w:right w:val="single" w:sz="8" w:space="0" w:color="auto"/>
            </w:tcBorders>
          </w:tcPr>
          <w:p w:rsidR="000773D2" w:rsidRPr="004B208C" w:rsidRDefault="000773D2" w:rsidP="00A1385C">
            <w:pPr>
              <w:numPr>
                <w:ilvl w:val="0"/>
                <w:numId w:val="39"/>
              </w:numPr>
              <w:spacing w:before="120" w:after="200" w:line="276" w:lineRule="auto"/>
              <w:ind w:left="679" w:right="181" w:hanging="450"/>
              <w:rPr>
                <w:rFonts w:eastAsia="Calibri" w:cs="Tahoma"/>
                <w:color w:val="000000"/>
                <w:szCs w:val="18"/>
              </w:rPr>
            </w:pPr>
            <w:r w:rsidRPr="004B208C">
              <w:rPr>
                <w:rFonts w:eastAsia="Calibri" w:cs="Tahoma"/>
                <w:color w:val="000000"/>
                <w:szCs w:val="18"/>
              </w:rPr>
              <w:t>Bridge do Pacote de CALs Principais para Office 365</w:t>
            </w:r>
          </w:p>
        </w:tc>
        <w:tc>
          <w:tcPr>
            <w:tcW w:w="1318" w:type="pct"/>
            <w:tcBorders>
              <w:top w:val="nil"/>
              <w:left w:val="nil"/>
              <w:bottom w:val="single" w:sz="8" w:space="0" w:color="auto"/>
              <w:right w:val="single" w:sz="8" w:space="0" w:color="auto"/>
            </w:tcBorders>
          </w:tcPr>
          <w:p w:rsidR="000773D2" w:rsidRPr="004B208C" w:rsidRDefault="000773D2" w:rsidP="00A1385C">
            <w:pPr>
              <w:numPr>
                <w:ilvl w:val="0"/>
                <w:numId w:val="40"/>
              </w:numPr>
              <w:spacing w:before="120" w:after="200" w:line="276" w:lineRule="auto"/>
              <w:ind w:left="682" w:hanging="450"/>
              <w:rPr>
                <w:rFonts w:eastAsia="Calibri" w:cs="Tahoma"/>
                <w:color w:val="000000"/>
                <w:szCs w:val="18"/>
              </w:rPr>
            </w:pPr>
            <w:r w:rsidRPr="004B208C">
              <w:rPr>
                <w:rFonts w:eastAsia="Calibri" w:cs="Tahoma"/>
                <w:color w:val="000000"/>
                <w:szCs w:val="18"/>
              </w:rPr>
              <w:t>Core CAL Suite</w:t>
            </w:r>
          </w:p>
        </w:tc>
        <w:tc>
          <w:tcPr>
            <w:tcW w:w="1978" w:type="pct"/>
            <w:tcBorders>
              <w:top w:val="nil"/>
              <w:left w:val="nil"/>
              <w:bottom w:val="single" w:sz="8" w:space="0" w:color="auto"/>
              <w:right w:val="single" w:sz="8" w:space="0" w:color="auto"/>
            </w:tcBorders>
          </w:tcPr>
          <w:p w:rsidR="000773D2" w:rsidRPr="004B208C" w:rsidRDefault="000773D2" w:rsidP="00A1385C">
            <w:pPr>
              <w:numPr>
                <w:ilvl w:val="0"/>
                <w:numId w:val="41"/>
              </w:numPr>
              <w:spacing w:before="120" w:after="200" w:line="276" w:lineRule="auto"/>
              <w:ind w:left="684" w:right="181" w:hanging="450"/>
              <w:rPr>
                <w:rFonts w:cs="Tahoma"/>
              </w:rPr>
            </w:pPr>
            <w:r w:rsidRPr="004B208C">
              <w:rPr>
                <w:rFonts w:eastAsia="Calibri" w:cs="Tahoma"/>
                <w:color w:val="000000"/>
                <w:szCs w:val="18"/>
              </w:rPr>
              <w:t>Office 365 Enterprise E1 ou</w:t>
            </w:r>
          </w:p>
          <w:p w:rsidR="000773D2" w:rsidRPr="004B208C" w:rsidRDefault="000773D2" w:rsidP="00A1385C">
            <w:pPr>
              <w:numPr>
                <w:ilvl w:val="0"/>
                <w:numId w:val="41"/>
              </w:numPr>
              <w:spacing w:before="120" w:after="200" w:line="276" w:lineRule="auto"/>
              <w:ind w:left="684" w:right="181" w:hanging="450"/>
              <w:rPr>
                <w:rFonts w:cs="Tahoma"/>
              </w:rPr>
            </w:pPr>
            <w:r w:rsidRPr="004B208C">
              <w:rPr>
                <w:rFonts w:eastAsia="Calibri" w:cs="Tahoma"/>
                <w:color w:val="000000"/>
                <w:szCs w:val="18"/>
              </w:rPr>
              <w:t>Office 365 Enterprise E3 ou</w:t>
            </w:r>
          </w:p>
          <w:p w:rsidR="000773D2" w:rsidRPr="004B208C" w:rsidRDefault="000773D2" w:rsidP="00A1385C">
            <w:pPr>
              <w:numPr>
                <w:ilvl w:val="0"/>
                <w:numId w:val="41"/>
              </w:numPr>
              <w:spacing w:before="120" w:after="200" w:line="276" w:lineRule="auto"/>
              <w:ind w:left="684" w:right="181" w:hanging="450"/>
              <w:rPr>
                <w:rFonts w:eastAsia="Calibri" w:cs="Tahoma"/>
                <w:color w:val="000000"/>
                <w:szCs w:val="18"/>
              </w:rPr>
            </w:pPr>
            <w:r w:rsidRPr="004B208C">
              <w:rPr>
                <w:rFonts w:eastAsia="Calibri" w:cs="Tahoma"/>
                <w:color w:val="000000"/>
                <w:szCs w:val="18"/>
              </w:rPr>
              <w:t>Office 365 Enterprise E4</w:t>
            </w:r>
          </w:p>
        </w:tc>
      </w:tr>
      <w:tr w:rsidR="005A36EF" w:rsidRPr="004B208C" w:rsidTr="00F240D9">
        <w:trPr>
          <w:trHeight w:val="576"/>
        </w:trPr>
        <w:tc>
          <w:tcPr>
            <w:tcW w:w="1704" w:type="pct"/>
            <w:tcBorders>
              <w:top w:val="nil"/>
              <w:left w:val="single" w:sz="8" w:space="0" w:color="auto"/>
              <w:bottom w:val="single" w:sz="8" w:space="0" w:color="auto"/>
              <w:right w:val="single" w:sz="8" w:space="0" w:color="auto"/>
            </w:tcBorders>
          </w:tcPr>
          <w:p w:rsidR="000773D2" w:rsidRPr="004B208C" w:rsidRDefault="000773D2" w:rsidP="00A1385C">
            <w:pPr>
              <w:numPr>
                <w:ilvl w:val="0"/>
                <w:numId w:val="39"/>
              </w:numPr>
              <w:spacing w:before="120" w:after="200" w:line="276" w:lineRule="auto"/>
              <w:ind w:left="679" w:right="181" w:hanging="450"/>
              <w:rPr>
                <w:rFonts w:eastAsia="Calibri" w:cs="Tahoma"/>
                <w:color w:val="000000"/>
                <w:szCs w:val="18"/>
              </w:rPr>
            </w:pPr>
            <w:r w:rsidRPr="004B208C">
              <w:rPr>
                <w:rFonts w:eastAsia="Calibri" w:cs="Tahoma"/>
                <w:color w:val="000000"/>
                <w:szCs w:val="18"/>
              </w:rPr>
              <w:t>Bridge do Pacote de CALs Principais para Office 365 e Windows Intune</w:t>
            </w:r>
          </w:p>
        </w:tc>
        <w:tc>
          <w:tcPr>
            <w:tcW w:w="1318" w:type="pct"/>
            <w:tcBorders>
              <w:top w:val="nil"/>
              <w:left w:val="nil"/>
              <w:bottom w:val="single" w:sz="8" w:space="0" w:color="auto"/>
              <w:right w:val="single" w:sz="8" w:space="0" w:color="auto"/>
            </w:tcBorders>
          </w:tcPr>
          <w:p w:rsidR="000773D2" w:rsidRPr="004B208C" w:rsidRDefault="000773D2" w:rsidP="00A1385C">
            <w:pPr>
              <w:numPr>
                <w:ilvl w:val="0"/>
                <w:numId w:val="40"/>
              </w:numPr>
              <w:spacing w:before="120" w:after="200" w:line="276" w:lineRule="auto"/>
              <w:ind w:left="682" w:hanging="450"/>
              <w:rPr>
                <w:rFonts w:eastAsia="Calibri" w:cs="Tahoma"/>
                <w:color w:val="000000"/>
                <w:szCs w:val="18"/>
              </w:rPr>
            </w:pPr>
            <w:r w:rsidRPr="004B208C">
              <w:rPr>
                <w:rFonts w:eastAsia="Calibri" w:cs="Tahoma"/>
                <w:color w:val="000000"/>
                <w:szCs w:val="18"/>
              </w:rPr>
              <w:t>Core CAL Suite</w:t>
            </w:r>
          </w:p>
        </w:tc>
        <w:tc>
          <w:tcPr>
            <w:tcW w:w="1978" w:type="pct"/>
            <w:tcBorders>
              <w:top w:val="nil"/>
              <w:left w:val="nil"/>
              <w:bottom w:val="single" w:sz="8" w:space="0" w:color="auto"/>
              <w:right w:val="single" w:sz="8" w:space="0" w:color="auto"/>
            </w:tcBorders>
          </w:tcPr>
          <w:p w:rsidR="000773D2" w:rsidRPr="004B208C" w:rsidRDefault="000773D2" w:rsidP="00A1385C">
            <w:pPr>
              <w:numPr>
                <w:ilvl w:val="0"/>
                <w:numId w:val="41"/>
              </w:numPr>
              <w:spacing w:before="120" w:after="200" w:line="276" w:lineRule="auto"/>
              <w:ind w:left="684" w:right="181" w:hanging="450"/>
              <w:rPr>
                <w:rFonts w:cs="Tahoma"/>
              </w:rPr>
            </w:pPr>
            <w:r w:rsidRPr="004B208C">
              <w:rPr>
                <w:rFonts w:eastAsia="Calibri" w:cs="Tahoma"/>
                <w:color w:val="000000"/>
                <w:szCs w:val="18"/>
              </w:rPr>
              <w:t>Office 365 Enterprise E1 e Windows Intune ou</w:t>
            </w:r>
          </w:p>
          <w:p w:rsidR="000773D2" w:rsidRPr="004B208C" w:rsidRDefault="000773D2" w:rsidP="00A1385C">
            <w:pPr>
              <w:numPr>
                <w:ilvl w:val="0"/>
                <w:numId w:val="41"/>
              </w:numPr>
              <w:spacing w:before="120" w:after="200" w:line="276" w:lineRule="auto"/>
              <w:ind w:left="684" w:right="181" w:hanging="450"/>
              <w:rPr>
                <w:rFonts w:cs="Tahoma"/>
              </w:rPr>
            </w:pPr>
            <w:r w:rsidRPr="004B208C">
              <w:rPr>
                <w:rFonts w:eastAsia="Calibri" w:cs="Tahoma"/>
                <w:color w:val="000000"/>
                <w:szCs w:val="18"/>
              </w:rPr>
              <w:t>Office 365 Enterprise E3 e Windows Intune ou</w:t>
            </w:r>
          </w:p>
          <w:p w:rsidR="000773D2" w:rsidRPr="004B208C" w:rsidRDefault="000773D2" w:rsidP="00A1385C">
            <w:pPr>
              <w:numPr>
                <w:ilvl w:val="0"/>
                <w:numId w:val="41"/>
              </w:numPr>
              <w:spacing w:before="120" w:after="200" w:line="276" w:lineRule="auto"/>
              <w:ind w:left="684" w:right="181" w:hanging="450"/>
              <w:rPr>
                <w:rFonts w:eastAsia="Calibri" w:cs="Tahoma"/>
                <w:color w:val="000000"/>
                <w:szCs w:val="18"/>
              </w:rPr>
            </w:pPr>
            <w:r w:rsidRPr="004B208C">
              <w:rPr>
                <w:rFonts w:eastAsia="Calibri" w:cs="Tahoma"/>
                <w:color w:val="000000"/>
                <w:szCs w:val="18"/>
              </w:rPr>
              <w:t>Office 365 Enterprise E4 e Windows Intune</w:t>
            </w:r>
          </w:p>
        </w:tc>
      </w:tr>
      <w:tr w:rsidR="00A2083B" w:rsidRPr="004B208C" w:rsidTr="00F240D9">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4B208C" w:rsidRDefault="00A2083B" w:rsidP="00A1385C">
            <w:pPr>
              <w:numPr>
                <w:ilvl w:val="0"/>
                <w:numId w:val="39"/>
              </w:numPr>
              <w:spacing w:before="120" w:after="200" w:line="276" w:lineRule="auto"/>
              <w:ind w:left="679" w:right="181" w:hanging="450"/>
              <w:rPr>
                <w:rFonts w:eastAsia="Calibri" w:cs="Tahoma"/>
                <w:color w:val="000000"/>
                <w:szCs w:val="18"/>
              </w:rPr>
            </w:pPr>
            <w:r w:rsidRPr="004B208C">
              <w:rPr>
                <w:rFonts w:cs="Tahoma"/>
                <w:color w:val="000000"/>
                <w:szCs w:val="18"/>
              </w:rPr>
              <w:t>Bridge do Pacote de CALs Principais para Windows Intune</w:t>
            </w:r>
          </w:p>
        </w:tc>
        <w:tc>
          <w:tcPr>
            <w:tcW w:w="1318" w:type="pct"/>
            <w:tcBorders>
              <w:top w:val="single" w:sz="8" w:space="0" w:color="auto"/>
              <w:left w:val="nil"/>
              <w:bottom w:val="single" w:sz="8" w:space="0" w:color="auto"/>
              <w:right w:val="single" w:sz="8" w:space="0" w:color="auto"/>
            </w:tcBorders>
          </w:tcPr>
          <w:p w:rsidR="00A2083B" w:rsidRPr="004B208C" w:rsidRDefault="00A2083B" w:rsidP="00A1385C">
            <w:pPr>
              <w:numPr>
                <w:ilvl w:val="0"/>
                <w:numId w:val="40"/>
              </w:numPr>
              <w:spacing w:before="120" w:after="200" w:line="276" w:lineRule="auto"/>
              <w:ind w:left="682" w:hanging="450"/>
              <w:rPr>
                <w:rFonts w:eastAsia="Calibri" w:cs="Tahoma"/>
                <w:color w:val="000000"/>
                <w:szCs w:val="18"/>
              </w:rPr>
            </w:pPr>
            <w:r w:rsidRPr="004B208C">
              <w:rPr>
                <w:rFonts w:cs="Tahoma"/>
                <w:color w:val="000000"/>
                <w:szCs w:val="18"/>
              </w:rPr>
              <w:t>Core CAL Suite</w:t>
            </w:r>
          </w:p>
        </w:tc>
        <w:tc>
          <w:tcPr>
            <w:tcW w:w="1978" w:type="pct"/>
            <w:tcBorders>
              <w:top w:val="single" w:sz="8" w:space="0" w:color="auto"/>
              <w:left w:val="nil"/>
              <w:bottom w:val="single" w:sz="8" w:space="0" w:color="auto"/>
              <w:right w:val="single" w:sz="8" w:space="0" w:color="auto"/>
            </w:tcBorders>
          </w:tcPr>
          <w:p w:rsidR="00A2083B" w:rsidRPr="004B208C" w:rsidRDefault="00A2083B" w:rsidP="00A1385C">
            <w:pPr>
              <w:numPr>
                <w:ilvl w:val="0"/>
                <w:numId w:val="41"/>
              </w:numPr>
              <w:spacing w:before="120" w:after="200" w:line="276" w:lineRule="auto"/>
              <w:ind w:left="684" w:right="181" w:hanging="450"/>
              <w:rPr>
                <w:rFonts w:eastAsia="Calibri" w:cs="Tahoma"/>
                <w:color w:val="000000"/>
                <w:szCs w:val="18"/>
              </w:rPr>
            </w:pPr>
            <w:r w:rsidRPr="004B208C">
              <w:rPr>
                <w:rFonts w:cs="Tahoma"/>
                <w:color w:val="000000"/>
                <w:szCs w:val="18"/>
              </w:rPr>
              <w:t>Windows</w:t>
            </w:r>
            <w:r w:rsidRPr="004B208C">
              <w:rPr>
                <w:rFonts w:cs="Tahoma"/>
                <w:color w:val="000000"/>
                <w:szCs w:val="18"/>
                <w:vertAlign w:val="superscript"/>
              </w:rPr>
              <w:t xml:space="preserve"> </w:t>
            </w:r>
            <w:r w:rsidRPr="004B208C">
              <w:rPr>
                <w:rFonts w:cs="Tahoma"/>
                <w:color w:val="000000"/>
                <w:szCs w:val="18"/>
              </w:rPr>
              <w:t>Intune</w:t>
            </w:r>
          </w:p>
        </w:tc>
      </w:tr>
    </w:tbl>
    <w:p w:rsidR="00A66BD2" w:rsidRPr="00F240D9" w:rsidRDefault="00A66BD2" w:rsidP="00AF3B19">
      <w:pPr>
        <w:pStyle w:val="Heading3"/>
        <w:rPr>
          <w:rFonts w:ascii="Tahoma" w:hAnsi="Tahoma" w:cs="Tahoma"/>
          <w:b w:val="0"/>
          <w:sz w:val="18"/>
          <w:szCs w:val="18"/>
        </w:rPr>
      </w:pPr>
      <w:bookmarkStart w:id="1141" w:name="_Toc336338295"/>
      <w:bookmarkStart w:id="1142" w:name="Srv_34CoreCALSuite"/>
      <w:bookmarkStart w:id="1143" w:name="Srv_31CoreCALSuite"/>
    </w:p>
    <w:p w:rsidR="00A66BD2" w:rsidRPr="00F240D9" w:rsidRDefault="00A66BD2" w:rsidP="00AF3B19">
      <w:pPr>
        <w:pStyle w:val="Heading3"/>
        <w:rPr>
          <w:rFonts w:ascii="Tahoma" w:hAnsi="Tahoma" w:cs="Tahoma"/>
          <w:b w:val="0"/>
          <w:sz w:val="18"/>
          <w:szCs w:val="18"/>
        </w:rPr>
      </w:pPr>
    </w:p>
    <w:p w:rsidR="00023FE7" w:rsidRPr="004B208C" w:rsidRDefault="00A560B6" w:rsidP="001760D6">
      <w:pPr>
        <w:pStyle w:val="Heading3"/>
        <w:keepNext/>
        <w:rPr>
          <w:rFonts w:ascii="Tahoma" w:hAnsi="Tahoma" w:cs="Tahoma"/>
        </w:rPr>
      </w:pPr>
      <w:bookmarkStart w:id="1144" w:name="_40_Core_CAL"/>
      <w:bookmarkStart w:id="1145" w:name="_Toc370981414"/>
      <w:bookmarkEnd w:id="1144"/>
      <w:r w:rsidRPr="004B208C">
        <w:rPr>
          <w:rFonts w:ascii="Tahoma" w:hAnsi="Tahoma" w:cs="Tahoma"/>
          <w:caps/>
          <w:color w:val="F66400"/>
          <w:sz w:val="22"/>
          <w:vertAlign w:val="superscript"/>
        </w:rPr>
        <w:t>40</w:t>
      </w:r>
      <w:r w:rsidRPr="004B208C">
        <w:rPr>
          <w:rFonts w:ascii="Tahoma" w:hAnsi="Tahoma" w:cs="Tahoma"/>
          <w:color w:val="F66400"/>
          <w:sz w:val="22"/>
        </w:rPr>
        <w:t xml:space="preserve"> Pacote de CALs Principais</w:t>
      </w:r>
      <w:bookmarkEnd w:id="1141"/>
      <w:bookmarkEnd w:id="1145"/>
    </w:p>
    <w:bookmarkEnd w:id="1142"/>
    <w:bookmarkEnd w:id="1143"/>
    <w:p w:rsidR="00023FE7" w:rsidRPr="004B208C" w:rsidRDefault="00023FE7" w:rsidP="001760D6">
      <w:pPr>
        <w:keepNext/>
        <w:ind w:firstLine="547"/>
        <w:rPr>
          <w:rFonts w:cs="Tahoma"/>
        </w:rPr>
      </w:pPr>
    </w:p>
    <w:p w:rsidR="000D76F0" w:rsidRPr="004B208C" w:rsidRDefault="000D76F0" w:rsidP="001154B5">
      <w:pPr>
        <w:ind w:left="720"/>
        <w:rPr>
          <w:rFonts w:cs="Tahoma"/>
        </w:rPr>
      </w:pPr>
      <w:r w:rsidRPr="004B208C">
        <w:rPr>
          <w:rFonts w:cs="Tahoma"/>
          <w:szCs w:val="20"/>
        </w:rPr>
        <w:t>O Core CAL Suite é independente da versão e os direitos de uso de produto são determinados pelo status da cobertura do Software Assurance para o Core CAL Suite.</w:t>
      </w:r>
      <w:r w:rsidR="00172F11">
        <w:rPr>
          <w:rFonts w:cs="Tahoma"/>
          <w:szCs w:val="20"/>
        </w:rPr>
        <w:t xml:space="preserve"> </w:t>
      </w:r>
      <w:r w:rsidRPr="004B208C">
        <w:rPr>
          <w:rFonts w:cs="Tahoma"/>
          <w:szCs w:val="20"/>
        </w:rPr>
        <w:t>Se a cobertura for interrompida, os direitos de acesso sob as licenças perpétuas serão determinados com base nos direitos de uso de produto em vigor antes da interrupção.</w:t>
      </w:r>
      <w:r w:rsidR="00172F11">
        <w:rPr>
          <w:rFonts w:cs="Tahoma"/>
          <w:szCs w:val="20"/>
        </w:rPr>
        <w:t xml:space="preserve"> </w:t>
      </w:r>
      <w:r w:rsidRPr="004B208C">
        <w:rPr>
          <w:rFonts w:cs="Tahoma"/>
          <w:szCs w:val="20"/>
        </w:rPr>
        <w:t xml:space="preserve">A partir de 1° de outubro de 2012, uma licença para o Pacote de CALs Principais </w:t>
      </w:r>
      <w:r w:rsidRPr="004B208C">
        <w:rPr>
          <w:rFonts w:cs="Tahoma"/>
          <w:color w:val="000000"/>
          <w:szCs w:val="20"/>
        </w:rPr>
        <w:t xml:space="preserve">com cobertura do Software Assurance ativa concede direitos equivalentes aos seguintes: CAL do Windows Server 20012, CAL Padrão do Exchange Server 2013, </w:t>
      </w:r>
      <w:r w:rsidRPr="004B208C">
        <w:rPr>
          <w:rFonts w:cs="Tahoma"/>
          <w:color w:val="000000"/>
        </w:rPr>
        <w:t xml:space="preserve">CAL Padrão do Lync Server 2013, </w:t>
      </w:r>
      <w:r w:rsidRPr="004B208C">
        <w:rPr>
          <w:rFonts w:cs="Tahoma"/>
          <w:color w:val="000000"/>
          <w:szCs w:val="20"/>
        </w:rPr>
        <w:t xml:space="preserve">CAL Padrão do SharePoint </w:t>
      </w:r>
      <w:r w:rsidRPr="004B208C">
        <w:rPr>
          <w:rFonts w:cs="Tahoma"/>
          <w:szCs w:val="20"/>
        </w:rPr>
        <w:t>Server 2013, Licença de Gerenciamento de Cliente do System Center 2012 Configuration Manager e System Center 2012 Endpoint Protection</w:t>
      </w:r>
      <w:r w:rsidRPr="004B208C">
        <w:rPr>
          <w:rFonts w:cs="Tahoma"/>
          <w:color w:val="000000"/>
          <w:szCs w:val="20"/>
        </w:rPr>
        <w:t>.</w:t>
      </w:r>
      <w:r w:rsidR="00172F11">
        <w:rPr>
          <w:rFonts w:cs="Tahoma"/>
          <w:color w:val="000000"/>
          <w:szCs w:val="20"/>
        </w:rPr>
        <w:t xml:space="preserve"> </w:t>
      </w:r>
      <w:r w:rsidRPr="004B208C">
        <w:rPr>
          <w:rFonts w:cs="Tahoma"/>
          <w:color w:val="000000"/>
          <w:szCs w:val="18"/>
        </w:rPr>
        <w:t>Uma licença para o Core CAL Suite é uma licença individual que deverá ser cedida a um único usuário ou dispositivo.</w:t>
      </w:r>
      <w:r w:rsidR="00172F11">
        <w:rPr>
          <w:rFonts w:cs="Tahoma"/>
          <w:color w:val="000000"/>
          <w:szCs w:val="18"/>
        </w:rPr>
        <w:t xml:space="preserve"> </w:t>
      </w:r>
      <w:r w:rsidRPr="004B208C">
        <w:rPr>
          <w:rFonts w:cs="Tahoma"/>
          <w:color w:val="000000"/>
          <w:szCs w:val="18"/>
        </w:rPr>
        <w:t xml:space="preserve">Conforme disposto no contrato da licença por volume, os clientes não poderão separar os direitos sob o Core CAL Suite para permitir que dois ou mais usuários ou dispositivos acessem seus diversos componentes ao mesmo tempo. </w:t>
      </w:r>
    </w:p>
    <w:p w:rsidR="00023FE7" w:rsidRPr="004B208C" w:rsidRDefault="00023FE7" w:rsidP="001154B5">
      <w:pPr>
        <w:ind w:left="720"/>
        <w:rPr>
          <w:rFonts w:cs="Tahoma"/>
        </w:rPr>
      </w:pPr>
    </w:p>
    <w:p w:rsidR="00023FE7" w:rsidRPr="004B208C" w:rsidRDefault="00023FE7" w:rsidP="00A66BD2">
      <w:pPr>
        <w:spacing w:after="60"/>
        <w:ind w:left="720"/>
        <w:rPr>
          <w:rFonts w:cs="Tahoma"/>
        </w:rPr>
      </w:pPr>
      <w:r w:rsidRPr="004B208C">
        <w:rPr>
          <w:rFonts w:cs="Tahoma"/>
          <w:b/>
          <w:bCs/>
          <w:color w:val="000000"/>
          <w:szCs w:val="20"/>
        </w:rPr>
        <w:t>CALs Somente para Aluno (Licença Academic Open e Academic Select)</w:t>
      </w:r>
    </w:p>
    <w:p w:rsidR="00023FE7" w:rsidRPr="004B208C" w:rsidRDefault="00023FE7" w:rsidP="001154B5">
      <w:pPr>
        <w:ind w:left="720"/>
        <w:rPr>
          <w:rFonts w:cs="Tahoma"/>
        </w:rPr>
      </w:pPr>
      <w:r w:rsidRPr="004B208C">
        <w:rPr>
          <w:rFonts w:cs="Tahoma"/>
          <w:szCs w:val="20"/>
        </w:rPr>
        <w:t>As CALs Somente para Aluno estão restritas a PCs de propriedade de um aluno ou de uma instituição licenciados dedicados a um aluno individual e NÃO se destinam ao uso em laboratórios ou salas de aula.</w:t>
      </w:r>
    </w:p>
    <w:p w:rsidR="0036063B" w:rsidRPr="004B208C" w:rsidRDefault="0036063B" w:rsidP="00AF3B19">
      <w:pPr>
        <w:rPr>
          <w:rFonts w:cs="Tahoma"/>
        </w:rPr>
      </w:pPr>
    </w:p>
    <w:p w:rsidR="00285E3D" w:rsidRPr="004B208C" w:rsidRDefault="00285E3D" w:rsidP="00AF3B19">
      <w:pPr>
        <w:rPr>
          <w:rFonts w:cs="Tahoma"/>
        </w:rPr>
      </w:pPr>
    </w:p>
    <w:p w:rsidR="00B947E4" w:rsidRPr="004B208C" w:rsidRDefault="00A560B6" w:rsidP="00416294">
      <w:pPr>
        <w:pStyle w:val="Heading3"/>
        <w:rPr>
          <w:rFonts w:ascii="Tahoma" w:hAnsi="Tahoma" w:cs="Tahoma"/>
        </w:rPr>
      </w:pPr>
      <w:bookmarkStart w:id="1146" w:name="_41_Core_Infrastructure"/>
      <w:bookmarkStart w:id="1147" w:name="_Toc336338296"/>
      <w:bookmarkStart w:id="1148" w:name="Srv_35CoreInfraServerSuiteStd"/>
      <w:bookmarkStart w:id="1149" w:name="Srv_32CoreInfraServerSuiteStd"/>
      <w:bookmarkStart w:id="1150" w:name="Srv_35DynCRMWorkProEnt"/>
      <w:bookmarkStart w:id="1151" w:name="_Toc370981415"/>
      <w:bookmarkEnd w:id="1146"/>
      <w:r w:rsidRPr="004B208C">
        <w:rPr>
          <w:rFonts w:ascii="Tahoma" w:hAnsi="Tahoma" w:cs="Tahoma"/>
          <w:caps/>
          <w:color w:val="F66400"/>
          <w:sz w:val="22"/>
          <w:vertAlign w:val="superscript"/>
        </w:rPr>
        <w:t>41</w:t>
      </w:r>
      <w:r w:rsidRPr="004B208C">
        <w:rPr>
          <w:rFonts w:ascii="Tahoma" w:hAnsi="Tahoma" w:cs="Tahoma"/>
          <w:color w:val="F66400"/>
          <w:sz w:val="22"/>
        </w:rPr>
        <w:t xml:space="preserve"> Core Infrastructure Server Suite Standard</w:t>
      </w:r>
      <w:bookmarkEnd w:id="1147"/>
      <w:bookmarkEnd w:id="1151"/>
    </w:p>
    <w:bookmarkEnd w:id="1148"/>
    <w:bookmarkEnd w:id="1149"/>
    <w:p w:rsidR="004D776B" w:rsidRPr="004B208C" w:rsidRDefault="004D776B" w:rsidP="00416294">
      <w:pPr>
        <w:rPr>
          <w:rFonts w:cs="Tahoma"/>
        </w:rPr>
      </w:pPr>
    </w:p>
    <w:p w:rsidR="004D776B" w:rsidRPr="004B208C" w:rsidRDefault="00A66BD2" w:rsidP="00A66BD2">
      <w:pPr>
        <w:spacing w:after="60"/>
        <w:ind w:left="720"/>
        <w:rPr>
          <w:rFonts w:cs="Tahoma"/>
        </w:rPr>
      </w:pPr>
      <w:r w:rsidRPr="004B208C">
        <w:rPr>
          <w:rFonts w:eastAsia="Calibri" w:cs="Tahoma"/>
          <w:b/>
          <w:szCs w:val="18"/>
        </w:rPr>
        <w:t>Migração para Novo Modelo de Licenciamento</w:t>
      </w:r>
    </w:p>
    <w:p w:rsidR="004D776B" w:rsidRPr="004B208C" w:rsidRDefault="004D776B" w:rsidP="00A66BD2">
      <w:pPr>
        <w:ind w:left="720"/>
        <w:rPr>
          <w:rFonts w:cs="Tahoma"/>
        </w:rPr>
      </w:pPr>
      <w:r w:rsidRPr="004B208C">
        <w:rPr>
          <w:rFonts w:eastAsia="Calibri" w:cs="Tahoma"/>
          <w:szCs w:val="18"/>
        </w:rPr>
        <w:t>A partir de 1</w:t>
      </w:r>
      <w:r w:rsidRPr="004B208C">
        <w:rPr>
          <w:rFonts w:eastAsia="Calibri" w:cs="Tahoma"/>
          <w:szCs w:val="18"/>
          <w:vertAlign w:val="superscript"/>
        </w:rPr>
        <w:t>º</w:t>
      </w:r>
      <w:r w:rsidRPr="004B208C">
        <w:rPr>
          <w:rFonts w:eastAsia="Calibri" w:cs="Tahoma"/>
          <w:szCs w:val="18"/>
        </w:rPr>
        <w:t xml:space="preserve"> de abril de 2012, o modelo de licenciamento foi alterado. As licenças adquiridas sob novos registros em vigor a partir de 1</w:t>
      </w:r>
      <w:r w:rsidRPr="004B208C">
        <w:rPr>
          <w:rFonts w:eastAsia="Calibri" w:cs="Tahoma"/>
          <w:szCs w:val="18"/>
          <w:vertAlign w:val="superscript"/>
        </w:rPr>
        <w:t>º</w:t>
      </w:r>
      <w:r w:rsidRPr="004B208C">
        <w:rPr>
          <w:rFonts w:eastAsia="Calibri" w:cs="Tahoma"/>
          <w:szCs w:val="18"/>
        </w:rPr>
        <w:t xml:space="preserve"> de abril de 2012 podem licenciar até dois processadores físicos.</w:t>
      </w:r>
    </w:p>
    <w:p w:rsidR="00A66BD2" w:rsidRPr="004B208C" w:rsidRDefault="00A66BD2" w:rsidP="00A66BD2">
      <w:pPr>
        <w:ind w:left="720"/>
        <w:rPr>
          <w:rFonts w:cs="Tahoma"/>
        </w:rPr>
      </w:pPr>
    </w:p>
    <w:p w:rsidR="004D776B" w:rsidRPr="00E35EBB" w:rsidRDefault="004D776B" w:rsidP="00A66BD2">
      <w:pPr>
        <w:ind w:left="720"/>
        <w:rPr>
          <w:rFonts w:cs="Tahoma"/>
          <w:spacing w:val="-2"/>
        </w:rPr>
      </w:pPr>
      <w:r w:rsidRPr="00E35EBB">
        <w:rPr>
          <w:rFonts w:eastAsia="Calibri" w:cs="Tahoma"/>
          <w:spacing w:val="-2"/>
          <w:szCs w:val="18"/>
        </w:rPr>
        <w:t>Os clientes sob registros existentes a partir de 1</w:t>
      </w:r>
      <w:r w:rsidRPr="00E35EBB">
        <w:rPr>
          <w:rFonts w:eastAsia="Calibri" w:cs="Tahoma"/>
          <w:spacing w:val="-2"/>
          <w:szCs w:val="18"/>
          <w:vertAlign w:val="superscript"/>
        </w:rPr>
        <w:t>º</w:t>
      </w:r>
      <w:r w:rsidRPr="00E35EBB">
        <w:rPr>
          <w:rFonts w:eastAsia="Calibri" w:cs="Tahoma"/>
          <w:spacing w:val="-2"/>
          <w:szCs w:val="18"/>
        </w:rPr>
        <w:t xml:space="preserve"> de abril de 2012 (em vigor ou antes de 1</w:t>
      </w:r>
      <w:r w:rsidRPr="00E35EBB">
        <w:rPr>
          <w:rFonts w:eastAsia="Calibri" w:cs="Tahoma"/>
          <w:spacing w:val="-2"/>
          <w:szCs w:val="18"/>
          <w:vertAlign w:val="superscript"/>
        </w:rPr>
        <w:t>º</w:t>
      </w:r>
      <w:r w:rsidRPr="00E35EBB">
        <w:rPr>
          <w:rFonts w:eastAsia="Calibri" w:cs="Tahoma"/>
          <w:spacing w:val="-2"/>
          <w:szCs w:val="18"/>
        </w:rPr>
        <w:t xml:space="preserve"> de abril de 2012) podem continuar a fazer adequações (“true-up”) de licenças sob o modelo antigo sob o qual cada licença pode licenciar apenas um processador. Os direitos de migração a seguir se aplicam a licenças para esses clientes:</w:t>
      </w:r>
    </w:p>
    <w:p w:rsidR="004D776B" w:rsidRPr="00F240D9" w:rsidRDefault="004D776B" w:rsidP="00A66BD2">
      <w:pPr>
        <w:pStyle w:val="ListParagraph"/>
        <w:contextualSpacing w:val="0"/>
        <w:rPr>
          <w:rFonts w:ascii="Tahoma" w:hAnsi="Tahoma" w:cs="Tahoma"/>
          <w:sz w:val="18"/>
          <w:szCs w:val="18"/>
        </w:rPr>
      </w:pPr>
      <w:r w:rsidRPr="00F240D9">
        <w:rPr>
          <w:rFonts w:ascii="Tahoma" w:eastAsia="Calibri" w:hAnsi="Tahoma" w:cs="Tahoma"/>
          <w:sz w:val="18"/>
          <w:szCs w:val="18"/>
        </w:rPr>
        <w:t>Para a duração do registro existente, as licenças novas e existentes dos clientes sob o modelo antigo serão consideradas como equivalentes a licenças sob o novo modelo em uma proporção 1:1. Na renovação, os clientes podem renovar o Software Assurance em licenças sob o novo modelo.</w:t>
      </w:r>
    </w:p>
    <w:p w:rsidR="004D776B" w:rsidRPr="004B208C" w:rsidRDefault="004D776B" w:rsidP="00A66BD2">
      <w:pPr>
        <w:spacing w:after="60"/>
        <w:ind w:left="720"/>
        <w:rPr>
          <w:rFonts w:cs="Tahoma"/>
        </w:rPr>
      </w:pPr>
      <w:r w:rsidRPr="004B208C">
        <w:rPr>
          <w:rFonts w:eastAsia="Calibri" w:cs="Tahoma"/>
          <w:b/>
          <w:szCs w:val="18"/>
        </w:rPr>
        <w:lastRenderedPageBreak/>
        <w:t>Liberação da Nova Versão do Windows Server</w:t>
      </w:r>
    </w:p>
    <w:p w:rsidR="004D776B" w:rsidRPr="004B208C" w:rsidRDefault="004D776B" w:rsidP="00A66BD2">
      <w:pPr>
        <w:ind w:left="720"/>
        <w:rPr>
          <w:rFonts w:cs="Tahoma"/>
        </w:rPr>
      </w:pPr>
      <w:r w:rsidRPr="004B208C">
        <w:rPr>
          <w:rFonts w:eastAsia="Calibri" w:cs="Tahoma"/>
          <w:szCs w:val="18"/>
        </w:rPr>
        <w:t>Os clientes licenciados para o Core Infrastructure Server Suite Standard com Software Assurance ativo a partir de 1</w:t>
      </w:r>
      <w:r w:rsidRPr="004B208C">
        <w:rPr>
          <w:rFonts w:eastAsia="Calibri" w:cs="Tahoma"/>
          <w:szCs w:val="18"/>
          <w:vertAlign w:val="superscript"/>
        </w:rPr>
        <w:t>º</w:t>
      </w:r>
      <w:r w:rsidRPr="004B208C">
        <w:rPr>
          <w:rFonts w:eastAsia="Calibri" w:cs="Tahoma"/>
          <w:szCs w:val="18"/>
        </w:rPr>
        <w:t xml:space="preserve"> de setembro de 2012 têm os direitos de uso dos seguintes produtos sujeitos aos direitos de uso de produto desses produtos e do Core Infrastructure Server Suite Standard:</w:t>
      </w:r>
    </w:p>
    <w:p w:rsidR="00A66BD2" w:rsidRPr="00E35EBB" w:rsidRDefault="00A66BD2" w:rsidP="00A66BD2">
      <w:pPr>
        <w:ind w:left="720"/>
        <w:rPr>
          <w:rFonts w:cs="Tahoma"/>
          <w:sz w:val="16"/>
          <w:szCs w:val="16"/>
        </w:rPr>
      </w:pPr>
    </w:p>
    <w:p w:rsidR="004D776B" w:rsidRPr="004B208C" w:rsidRDefault="004D776B" w:rsidP="00346F4B">
      <w:pPr>
        <w:numPr>
          <w:ilvl w:val="0"/>
          <w:numId w:val="23"/>
        </w:numPr>
        <w:tabs>
          <w:tab w:val="left" w:pos="1440"/>
          <w:tab w:val="left" w:pos="3510"/>
        </w:tabs>
        <w:spacing w:after="60"/>
        <w:rPr>
          <w:rFonts w:cs="Tahoma"/>
        </w:rPr>
      </w:pPr>
      <w:r w:rsidRPr="004B208C">
        <w:rPr>
          <w:rFonts w:eastAsia="Calibri" w:cs="Tahoma"/>
          <w:szCs w:val="18"/>
        </w:rPr>
        <w:t>Windows Server 2012 Standard</w:t>
      </w:r>
    </w:p>
    <w:p w:rsidR="004D776B" w:rsidRPr="004B208C" w:rsidRDefault="004D776B" w:rsidP="00346F4B">
      <w:pPr>
        <w:numPr>
          <w:ilvl w:val="0"/>
          <w:numId w:val="23"/>
        </w:numPr>
        <w:tabs>
          <w:tab w:val="left" w:pos="1440"/>
          <w:tab w:val="left" w:pos="3510"/>
        </w:tabs>
        <w:spacing w:after="60"/>
        <w:rPr>
          <w:rFonts w:cs="Tahoma"/>
        </w:rPr>
      </w:pPr>
      <w:r w:rsidRPr="004B208C">
        <w:rPr>
          <w:rFonts w:eastAsia="Calibri" w:cs="Tahoma"/>
          <w:szCs w:val="18"/>
        </w:rPr>
        <w:t>System Center 2012 Standard</w:t>
      </w:r>
    </w:p>
    <w:p w:rsidR="00A66BD2" w:rsidRPr="00E35EBB" w:rsidRDefault="00A66BD2" w:rsidP="00A66BD2">
      <w:pPr>
        <w:tabs>
          <w:tab w:val="left" w:pos="1440"/>
          <w:tab w:val="left" w:pos="3510"/>
        </w:tabs>
        <w:rPr>
          <w:rFonts w:cs="Tahoma"/>
          <w:sz w:val="16"/>
          <w:szCs w:val="16"/>
        </w:rPr>
      </w:pPr>
    </w:p>
    <w:p w:rsidR="004D776B" w:rsidRPr="004B208C" w:rsidRDefault="004D776B" w:rsidP="00A66BD2">
      <w:pPr>
        <w:ind w:left="720"/>
        <w:rPr>
          <w:rFonts w:cs="Tahoma"/>
        </w:rPr>
      </w:pPr>
      <w:r w:rsidRPr="004B208C">
        <w:rPr>
          <w:rFonts w:eastAsia="Calibri" w:cs="Tahoma"/>
          <w:szCs w:val="18"/>
        </w:rPr>
        <w:t>Para qualquer servidor que esteja devidamente licenciado para Core Infrastructure Server Suite Standard, os clientes podem executar uma instância do Windows Server 2008 R2 Enterprise em vez do Windows Server Standard.</w:t>
      </w:r>
    </w:p>
    <w:p w:rsidR="00A66BD2" w:rsidRPr="00E35EBB" w:rsidRDefault="00A66BD2" w:rsidP="00A66BD2">
      <w:pPr>
        <w:ind w:left="720"/>
        <w:rPr>
          <w:rFonts w:cs="Tahoma"/>
          <w:sz w:val="16"/>
          <w:szCs w:val="16"/>
        </w:rPr>
      </w:pPr>
    </w:p>
    <w:p w:rsidR="004D776B" w:rsidRPr="004B208C" w:rsidRDefault="004D776B" w:rsidP="00A66BD2">
      <w:pPr>
        <w:spacing w:after="60"/>
        <w:ind w:left="720"/>
        <w:rPr>
          <w:rFonts w:cs="Tahoma"/>
        </w:rPr>
      </w:pPr>
      <w:r w:rsidRPr="004B208C">
        <w:rPr>
          <w:rFonts w:eastAsia="Calibri" w:cs="Tahoma"/>
          <w:b/>
          <w:szCs w:val="18"/>
        </w:rPr>
        <w:t>Oferta de Renovação de Software Assurance para Clientes do Windows Server Standard e System Center Standard e Clientes do Windows Server Enterprise e System Center Standard</w:t>
      </w:r>
    </w:p>
    <w:p w:rsidR="004D776B" w:rsidRPr="004B208C" w:rsidRDefault="004D776B" w:rsidP="00A66BD2">
      <w:pPr>
        <w:ind w:left="720"/>
        <w:rPr>
          <w:rFonts w:cs="Tahoma"/>
        </w:rPr>
      </w:pPr>
      <w:r w:rsidRPr="004B208C">
        <w:rPr>
          <w:rFonts w:eastAsia="Calibri" w:cs="Tahoma"/>
          <w:szCs w:val="18"/>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rsidR="00A66BD2" w:rsidRPr="00E35EBB" w:rsidRDefault="00A66BD2" w:rsidP="00A66BD2">
      <w:pPr>
        <w:ind w:left="720"/>
        <w:rPr>
          <w:rFonts w:cs="Tahoma"/>
          <w:sz w:val="16"/>
          <w:szCs w:val="16"/>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4B208C"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4B208C" w:rsidRDefault="004D776B" w:rsidP="007E466C">
            <w:pPr>
              <w:spacing w:before="120" w:after="120" w:line="276" w:lineRule="auto"/>
              <w:ind w:left="-404"/>
              <w:jc w:val="center"/>
              <w:rPr>
                <w:rFonts w:eastAsia="Calibri" w:cs="Tahoma"/>
                <w:b/>
                <w:szCs w:val="18"/>
              </w:rPr>
            </w:pPr>
            <w:r w:rsidRPr="004B208C">
              <w:rPr>
                <w:rFonts w:eastAsia="Calibri" w:cs="Tahoma"/>
                <w:b/>
                <w:szCs w:val="18"/>
              </w:rPr>
              <w:t>Tabela A</w:t>
            </w:r>
          </w:p>
        </w:tc>
      </w:tr>
      <w:tr w:rsidR="004D776B" w:rsidRPr="004B208C"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B208C" w:rsidRDefault="004D776B" w:rsidP="007E466C">
            <w:pPr>
              <w:spacing w:before="120" w:after="120" w:line="276" w:lineRule="auto"/>
              <w:ind w:left="-404"/>
              <w:jc w:val="center"/>
              <w:rPr>
                <w:rFonts w:eastAsia="Calibri" w:cs="Tahoma"/>
                <w:szCs w:val="18"/>
              </w:rPr>
            </w:pPr>
            <w:r w:rsidRPr="004B208C">
              <w:rPr>
                <w:rFonts w:eastAsia="Calibri" w:cs="Tahoma"/>
                <w:szCs w:val="18"/>
              </w:rPr>
              <w:t>Windows Server Standard</w:t>
            </w:r>
          </w:p>
        </w:tc>
      </w:tr>
      <w:tr w:rsidR="004D776B" w:rsidRPr="004B208C"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4B208C" w:rsidRDefault="004D776B" w:rsidP="007E466C">
            <w:pPr>
              <w:spacing w:before="120" w:after="120" w:line="276" w:lineRule="auto"/>
              <w:ind w:left="-404"/>
              <w:jc w:val="center"/>
              <w:rPr>
                <w:rFonts w:eastAsia="Calibri" w:cs="Tahoma"/>
                <w:szCs w:val="18"/>
              </w:rPr>
            </w:pPr>
            <w:r w:rsidRPr="004B208C">
              <w:rPr>
                <w:rFonts w:eastAsia="Calibri" w:cs="Tahoma"/>
                <w:szCs w:val="18"/>
              </w:rPr>
              <w:t>System Center Standard</w:t>
            </w:r>
          </w:p>
        </w:tc>
      </w:tr>
    </w:tbl>
    <w:p w:rsidR="00416294" w:rsidRPr="00E35EBB" w:rsidRDefault="00416294" w:rsidP="00416294">
      <w:pPr>
        <w:ind w:left="547"/>
        <w:rPr>
          <w:rFonts w:cs="Tahoma"/>
          <w:sz w:val="16"/>
          <w:szCs w:val="16"/>
        </w:rPr>
      </w:pPr>
    </w:p>
    <w:p w:rsidR="004D776B" w:rsidRPr="004B208C" w:rsidRDefault="004D776B" w:rsidP="00A66BD2">
      <w:pPr>
        <w:ind w:left="720"/>
        <w:rPr>
          <w:rFonts w:cs="Tahoma"/>
        </w:rPr>
      </w:pPr>
      <w:r w:rsidRPr="004B208C">
        <w:rPr>
          <w:rFonts w:eastAsia="Calibri" w:cs="Tahoma"/>
          <w:szCs w:val="18"/>
        </w:rPr>
        <w:t xml:space="preserve">Para cada conjunto composto de uma de cada das licenças qualificadas na Tabela A acima, os clientes poderão adquirir o Software Assurance para uma licença do Core Infrastructure Server Suite Standard. </w:t>
      </w:r>
    </w:p>
    <w:p w:rsidR="00A66BD2" w:rsidRPr="00E35EBB" w:rsidRDefault="00A66BD2" w:rsidP="00A66BD2">
      <w:pPr>
        <w:ind w:left="720"/>
        <w:rPr>
          <w:rFonts w:cs="Tahoma"/>
          <w:sz w:val="16"/>
          <w:szCs w:val="16"/>
        </w:rPr>
      </w:pPr>
    </w:p>
    <w:p w:rsidR="004D776B" w:rsidRPr="004B208C" w:rsidRDefault="004D776B" w:rsidP="00A66BD2">
      <w:pPr>
        <w:ind w:left="720"/>
        <w:rPr>
          <w:rFonts w:cs="Tahoma"/>
        </w:rPr>
      </w:pPr>
      <w:r w:rsidRPr="004B208C">
        <w:rPr>
          <w:rFonts w:eastAsia="Calibri" w:cs="Tahoma"/>
          <w:szCs w:val="18"/>
        </w:rPr>
        <w:t>Os clientes que licenciam e usam o Core Infrastructure Server Suite Standard sob esta oferta não poderão mais usar o software sob as licenças qualificadas. As Licenças e o Software Assurance adquiridos sob um contrato de assinatura não estão qualificados para essa oferta.</w:t>
      </w:r>
    </w:p>
    <w:p w:rsidR="00A66BD2" w:rsidRPr="00E35EBB" w:rsidRDefault="00A66BD2" w:rsidP="00A66BD2">
      <w:pPr>
        <w:ind w:left="720"/>
        <w:rPr>
          <w:rFonts w:cs="Tahoma"/>
          <w:sz w:val="16"/>
          <w:szCs w:val="16"/>
        </w:rPr>
      </w:pPr>
    </w:p>
    <w:p w:rsidR="00A66BD2" w:rsidRPr="004B208C" w:rsidRDefault="004D776B" w:rsidP="00A66BD2">
      <w:pPr>
        <w:spacing w:after="60"/>
        <w:ind w:left="720"/>
        <w:rPr>
          <w:rFonts w:cs="Tahoma"/>
        </w:rPr>
      </w:pPr>
      <w:r w:rsidRPr="004B208C">
        <w:rPr>
          <w:rFonts w:eastAsia="Calibri" w:cs="Tahoma"/>
          <w:b/>
          <w:szCs w:val="18"/>
        </w:rPr>
        <w:t>Step-up do Windows Server Standard ou System Center Standard para Core Infrastructure Server Suite Standard</w:t>
      </w:r>
    </w:p>
    <w:p w:rsidR="004D776B" w:rsidRPr="004B208C" w:rsidRDefault="004D776B" w:rsidP="00A66BD2">
      <w:pPr>
        <w:ind w:left="720"/>
        <w:rPr>
          <w:rFonts w:cs="Tahoma"/>
        </w:rPr>
      </w:pPr>
      <w:r w:rsidRPr="004B208C">
        <w:rPr>
          <w:rFonts w:eastAsia="Calibri" w:cs="Tahoma"/>
          <w:szCs w:val="18"/>
        </w:rPr>
        <w:t>Os clientes podem fazer step-up do Windows Server Standard ou System Center Standard para o Core Infrastructure Server Suite Standard pela aquisição da licença de Step-up apropriada do Core Infrastructure Server Suite Standard.</w:t>
      </w:r>
      <w:r w:rsidR="00172F11">
        <w:rPr>
          <w:rFonts w:eastAsia="Calibri" w:cs="Tahoma"/>
          <w:szCs w:val="18"/>
        </w:rPr>
        <w:t xml:space="preserve"> </w:t>
      </w:r>
      <w:r w:rsidRPr="004B208C">
        <w:rPr>
          <w:rFonts w:eastAsia="Calibri" w:cs="Tahoma"/>
          <w:szCs w:val="18"/>
        </w:rPr>
        <w:t>Os clientes devem ter o Software Assurance ativo para a licença do Windows Server Standard ou System Center Standard para adquirir essa licença de Step-up.</w:t>
      </w:r>
      <w:r w:rsidR="00172F11">
        <w:rPr>
          <w:rFonts w:eastAsia="Calibri" w:cs="Tahoma"/>
          <w:szCs w:val="18"/>
        </w:rPr>
        <w:t xml:space="preserve"> </w:t>
      </w:r>
    </w:p>
    <w:p w:rsidR="00A66BD2" w:rsidRPr="00E35EBB" w:rsidRDefault="00A66BD2" w:rsidP="00A66BD2">
      <w:pPr>
        <w:ind w:left="720"/>
        <w:rPr>
          <w:rFonts w:cs="Tahoma"/>
          <w:sz w:val="16"/>
          <w:szCs w:val="16"/>
        </w:rPr>
      </w:pPr>
    </w:p>
    <w:p w:rsidR="004D776B" w:rsidRPr="004B208C" w:rsidRDefault="004D776B" w:rsidP="00A66BD2">
      <w:pPr>
        <w:ind w:left="720"/>
        <w:rPr>
          <w:rFonts w:cs="Tahoma"/>
        </w:rPr>
      </w:pPr>
      <w:r w:rsidRPr="004B208C">
        <w:rPr>
          <w:rFonts w:eastAsia="Calibri" w:cs="Tahoma"/>
          <w:szCs w:val="18"/>
        </w:rPr>
        <w:t>Para cada licença qualificada do Windows Server Standard que o cliente tiver, ele poderá adquirir uma licença de Step-up do Core Infrastructure Server Suite Standard.</w:t>
      </w:r>
    </w:p>
    <w:p w:rsidR="00A66BD2" w:rsidRPr="00E35EBB" w:rsidRDefault="00A66BD2" w:rsidP="00A66BD2">
      <w:pPr>
        <w:ind w:left="720"/>
        <w:rPr>
          <w:rFonts w:cs="Tahoma"/>
          <w:sz w:val="16"/>
          <w:szCs w:val="16"/>
        </w:rPr>
      </w:pPr>
    </w:p>
    <w:p w:rsidR="004D776B" w:rsidRPr="004B208C" w:rsidRDefault="004D776B" w:rsidP="00A66BD2">
      <w:pPr>
        <w:ind w:left="720"/>
        <w:rPr>
          <w:rFonts w:cs="Tahoma"/>
        </w:rPr>
      </w:pPr>
      <w:r w:rsidRPr="004B208C">
        <w:rPr>
          <w:rFonts w:eastAsia="Calibri" w:cs="Tahoma"/>
          <w:szCs w:val="18"/>
        </w:rPr>
        <w:t>Para cada licença qualificada do System Center Standard que o cliente tiver, ele poderá adquirir uma licença de Step-up do Core Infrastructure Server Suite Standard.</w:t>
      </w:r>
    </w:p>
    <w:p w:rsidR="00A66BD2" w:rsidRPr="00E35EBB" w:rsidRDefault="00A66BD2" w:rsidP="00A66BD2">
      <w:pPr>
        <w:ind w:left="720"/>
        <w:rPr>
          <w:rFonts w:cs="Tahoma"/>
          <w:sz w:val="16"/>
          <w:szCs w:val="16"/>
        </w:rPr>
      </w:pPr>
    </w:p>
    <w:p w:rsidR="004D776B" w:rsidRPr="004B208C" w:rsidRDefault="004D776B" w:rsidP="00A66BD2">
      <w:pPr>
        <w:ind w:left="720"/>
        <w:rPr>
          <w:rFonts w:cs="Tahoma"/>
        </w:rPr>
      </w:pPr>
      <w:r w:rsidRPr="004B208C">
        <w:rPr>
          <w:rFonts w:eastAsia="Calibri" w:cs="Tahoma"/>
          <w:szCs w:val="18"/>
        </w:rPr>
        <w:t>O direito de uso do software pelos clientes sob a licença do Core Infrastructure Server Suite Standard está condicionado ao cumprimento pelos clientes de qualquer obrigação de pagamento remanescente da licença do produto qualificado.</w:t>
      </w:r>
      <w:r w:rsidR="00172F11">
        <w:rPr>
          <w:rFonts w:eastAsia="Calibri" w:cs="Tahoma"/>
          <w:szCs w:val="18"/>
        </w:rPr>
        <w:t xml:space="preserve"> </w:t>
      </w:r>
      <w:r w:rsidRPr="004B208C">
        <w:rPr>
          <w:rFonts w:eastAsia="Calibri" w:cs="Tahoma"/>
          <w:szCs w:val="18"/>
        </w:rPr>
        <w:t>A licença do Core Infrastructure Server Suite Standard dos clientes suplanta e substitui a licença básica do produto qualificado.</w:t>
      </w:r>
    </w:p>
    <w:p w:rsidR="00A66BD2" w:rsidRPr="00E35EBB" w:rsidRDefault="00A66BD2" w:rsidP="007E466C">
      <w:pPr>
        <w:rPr>
          <w:rFonts w:cs="Tahoma"/>
          <w:sz w:val="16"/>
          <w:szCs w:val="16"/>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4B208C" w:rsidTr="001051D1">
        <w:trPr>
          <w:tblHeader/>
        </w:trPr>
        <w:tc>
          <w:tcPr>
            <w:tcW w:w="4140" w:type="dxa"/>
            <w:shd w:val="clear" w:color="auto" w:fill="FABF8F"/>
            <w:tcMar>
              <w:top w:w="0" w:type="dxa"/>
              <w:left w:w="108" w:type="dxa"/>
              <w:bottom w:w="0" w:type="dxa"/>
              <w:right w:w="108" w:type="dxa"/>
            </w:tcMar>
            <w:hideMark/>
          </w:tcPr>
          <w:p w:rsidR="004D776B" w:rsidRPr="004B208C" w:rsidRDefault="004D776B" w:rsidP="007E466C">
            <w:pPr>
              <w:spacing w:before="120" w:after="120" w:line="276" w:lineRule="auto"/>
              <w:jc w:val="center"/>
              <w:rPr>
                <w:rFonts w:eastAsia="Calibri" w:cs="Tahoma"/>
                <w:b/>
                <w:szCs w:val="18"/>
              </w:rPr>
            </w:pPr>
            <w:r w:rsidRPr="004B208C">
              <w:rPr>
                <w:rFonts w:eastAsia="Calibri" w:cs="Tahoma"/>
                <w:b/>
                <w:szCs w:val="18"/>
              </w:rPr>
              <w:t>Produto Qualificado</w:t>
            </w:r>
          </w:p>
        </w:tc>
        <w:tc>
          <w:tcPr>
            <w:tcW w:w="4050" w:type="dxa"/>
            <w:shd w:val="clear" w:color="auto" w:fill="FABF8F"/>
            <w:tcMar>
              <w:top w:w="0" w:type="dxa"/>
              <w:left w:w="108" w:type="dxa"/>
              <w:bottom w:w="0" w:type="dxa"/>
              <w:right w:w="108" w:type="dxa"/>
            </w:tcMar>
            <w:hideMark/>
          </w:tcPr>
          <w:p w:rsidR="004D776B" w:rsidRPr="004B208C" w:rsidRDefault="004D776B" w:rsidP="007E466C">
            <w:pPr>
              <w:spacing w:before="120" w:after="120" w:line="276" w:lineRule="auto"/>
              <w:jc w:val="center"/>
              <w:rPr>
                <w:rFonts w:eastAsia="Calibri" w:cs="Tahoma"/>
                <w:b/>
                <w:szCs w:val="18"/>
              </w:rPr>
            </w:pPr>
            <w:r w:rsidRPr="004B208C">
              <w:rPr>
                <w:rFonts w:eastAsia="Calibri" w:cs="Tahoma"/>
                <w:b/>
                <w:szCs w:val="18"/>
              </w:rPr>
              <w:t>Step-up para</w:t>
            </w:r>
          </w:p>
        </w:tc>
      </w:tr>
      <w:tr w:rsidR="004D776B" w:rsidRPr="004B208C" w:rsidTr="001051D1">
        <w:tc>
          <w:tcPr>
            <w:tcW w:w="4140" w:type="dxa"/>
            <w:tcMar>
              <w:top w:w="0" w:type="dxa"/>
              <w:left w:w="108" w:type="dxa"/>
              <w:bottom w:w="0" w:type="dxa"/>
              <w:right w:w="108" w:type="dxa"/>
            </w:tcMar>
            <w:hideMark/>
          </w:tcPr>
          <w:p w:rsidR="004D776B" w:rsidRPr="004B208C" w:rsidRDefault="004D776B" w:rsidP="007E466C">
            <w:pPr>
              <w:spacing w:before="120" w:after="120" w:line="276" w:lineRule="auto"/>
              <w:rPr>
                <w:rFonts w:eastAsia="Calibri" w:cs="Tahoma"/>
                <w:szCs w:val="18"/>
              </w:rPr>
            </w:pPr>
            <w:r w:rsidRPr="004B208C">
              <w:rPr>
                <w:rFonts w:eastAsia="Calibri" w:cs="Tahoma"/>
                <w:szCs w:val="18"/>
              </w:rPr>
              <w:t>Windows Server Standard</w:t>
            </w:r>
          </w:p>
        </w:tc>
        <w:tc>
          <w:tcPr>
            <w:tcW w:w="4050" w:type="dxa"/>
            <w:tcMar>
              <w:top w:w="0" w:type="dxa"/>
              <w:left w:w="108" w:type="dxa"/>
              <w:bottom w:w="0" w:type="dxa"/>
              <w:right w:w="108" w:type="dxa"/>
            </w:tcMar>
            <w:hideMark/>
          </w:tcPr>
          <w:p w:rsidR="004D776B" w:rsidRPr="004B208C" w:rsidRDefault="004D776B" w:rsidP="007E466C">
            <w:pPr>
              <w:spacing w:before="120" w:after="120" w:line="276" w:lineRule="auto"/>
              <w:rPr>
                <w:rFonts w:eastAsia="Calibri" w:cs="Tahoma"/>
                <w:szCs w:val="18"/>
                <w:lang w:val="fr-FR"/>
              </w:rPr>
            </w:pPr>
            <w:r w:rsidRPr="004B208C">
              <w:rPr>
                <w:rFonts w:eastAsia="Calibri" w:cs="Tahoma"/>
                <w:szCs w:val="18"/>
              </w:rPr>
              <w:t>Core Infrastructure Server Suite Standard</w:t>
            </w:r>
          </w:p>
        </w:tc>
      </w:tr>
      <w:tr w:rsidR="004D776B" w:rsidRPr="004B208C" w:rsidTr="001051D1">
        <w:tc>
          <w:tcPr>
            <w:tcW w:w="4140" w:type="dxa"/>
            <w:tcMar>
              <w:top w:w="0" w:type="dxa"/>
              <w:left w:w="108" w:type="dxa"/>
              <w:bottom w:w="0" w:type="dxa"/>
              <w:right w:w="108" w:type="dxa"/>
            </w:tcMar>
          </w:tcPr>
          <w:p w:rsidR="004D776B" w:rsidRPr="004B208C" w:rsidRDefault="004D776B" w:rsidP="00026546">
            <w:pPr>
              <w:spacing w:before="120" w:after="120" w:line="276" w:lineRule="auto"/>
              <w:rPr>
                <w:rFonts w:eastAsia="Calibri" w:cs="Tahoma"/>
                <w:szCs w:val="18"/>
              </w:rPr>
            </w:pPr>
            <w:r w:rsidRPr="004B208C">
              <w:rPr>
                <w:rFonts w:eastAsia="Calibri" w:cs="Tahoma"/>
                <w:szCs w:val="18"/>
              </w:rPr>
              <w:t>System Center Standard</w:t>
            </w:r>
          </w:p>
        </w:tc>
        <w:tc>
          <w:tcPr>
            <w:tcW w:w="4050" w:type="dxa"/>
            <w:tcMar>
              <w:top w:w="0" w:type="dxa"/>
              <w:left w:w="108" w:type="dxa"/>
              <w:bottom w:w="0" w:type="dxa"/>
              <w:right w:w="108" w:type="dxa"/>
            </w:tcMar>
          </w:tcPr>
          <w:p w:rsidR="004D776B" w:rsidRPr="004B208C" w:rsidRDefault="004D776B" w:rsidP="00026546">
            <w:pPr>
              <w:spacing w:before="120" w:after="120" w:line="276" w:lineRule="auto"/>
              <w:rPr>
                <w:rFonts w:eastAsia="Calibri" w:cs="Tahoma"/>
                <w:szCs w:val="18"/>
                <w:lang w:val="fr-FR"/>
              </w:rPr>
            </w:pPr>
            <w:r w:rsidRPr="004B208C">
              <w:rPr>
                <w:rFonts w:eastAsia="Calibri" w:cs="Tahoma"/>
                <w:szCs w:val="18"/>
              </w:rPr>
              <w:t>Core Infrastructure Server Suite Standard</w:t>
            </w:r>
          </w:p>
        </w:tc>
      </w:tr>
    </w:tbl>
    <w:p w:rsidR="004D776B" w:rsidRPr="004B208C" w:rsidRDefault="004D776B" w:rsidP="00A66BD2">
      <w:pPr>
        <w:rPr>
          <w:rFonts w:cs="Tahoma"/>
        </w:rPr>
      </w:pPr>
    </w:p>
    <w:p w:rsidR="00B947E4" w:rsidRPr="004B208C" w:rsidRDefault="00A560B6" w:rsidP="00B947E4">
      <w:pPr>
        <w:pStyle w:val="Heading3"/>
        <w:rPr>
          <w:rFonts w:ascii="Tahoma" w:hAnsi="Tahoma" w:cs="Tahoma"/>
        </w:rPr>
      </w:pPr>
      <w:bookmarkStart w:id="1152" w:name="_38_Core_Infrastructure"/>
      <w:bookmarkStart w:id="1153" w:name="_42_Core_Infrastructure"/>
      <w:bookmarkStart w:id="1154" w:name="_Toc336338297"/>
      <w:bookmarkStart w:id="1155" w:name="Srv_36CoreInfraServerSuiteEnt"/>
      <w:bookmarkStart w:id="1156" w:name="Srv_33CoreInfrastructureSvrSuiteEnt"/>
      <w:bookmarkStart w:id="1157" w:name="_Toc370981416"/>
      <w:bookmarkEnd w:id="1152"/>
      <w:bookmarkEnd w:id="1153"/>
      <w:r w:rsidRPr="004B208C">
        <w:rPr>
          <w:rFonts w:ascii="Tahoma" w:hAnsi="Tahoma" w:cs="Tahoma"/>
          <w:caps/>
          <w:color w:val="F66400"/>
          <w:sz w:val="22"/>
          <w:vertAlign w:val="superscript"/>
        </w:rPr>
        <w:lastRenderedPageBreak/>
        <w:t>42</w:t>
      </w:r>
      <w:r w:rsidRPr="004B208C">
        <w:rPr>
          <w:rFonts w:ascii="Tahoma" w:hAnsi="Tahoma" w:cs="Tahoma"/>
          <w:color w:val="F66400"/>
          <w:sz w:val="22"/>
        </w:rPr>
        <w:t xml:space="preserve"> Core Infrastructure Server Suite Enterprise</w:t>
      </w:r>
      <w:bookmarkEnd w:id="1154"/>
      <w:bookmarkEnd w:id="1157"/>
    </w:p>
    <w:p w:rsidR="000A297A" w:rsidRPr="004B208C" w:rsidRDefault="000A297A" w:rsidP="00A66BD2">
      <w:pPr>
        <w:rPr>
          <w:rFonts w:cs="Tahoma"/>
        </w:rPr>
      </w:pPr>
    </w:p>
    <w:bookmarkEnd w:id="1155"/>
    <w:bookmarkEnd w:id="1156"/>
    <w:p w:rsidR="00B947E4" w:rsidRPr="004B208C" w:rsidRDefault="001E68E2" w:rsidP="00A66BD2">
      <w:pPr>
        <w:ind w:left="720"/>
        <w:rPr>
          <w:rFonts w:cs="Tahoma"/>
        </w:rPr>
      </w:pPr>
      <w:r w:rsidRPr="004B208C">
        <w:rPr>
          <w:rFonts w:eastAsia="Calibri" w:cs="Tahoma"/>
          <w:szCs w:val="18"/>
        </w:rPr>
        <w:t>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w:t>
      </w:r>
      <w:r w:rsidR="00172F11">
        <w:rPr>
          <w:rFonts w:eastAsia="Calibri" w:cs="Tahoma"/>
          <w:szCs w:val="18"/>
        </w:rPr>
        <w:t xml:space="preserve"> </w:t>
      </w:r>
      <w:r w:rsidRPr="004B208C">
        <w:rPr>
          <w:rFonts w:eastAsia="Calibri" w:cs="Tahoma"/>
          <w:szCs w:val="18"/>
        </w:rPr>
        <w:t>As licenças para Core Infrastructure Server Suite Standard concedidas por esta oferta incluirão cobertura de</w:t>
      </w:r>
      <w:r w:rsidR="00F240D9">
        <w:rPr>
          <w:rFonts w:eastAsia="Calibri" w:cs="Tahoma"/>
          <w:szCs w:val="18"/>
        </w:rPr>
        <w:t> </w:t>
      </w:r>
      <w:r w:rsidRPr="004B208C">
        <w:rPr>
          <w:rFonts w:eastAsia="Calibri" w:cs="Tahoma"/>
          <w:szCs w:val="18"/>
        </w:rPr>
        <w:t>Software Assurance que expira no término da cobertura das suas licenças qualificadas do Core Infrastructure Server Suite Enterprise. Os clientes que usam o Core Infrastructure Server Suite Standard sob</w:t>
      </w:r>
      <w:r w:rsidR="00F240D9">
        <w:rPr>
          <w:rFonts w:eastAsia="Calibri" w:cs="Tahoma"/>
          <w:szCs w:val="18"/>
        </w:rPr>
        <w:t> </w:t>
      </w:r>
      <w:r w:rsidRPr="004B208C">
        <w:rPr>
          <w:rFonts w:eastAsia="Calibri" w:cs="Tahoma"/>
          <w:szCs w:val="18"/>
        </w:rPr>
        <w:t>esta oferta não poderão mais usar o software sob as licenças qualificadas.</w:t>
      </w:r>
      <w:r w:rsidR="00172F11">
        <w:rPr>
          <w:rFonts w:eastAsia="Calibri" w:cs="Tahoma"/>
          <w:szCs w:val="18"/>
        </w:rPr>
        <w:t xml:space="preserve"> </w:t>
      </w:r>
      <w:r w:rsidRPr="004B208C">
        <w:rPr>
          <w:rFonts w:eastAsia="Calibri" w:cs="Tahoma"/>
          <w:szCs w:val="18"/>
        </w:rPr>
        <w:t>Esta nota do produto e</w:t>
      </w:r>
      <w:r w:rsidR="00F240D9">
        <w:rPr>
          <w:rFonts w:eastAsia="Calibri" w:cs="Tahoma"/>
          <w:szCs w:val="18"/>
        </w:rPr>
        <w:t> </w:t>
      </w:r>
      <w:r w:rsidRPr="004B208C">
        <w:rPr>
          <w:rFonts w:eastAsia="Calibri" w:cs="Tahoma"/>
          <w:szCs w:val="18"/>
        </w:rPr>
        <w:t>documentação das licenças qualificadas do cliente são a evidência do seu direito de usar o Core Infrastructure Server Suite Standard sob esta oferta.</w:t>
      </w:r>
      <w:r w:rsidR="00172F11">
        <w:rPr>
          <w:rFonts w:eastAsia="Calibri" w:cs="Tahoma"/>
          <w:szCs w:val="18"/>
        </w:rPr>
        <w:t xml:space="preserve"> </w:t>
      </w:r>
      <w:r w:rsidRPr="004B208C">
        <w:rPr>
          <w:rFonts w:eastAsia="Calibri" w:cs="Tahoma"/>
          <w:szCs w:val="18"/>
        </w:rPr>
        <w:t>Esse direito expirar</w:t>
      </w:r>
      <w:bookmarkStart w:id="1158" w:name="Srv_34CoreInfraSvrSuiteDatacenter"/>
      <w:r w:rsidRPr="004B208C">
        <w:rPr>
          <w:rFonts w:eastAsia="Calibri" w:cs="Tahoma"/>
          <w:szCs w:val="18"/>
        </w:rPr>
        <w:t>á em caso de término ou das</w:t>
      </w:r>
      <w:r w:rsidR="00F240D9">
        <w:rPr>
          <w:rFonts w:eastAsia="Calibri" w:cs="Tahoma"/>
          <w:szCs w:val="18"/>
        </w:rPr>
        <w:t> </w:t>
      </w:r>
      <w:r w:rsidRPr="004B208C">
        <w:rPr>
          <w:rFonts w:eastAsia="Calibri" w:cs="Tahoma"/>
          <w:szCs w:val="18"/>
        </w:rPr>
        <w:t>licenças qualificadas.</w:t>
      </w:r>
    </w:p>
    <w:p w:rsidR="00285E3D" w:rsidRPr="004B208C" w:rsidRDefault="00285E3D" w:rsidP="00A66BD2">
      <w:pPr>
        <w:rPr>
          <w:rFonts w:cs="Tahoma"/>
        </w:rPr>
      </w:pPr>
    </w:p>
    <w:p w:rsidR="00A66BD2" w:rsidRPr="004B208C" w:rsidRDefault="00A66BD2" w:rsidP="00A66BD2">
      <w:pPr>
        <w:rPr>
          <w:rFonts w:cs="Tahoma"/>
        </w:rPr>
      </w:pPr>
    </w:p>
    <w:p w:rsidR="00B947E4" w:rsidRPr="004B208C" w:rsidRDefault="00A560B6" w:rsidP="00B947E4">
      <w:pPr>
        <w:pStyle w:val="Heading3"/>
        <w:rPr>
          <w:rFonts w:ascii="Tahoma" w:hAnsi="Tahoma" w:cs="Tahoma"/>
        </w:rPr>
      </w:pPr>
      <w:bookmarkStart w:id="1159" w:name="_39_Core_Infrastructure"/>
      <w:bookmarkStart w:id="1160" w:name="_43_Core_Infrastructure"/>
      <w:bookmarkStart w:id="1161" w:name="_Toc336338298"/>
      <w:bookmarkStart w:id="1162" w:name="Srv_37CoreInfraServerSuiteData"/>
      <w:bookmarkStart w:id="1163" w:name="_Toc370981417"/>
      <w:bookmarkEnd w:id="1159"/>
      <w:bookmarkEnd w:id="1160"/>
      <w:r w:rsidRPr="004B208C">
        <w:rPr>
          <w:rFonts w:ascii="Tahoma" w:hAnsi="Tahoma" w:cs="Tahoma"/>
          <w:caps/>
          <w:color w:val="F66400"/>
          <w:sz w:val="22"/>
          <w:vertAlign w:val="superscript"/>
        </w:rPr>
        <w:t>43</w:t>
      </w:r>
      <w:r w:rsidRPr="004B208C">
        <w:rPr>
          <w:rFonts w:ascii="Tahoma" w:hAnsi="Tahoma" w:cs="Tahoma"/>
          <w:color w:val="F66400"/>
          <w:sz w:val="22"/>
        </w:rPr>
        <w:t xml:space="preserve"> Core Infrastructure Server Suite Datacenter</w:t>
      </w:r>
      <w:bookmarkEnd w:id="1158"/>
      <w:bookmarkEnd w:id="1161"/>
      <w:bookmarkEnd w:id="1163"/>
    </w:p>
    <w:bookmarkEnd w:id="1162"/>
    <w:p w:rsidR="00B947E4" w:rsidRPr="004B208C" w:rsidRDefault="00B947E4" w:rsidP="00B947E4">
      <w:pPr>
        <w:rPr>
          <w:rFonts w:cs="Tahoma"/>
        </w:rPr>
      </w:pPr>
    </w:p>
    <w:p w:rsidR="004D776B" w:rsidRPr="004B208C" w:rsidRDefault="004D776B" w:rsidP="00A66BD2">
      <w:pPr>
        <w:spacing w:after="60"/>
        <w:ind w:left="720"/>
        <w:rPr>
          <w:rFonts w:cs="Tahoma"/>
        </w:rPr>
      </w:pPr>
      <w:r w:rsidRPr="004B208C">
        <w:rPr>
          <w:rFonts w:eastAsia="Calibri" w:cs="Tahoma"/>
          <w:b/>
          <w:szCs w:val="18"/>
        </w:rPr>
        <w:t>Migração para Nova Metodologia de Licenciamento</w:t>
      </w:r>
    </w:p>
    <w:p w:rsidR="004D776B" w:rsidRPr="004B208C" w:rsidRDefault="004D776B" w:rsidP="00A66BD2">
      <w:pPr>
        <w:ind w:left="720"/>
        <w:rPr>
          <w:rFonts w:cs="Tahoma"/>
        </w:rPr>
      </w:pPr>
      <w:r w:rsidRPr="004B208C">
        <w:rPr>
          <w:rFonts w:eastAsia="Calibri" w:cs="Tahoma"/>
          <w:szCs w:val="18"/>
        </w:rPr>
        <w:t>A partir de 1</w:t>
      </w:r>
      <w:r w:rsidRPr="004B208C">
        <w:rPr>
          <w:rFonts w:eastAsia="Calibri" w:cs="Tahoma"/>
          <w:szCs w:val="18"/>
          <w:vertAlign w:val="superscript"/>
        </w:rPr>
        <w:t>º</w:t>
      </w:r>
      <w:r w:rsidRPr="004B208C">
        <w:rPr>
          <w:rFonts w:eastAsia="Calibri" w:cs="Tahoma"/>
          <w:szCs w:val="18"/>
        </w:rPr>
        <w:t xml:space="preserve"> de abril de 2012, o modelo de licenciamento foi alterado. As licenças adquiridas sob novos registros em vigor a partir de 1</w:t>
      </w:r>
      <w:r w:rsidRPr="004B208C">
        <w:rPr>
          <w:rFonts w:eastAsia="Calibri" w:cs="Tahoma"/>
          <w:szCs w:val="18"/>
          <w:vertAlign w:val="superscript"/>
        </w:rPr>
        <w:t>º</w:t>
      </w:r>
      <w:r w:rsidRPr="004B208C">
        <w:rPr>
          <w:rFonts w:eastAsia="Calibri" w:cs="Tahoma"/>
          <w:szCs w:val="18"/>
        </w:rPr>
        <w:t xml:space="preserve"> de abril de 2012 podem licenciar até dois processadores físicos.</w:t>
      </w:r>
    </w:p>
    <w:p w:rsidR="00A66BD2" w:rsidRPr="004B208C" w:rsidRDefault="00A66BD2" w:rsidP="00A66BD2">
      <w:pPr>
        <w:ind w:left="720"/>
        <w:rPr>
          <w:rFonts w:cs="Tahoma"/>
        </w:rPr>
      </w:pPr>
    </w:p>
    <w:p w:rsidR="004D776B" w:rsidRPr="00F240D9" w:rsidRDefault="004D776B" w:rsidP="00A66BD2">
      <w:pPr>
        <w:ind w:left="720"/>
        <w:rPr>
          <w:rFonts w:cs="Tahoma"/>
          <w:spacing w:val="-2"/>
        </w:rPr>
      </w:pPr>
      <w:r w:rsidRPr="00F240D9">
        <w:rPr>
          <w:rFonts w:eastAsia="Calibri" w:cs="Tahoma"/>
          <w:spacing w:val="-2"/>
          <w:szCs w:val="18"/>
        </w:rPr>
        <w:t>Os clientes sob registros existentes a partir de 1</w:t>
      </w:r>
      <w:r w:rsidRPr="00F240D9">
        <w:rPr>
          <w:rFonts w:eastAsia="Calibri" w:cs="Tahoma"/>
          <w:spacing w:val="-2"/>
          <w:szCs w:val="18"/>
          <w:vertAlign w:val="superscript"/>
        </w:rPr>
        <w:t>º</w:t>
      </w:r>
      <w:r w:rsidRPr="00F240D9">
        <w:rPr>
          <w:rFonts w:eastAsia="Calibri" w:cs="Tahoma"/>
          <w:spacing w:val="-2"/>
          <w:szCs w:val="18"/>
        </w:rPr>
        <w:t xml:space="preserve"> de abril de 2012 (em vigor ou antes de 1</w:t>
      </w:r>
      <w:r w:rsidRPr="00F240D9">
        <w:rPr>
          <w:rFonts w:eastAsia="Calibri" w:cs="Tahoma"/>
          <w:spacing w:val="-2"/>
          <w:szCs w:val="18"/>
          <w:vertAlign w:val="superscript"/>
        </w:rPr>
        <w:t>º</w:t>
      </w:r>
      <w:r w:rsidRPr="00F240D9">
        <w:rPr>
          <w:rFonts w:eastAsia="Calibri" w:cs="Tahoma"/>
          <w:spacing w:val="-2"/>
          <w:szCs w:val="18"/>
        </w:rPr>
        <w:t xml:space="preserve"> de abril de 2012) podem continuar a fazer adequações (“true-up”) de licenças sob o modelo antigo sob o qual cada licença pode licenciar apenas um processador. Os direitos de migração a seguir se aplicam a licenças para esses clientes:</w:t>
      </w:r>
    </w:p>
    <w:p w:rsidR="00A66BD2" w:rsidRPr="004B208C" w:rsidRDefault="00A66BD2" w:rsidP="00A66BD2">
      <w:pPr>
        <w:ind w:left="720"/>
        <w:rPr>
          <w:rFonts w:cs="Tahoma"/>
        </w:rPr>
      </w:pPr>
    </w:p>
    <w:p w:rsidR="004D776B" w:rsidRPr="00F240D9" w:rsidRDefault="004D776B" w:rsidP="00A66BD2">
      <w:pPr>
        <w:pStyle w:val="ListParagraph"/>
        <w:contextualSpacing w:val="0"/>
        <w:rPr>
          <w:rFonts w:ascii="Tahoma" w:hAnsi="Tahoma" w:cs="Tahoma"/>
          <w:sz w:val="18"/>
          <w:szCs w:val="18"/>
        </w:rPr>
      </w:pPr>
      <w:r w:rsidRPr="00F240D9">
        <w:rPr>
          <w:rFonts w:ascii="Tahoma" w:eastAsia="Calibri" w:hAnsi="Tahoma" w:cs="Tahoma"/>
          <w:sz w:val="18"/>
          <w:szCs w:val="18"/>
        </w:rPr>
        <w:t>Para a duração do registro existente, as licenças novas e existentes dos clientes sob o modelo antigo serão consideradas como equivalentes a licenças sob o novo modelo em uma proporção 2:1, ou seja, cada duas licenças sob o modelo antigo serão equivalentes a uma licença sob o novo modelo. Na renovação, os clientes podem renovar o Software Assurance em licenças sob o novo modelo.</w:t>
      </w:r>
    </w:p>
    <w:p w:rsidR="00857EF7" w:rsidRPr="004B208C" w:rsidRDefault="00857EF7" w:rsidP="00A66BD2">
      <w:pPr>
        <w:ind w:left="720"/>
        <w:rPr>
          <w:rFonts w:cs="Tahoma"/>
        </w:rPr>
      </w:pPr>
    </w:p>
    <w:p w:rsidR="004D776B" w:rsidRPr="004B208C" w:rsidRDefault="004D776B" w:rsidP="007B35CE">
      <w:pPr>
        <w:keepNext/>
        <w:spacing w:after="60"/>
        <w:ind w:left="720"/>
        <w:rPr>
          <w:rFonts w:cs="Tahoma"/>
        </w:rPr>
      </w:pPr>
      <w:r w:rsidRPr="004B208C">
        <w:rPr>
          <w:rFonts w:eastAsia="Calibri" w:cs="Tahoma"/>
          <w:b/>
          <w:szCs w:val="18"/>
        </w:rPr>
        <w:t>Liberação da Nova Versão do Windows Server</w:t>
      </w:r>
    </w:p>
    <w:p w:rsidR="004D776B" w:rsidRPr="004B208C" w:rsidRDefault="004D776B" w:rsidP="00A66BD2">
      <w:pPr>
        <w:ind w:left="720"/>
        <w:rPr>
          <w:rFonts w:cs="Tahoma"/>
        </w:rPr>
      </w:pPr>
      <w:r w:rsidRPr="004B208C">
        <w:rPr>
          <w:rFonts w:eastAsia="Calibri" w:cs="Tahoma"/>
          <w:szCs w:val="18"/>
        </w:rPr>
        <w:t>Os clientes licenciados para o Core Infrastructure Server Suite Datacenter com Software Assurance ativo a</w:t>
      </w:r>
      <w:r w:rsidR="00E35EBB">
        <w:rPr>
          <w:rFonts w:eastAsia="Calibri" w:cs="Tahoma"/>
          <w:szCs w:val="18"/>
        </w:rPr>
        <w:t> </w:t>
      </w:r>
      <w:r w:rsidRPr="004B208C">
        <w:rPr>
          <w:rFonts w:eastAsia="Calibri" w:cs="Tahoma"/>
          <w:szCs w:val="18"/>
        </w:rPr>
        <w:t>partir de 1</w:t>
      </w:r>
      <w:r w:rsidRPr="004B208C">
        <w:rPr>
          <w:rFonts w:eastAsia="Calibri" w:cs="Tahoma"/>
          <w:szCs w:val="18"/>
          <w:vertAlign w:val="superscript"/>
        </w:rPr>
        <w:t>º</w:t>
      </w:r>
      <w:r w:rsidRPr="004B208C">
        <w:rPr>
          <w:rFonts w:eastAsia="Calibri" w:cs="Tahoma"/>
          <w:szCs w:val="18"/>
        </w:rPr>
        <w:t xml:space="preserve"> de setembro de 2012 têm os direitos de uso dos seguintes produtos sujeitos aos direitos de uso de produto desses produtos e do Core Infrastructure Server Suite Datacenter:</w:t>
      </w:r>
    </w:p>
    <w:p w:rsidR="00857EF7" w:rsidRPr="004B208C" w:rsidRDefault="00857EF7" w:rsidP="00A66BD2">
      <w:pPr>
        <w:ind w:left="720"/>
        <w:rPr>
          <w:rFonts w:cs="Tahoma"/>
        </w:rPr>
      </w:pPr>
    </w:p>
    <w:p w:rsidR="004D776B" w:rsidRPr="004B208C" w:rsidRDefault="004D776B" w:rsidP="00A1385C">
      <w:pPr>
        <w:numPr>
          <w:ilvl w:val="0"/>
          <w:numId w:val="110"/>
        </w:numPr>
        <w:spacing w:after="60"/>
        <w:ind w:left="1440"/>
        <w:rPr>
          <w:rFonts w:cs="Tahoma"/>
        </w:rPr>
      </w:pPr>
      <w:r w:rsidRPr="004B208C">
        <w:rPr>
          <w:rFonts w:eastAsia="Calibri" w:cs="Tahoma"/>
          <w:szCs w:val="18"/>
        </w:rPr>
        <w:t>Windows Server 2012 Datacenter</w:t>
      </w:r>
    </w:p>
    <w:p w:rsidR="004D776B" w:rsidRPr="004B208C" w:rsidRDefault="004D776B" w:rsidP="00A1385C">
      <w:pPr>
        <w:numPr>
          <w:ilvl w:val="0"/>
          <w:numId w:val="110"/>
        </w:numPr>
        <w:spacing w:after="60"/>
        <w:ind w:left="1440"/>
        <w:rPr>
          <w:rFonts w:cs="Tahoma"/>
        </w:rPr>
      </w:pPr>
      <w:r w:rsidRPr="004B208C">
        <w:rPr>
          <w:rFonts w:eastAsia="Calibri" w:cs="Tahoma"/>
          <w:szCs w:val="18"/>
        </w:rPr>
        <w:t>System Center 2012 Datacenter</w:t>
      </w:r>
    </w:p>
    <w:p w:rsidR="00D57009" w:rsidRDefault="00D57009">
      <w:pPr>
        <w:rPr>
          <w:rFonts w:cs="Tahoma"/>
        </w:rPr>
      </w:pPr>
    </w:p>
    <w:p w:rsidR="004D776B" w:rsidRPr="004B208C" w:rsidRDefault="004D776B" w:rsidP="00857EF7">
      <w:pPr>
        <w:spacing w:after="60"/>
        <w:ind w:left="720"/>
        <w:rPr>
          <w:rFonts w:cs="Tahoma"/>
        </w:rPr>
      </w:pPr>
      <w:r w:rsidRPr="004B208C">
        <w:rPr>
          <w:rFonts w:eastAsia="Calibri" w:cs="Tahoma"/>
          <w:b/>
          <w:szCs w:val="18"/>
        </w:rPr>
        <w:t>Oferta de Renovação de Software Assurance para Clientes do Windows Server Datacenter e</w:t>
      </w:r>
      <w:r w:rsidR="00F240D9">
        <w:rPr>
          <w:rFonts w:eastAsia="Calibri" w:cs="Tahoma"/>
          <w:b/>
          <w:szCs w:val="18"/>
        </w:rPr>
        <w:t> </w:t>
      </w:r>
      <w:r w:rsidRPr="004B208C">
        <w:rPr>
          <w:rFonts w:eastAsia="Calibri" w:cs="Tahoma"/>
          <w:b/>
          <w:szCs w:val="18"/>
        </w:rPr>
        <w:t>System Center Datacenter</w:t>
      </w:r>
    </w:p>
    <w:p w:rsidR="004D776B" w:rsidRDefault="004D776B" w:rsidP="00A66BD2">
      <w:pPr>
        <w:ind w:left="720"/>
        <w:rPr>
          <w:rFonts w:eastAsia="Calibri" w:cs="Tahoma"/>
          <w:szCs w:val="18"/>
        </w:rPr>
      </w:pPr>
      <w:r w:rsidRPr="004B208C">
        <w:rPr>
          <w:rFonts w:eastAsia="Calibri" w:cs="Tahoma"/>
          <w:szCs w:val="18"/>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rsidR="00E35EBB" w:rsidRPr="00E35EBB" w:rsidRDefault="00E35EBB" w:rsidP="00A66BD2">
      <w:pPr>
        <w:ind w:left="720"/>
        <w:rPr>
          <w:rFonts w:cs="Tahoma"/>
          <w:sz w:val="10"/>
          <w:szCs w:val="10"/>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4B208C"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4B208C" w:rsidRDefault="004D776B" w:rsidP="00026546">
            <w:pPr>
              <w:keepNext/>
              <w:tabs>
                <w:tab w:val="left" w:pos="3120"/>
                <w:tab w:val="center" w:pos="3591"/>
              </w:tabs>
              <w:spacing w:before="120" w:after="120" w:line="276" w:lineRule="auto"/>
              <w:jc w:val="center"/>
              <w:rPr>
                <w:rFonts w:eastAsia="Calibri" w:cs="Tahoma"/>
                <w:b/>
                <w:szCs w:val="18"/>
              </w:rPr>
            </w:pPr>
            <w:r w:rsidRPr="004B208C">
              <w:rPr>
                <w:rFonts w:eastAsia="Calibri" w:cs="Tahoma"/>
                <w:b/>
                <w:szCs w:val="18"/>
              </w:rPr>
              <w:t>Tabela C</w:t>
            </w:r>
          </w:p>
        </w:tc>
      </w:tr>
      <w:tr w:rsidR="004D776B" w:rsidRPr="004B208C"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B208C" w:rsidRDefault="004D776B" w:rsidP="00026546">
            <w:pPr>
              <w:keepNext/>
              <w:tabs>
                <w:tab w:val="left" w:pos="3120"/>
                <w:tab w:val="center" w:pos="3591"/>
              </w:tabs>
              <w:spacing w:before="120" w:after="120" w:line="276" w:lineRule="auto"/>
              <w:jc w:val="center"/>
              <w:rPr>
                <w:rFonts w:eastAsia="Calibri" w:cs="Tahoma"/>
                <w:b/>
                <w:szCs w:val="18"/>
              </w:rPr>
            </w:pPr>
            <w:r w:rsidRPr="004B208C">
              <w:rPr>
                <w:rFonts w:eastAsia="Calibri" w:cs="Tahoma"/>
                <w:b/>
                <w:szCs w:val="18"/>
              </w:rPr>
              <w:t>Windows Server Datacenter</w:t>
            </w:r>
          </w:p>
        </w:tc>
      </w:tr>
      <w:tr w:rsidR="004D776B" w:rsidRPr="004B208C"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4B208C" w:rsidRDefault="004D776B" w:rsidP="00026546">
            <w:pPr>
              <w:keepNext/>
              <w:tabs>
                <w:tab w:val="left" w:pos="3120"/>
                <w:tab w:val="center" w:pos="3591"/>
              </w:tabs>
              <w:spacing w:before="120" w:after="120" w:line="276" w:lineRule="auto"/>
              <w:jc w:val="center"/>
              <w:rPr>
                <w:rFonts w:eastAsia="Calibri" w:cs="Tahoma"/>
                <w:b/>
                <w:szCs w:val="18"/>
              </w:rPr>
            </w:pPr>
            <w:r w:rsidRPr="004B208C">
              <w:rPr>
                <w:rFonts w:eastAsia="Calibri" w:cs="Tahoma"/>
                <w:b/>
                <w:szCs w:val="18"/>
              </w:rPr>
              <w:t>System Center Datacenter</w:t>
            </w:r>
          </w:p>
        </w:tc>
      </w:tr>
    </w:tbl>
    <w:p w:rsidR="00416294" w:rsidRPr="004B208C" w:rsidRDefault="00416294" w:rsidP="00416294">
      <w:pPr>
        <w:ind w:left="547"/>
        <w:rPr>
          <w:rFonts w:cs="Tahoma"/>
        </w:rPr>
      </w:pPr>
    </w:p>
    <w:p w:rsidR="004D776B" w:rsidRPr="004B208C" w:rsidRDefault="004D776B" w:rsidP="001154B5">
      <w:pPr>
        <w:ind w:left="720"/>
        <w:rPr>
          <w:rFonts w:cs="Tahoma"/>
        </w:rPr>
      </w:pPr>
      <w:r w:rsidRPr="004B208C">
        <w:rPr>
          <w:rFonts w:eastAsia="Calibri" w:cs="Tahoma"/>
          <w:color w:val="000000"/>
          <w:szCs w:val="18"/>
        </w:rPr>
        <w:t>Para cada conjunto composto de uma licença qualificada do Windows Server Datacenter e uma licença qualificada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qualificadas. As Licenças e o Software Assurance adquiridos sob um contrato de assinatura não estão qualificados para essa oferta.</w:t>
      </w:r>
    </w:p>
    <w:p w:rsidR="004D776B" w:rsidRPr="004B208C" w:rsidRDefault="004D776B" w:rsidP="00857EF7">
      <w:pPr>
        <w:spacing w:after="60"/>
        <w:ind w:left="720"/>
        <w:rPr>
          <w:rFonts w:cs="Tahoma"/>
        </w:rPr>
      </w:pPr>
      <w:r w:rsidRPr="004B208C">
        <w:rPr>
          <w:rFonts w:eastAsia="Calibri" w:cs="Tahoma"/>
          <w:b/>
          <w:szCs w:val="18"/>
        </w:rPr>
        <w:lastRenderedPageBreak/>
        <w:t>Step-up do Windows Server Datacenter ou System Center Datacenter para o Core Infrastructure Server Suite Datacenter</w:t>
      </w:r>
    </w:p>
    <w:p w:rsidR="004D776B" w:rsidRPr="004B208C" w:rsidRDefault="004D776B" w:rsidP="00857EF7">
      <w:pPr>
        <w:ind w:left="720"/>
        <w:rPr>
          <w:rFonts w:cs="Tahoma"/>
        </w:rPr>
      </w:pPr>
      <w:r w:rsidRPr="004B208C">
        <w:rPr>
          <w:rFonts w:eastAsia="Calibri" w:cs="Tahoma"/>
          <w:szCs w:val="18"/>
        </w:rPr>
        <w:t>Os clientes podem fazer step-up do Windows Server Datacenter ou System Center Datacenter para o</w:t>
      </w:r>
      <w:r w:rsidR="00F240D9">
        <w:rPr>
          <w:rFonts w:eastAsia="Calibri" w:cs="Tahoma"/>
          <w:szCs w:val="18"/>
        </w:rPr>
        <w:t> </w:t>
      </w:r>
      <w:r w:rsidRPr="004B208C">
        <w:rPr>
          <w:rFonts w:eastAsia="Calibri" w:cs="Tahoma"/>
          <w:szCs w:val="18"/>
        </w:rPr>
        <w:t>Core</w:t>
      </w:r>
      <w:r w:rsidR="00F240D9">
        <w:rPr>
          <w:rFonts w:eastAsia="Calibri" w:cs="Tahoma"/>
          <w:szCs w:val="18"/>
        </w:rPr>
        <w:t> </w:t>
      </w:r>
      <w:r w:rsidRPr="004B208C">
        <w:rPr>
          <w:rFonts w:eastAsia="Calibri" w:cs="Tahoma"/>
          <w:szCs w:val="18"/>
        </w:rPr>
        <w:t>Infrastructure Server Suite Datacenter pela aquisição da licença de Step-up adequada do Core Infrastructure Server Suite Datacenter.</w:t>
      </w:r>
      <w:r w:rsidR="00172F11">
        <w:rPr>
          <w:rFonts w:eastAsia="Calibri" w:cs="Tahoma"/>
          <w:szCs w:val="18"/>
        </w:rPr>
        <w:t xml:space="preserve"> </w:t>
      </w:r>
      <w:r w:rsidRPr="004B208C">
        <w:rPr>
          <w:rFonts w:eastAsia="Calibri" w:cs="Tahoma"/>
          <w:szCs w:val="18"/>
        </w:rPr>
        <w:t>Os clientes devem ter o Software Assurance ativo para a licença do</w:t>
      </w:r>
      <w:r w:rsidR="00F240D9">
        <w:rPr>
          <w:rFonts w:eastAsia="Calibri" w:cs="Tahoma"/>
          <w:szCs w:val="18"/>
        </w:rPr>
        <w:t> </w:t>
      </w:r>
      <w:r w:rsidRPr="004B208C">
        <w:rPr>
          <w:rFonts w:eastAsia="Calibri" w:cs="Tahoma"/>
          <w:szCs w:val="18"/>
        </w:rPr>
        <w:t xml:space="preserve">Windows Server Datacenter ou System Center Datacenter para adquirir essa licença de Step-up. </w:t>
      </w:r>
    </w:p>
    <w:p w:rsidR="00857EF7" w:rsidRPr="004B208C" w:rsidRDefault="00857EF7" w:rsidP="00857EF7">
      <w:pPr>
        <w:ind w:left="720"/>
        <w:rPr>
          <w:rFonts w:cs="Tahoma"/>
        </w:rPr>
      </w:pPr>
    </w:p>
    <w:p w:rsidR="004D776B" w:rsidRPr="004B208C" w:rsidRDefault="004D776B" w:rsidP="00857EF7">
      <w:pPr>
        <w:ind w:left="720"/>
        <w:rPr>
          <w:rFonts w:cs="Tahoma"/>
        </w:rPr>
      </w:pPr>
      <w:r w:rsidRPr="004B208C">
        <w:rPr>
          <w:rFonts w:eastAsia="Calibri" w:cs="Tahoma"/>
          <w:szCs w:val="18"/>
        </w:rPr>
        <w:t>Para cada licença qualificada do Windows Server Datacenter que o cliente tiver, ele poderá adquirir uma licença de Step-up do Core Infrastructure Server Suite Datacenter.</w:t>
      </w:r>
      <w:r w:rsidR="00172F11">
        <w:rPr>
          <w:rFonts w:eastAsia="Calibri" w:cs="Tahoma"/>
          <w:szCs w:val="18"/>
        </w:rPr>
        <w:t xml:space="preserve"> </w:t>
      </w:r>
    </w:p>
    <w:p w:rsidR="00857EF7" w:rsidRPr="004B208C" w:rsidRDefault="00857EF7" w:rsidP="00857EF7">
      <w:pPr>
        <w:ind w:left="720"/>
        <w:rPr>
          <w:rFonts w:cs="Tahoma"/>
        </w:rPr>
      </w:pPr>
    </w:p>
    <w:p w:rsidR="004D776B" w:rsidRPr="004B208C" w:rsidRDefault="004D776B" w:rsidP="00857EF7">
      <w:pPr>
        <w:ind w:left="720"/>
        <w:rPr>
          <w:rFonts w:cs="Tahoma"/>
        </w:rPr>
      </w:pPr>
      <w:r w:rsidRPr="004B208C">
        <w:rPr>
          <w:rFonts w:eastAsia="Calibri" w:cs="Tahoma"/>
          <w:szCs w:val="18"/>
        </w:rPr>
        <w:t>Para cada licença qualificada do Systems Center Datacenter que o cliente tiver, ele poderá adquirir uma licença de Step-up do Core Infrastructure Server Suite Datacenter.</w:t>
      </w:r>
      <w:r w:rsidR="00172F11">
        <w:rPr>
          <w:rFonts w:eastAsia="Calibri" w:cs="Tahoma"/>
          <w:szCs w:val="18"/>
        </w:rPr>
        <w:t xml:space="preserve"> </w:t>
      </w:r>
    </w:p>
    <w:p w:rsidR="00857EF7" w:rsidRPr="004B208C" w:rsidRDefault="00857EF7" w:rsidP="00857EF7">
      <w:pPr>
        <w:ind w:left="720"/>
        <w:rPr>
          <w:rFonts w:cs="Tahoma"/>
        </w:rPr>
      </w:pPr>
    </w:p>
    <w:p w:rsidR="004D776B" w:rsidRPr="004B208C" w:rsidRDefault="004D776B" w:rsidP="00857EF7">
      <w:pPr>
        <w:ind w:left="720"/>
        <w:rPr>
          <w:rFonts w:cs="Tahoma"/>
        </w:rPr>
      </w:pPr>
      <w:r w:rsidRPr="004B208C">
        <w:rPr>
          <w:rFonts w:eastAsia="Calibri" w:cs="Tahoma"/>
          <w:szCs w:val="18"/>
        </w:rPr>
        <w:t>O direito de uso do software pelos clientes sob a licença do Core Infrastructure Server Suite Datacenter está condicionado ao cumprimento pelos clientes de qualquer obrigação de pagamento remanescente da licença do produto qualificado.</w:t>
      </w:r>
      <w:r w:rsidR="00172F11">
        <w:rPr>
          <w:rFonts w:eastAsia="Calibri" w:cs="Tahoma"/>
          <w:szCs w:val="18"/>
        </w:rPr>
        <w:t xml:space="preserve"> </w:t>
      </w:r>
      <w:r w:rsidRPr="004B208C">
        <w:rPr>
          <w:rFonts w:eastAsia="Calibri" w:cs="Tahoma"/>
          <w:szCs w:val="18"/>
        </w:rPr>
        <w:t>A licença do Core Infrastructure Server Suite Datacenter dos clientes suplanta e substitui a licença básica do produto qualificado.</w:t>
      </w:r>
    </w:p>
    <w:p w:rsidR="00857EF7" w:rsidRPr="004B208C" w:rsidRDefault="00857EF7" w:rsidP="00857EF7">
      <w:pPr>
        <w:ind w:left="720"/>
        <w:rPr>
          <w:rFonts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4B208C" w:rsidTr="00C066F9">
        <w:trPr>
          <w:tblHeader/>
        </w:trPr>
        <w:tc>
          <w:tcPr>
            <w:tcW w:w="3870" w:type="dxa"/>
            <w:shd w:val="clear" w:color="auto" w:fill="FABF8F"/>
            <w:tcMar>
              <w:top w:w="0" w:type="dxa"/>
              <w:left w:w="108" w:type="dxa"/>
              <w:bottom w:w="0" w:type="dxa"/>
              <w:right w:w="108" w:type="dxa"/>
            </w:tcMar>
            <w:vAlign w:val="center"/>
            <w:hideMark/>
          </w:tcPr>
          <w:p w:rsidR="004D776B" w:rsidRPr="004B208C" w:rsidRDefault="004D776B" w:rsidP="007E466C">
            <w:pPr>
              <w:spacing w:before="120" w:after="120" w:line="276" w:lineRule="auto"/>
              <w:jc w:val="center"/>
              <w:rPr>
                <w:rFonts w:eastAsia="Calibri" w:cs="Tahoma"/>
                <w:b/>
                <w:szCs w:val="18"/>
              </w:rPr>
            </w:pPr>
            <w:r w:rsidRPr="004B208C">
              <w:rPr>
                <w:rFonts w:eastAsia="Calibri" w:cs="Tahoma"/>
                <w:b/>
                <w:szCs w:val="18"/>
              </w:rPr>
              <w:t>Produto Qualificado</w:t>
            </w:r>
          </w:p>
        </w:tc>
        <w:tc>
          <w:tcPr>
            <w:tcW w:w="3870" w:type="dxa"/>
            <w:shd w:val="clear" w:color="auto" w:fill="FABF8F"/>
            <w:tcMar>
              <w:top w:w="0" w:type="dxa"/>
              <w:left w:w="108" w:type="dxa"/>
              <w:bottom w:w="0" w:type="dxa"/>
              <w:right w:w="108" w:type="dxa"/>
            </w:tcMar>
            <w:vAlign w:val="center"/>
            <w:hideMark/>
          </w:tcPr>
          <w:p w:rsidR="004D776B" w:rsidRPr="004B208C" w:rsidRDefault="004D776B" w:rsidP="007E466C">
            <w:pPr>
              <w:spacing w:before="120" w:after="120" w:line="276" w:lineRule="auto"/>
              <w:jc w:val="center"/>
              <w:rPr>
                <w:rFonts w:eastAsia="Calibri" w:cs="Tahoma"/>
                <w:b/>
                <w:szCs w:val="18"/>
              </w:rPr>
            </w:pPr>
            <w:r w:rsidRPr="004B208C">
              <w:rPr>
                <w:rFonts w:eastAsia="Calibri" w:cs="Tahoma"/>
                <w:b/>
                <w:szCs w:val="18"/>
              </w:rPr>
              <w:t>Step-up para</w:t>
            </w:r>
          </w:p>
        </w:tc>
      </w:tr>
      <w:tr w:rsidR="004D776B" w:rsidRPr="004B208C" w:rsidTr="001051D1">
        <w:tc>
          <w:tcPr>
            <w:tcW w:w="3870" w:type="dxa"/>
            <w:tcMar>
              <w:top w:w="0" w:type="dxa"/>
              <w:left w:w="108" w:type="dxa"/>
              <w:bottom w:w="0" w:type="dxa"/>
              <w:right w:w="108" w:type="dxa"/>
            </w:tcMar>
            <w:hideMark/>
          </w:tcPr>
          <w:p w:rsidR="004D776B" w:rsidRPr="004B208C" w:rsidRDefault="004D776B" w:rsidP="007E466C">
            <w:pPr>
              <w:spacing w:before="120" w:after="120" w:line="276" w:lineRule="auto"/>
              <w:rPr>
                <w:rFonts w:eastAsia="Calibri" w:cs="Tahoma"/>
                <w:szCs w:val="18"/>
              </w:rPr>
            </w:pPr>
            <w:r w:rsidRPr="004B208C">
              <w:rPr>
                <w:rFonts w:eastAsia="Calibri" w:cs="Tahoma"/>
                <w:szCs w:val="18"/>
              </w:rPr>
              <w:t>Windows Server Datacenter</w:t>
            </w:r>
          </w:p>
        </w:tc>
        <w:tc>
          <w:tcPr>
            <w:tcW w:w="3870" w:type="dxa"/>
            <w:tcMar>
              <w:top w:w="0" w:type="dxa"/>
              <w:left w:w="108" w:type="dxa"/>
              <w:bottom w:w="0" w:type="dxa"/>
              <w:right w:w="108" w:type="dxa"/>
            </w:tcMar>
            <w:hideMark/>
          </w:tcPr>
          <w:p w:rsidR="004D776B" w:rsidRPr="004B208C" w:rsidRDefault="004D776B" w:rsidP="007E466C">
            <w:pPr>
              <w:spacing w:before="120" w:after="120" w:line="276" w:lineRule="auto"/>
              <w:rPr>
                <w:rFonts w:eastAsia="Calibri" w:cs="Tahoma"/>
                <w:szCs w:val="18"/>
                <w:lang w:val="fr-FR"/>
              </w:rPr>
            </w:pPr>
            <w:r w:rsidRPr="004B208C">
              <w:rPr>
                <w:rFonts w:eastAsia="Calibri" w:cs="Tahoma"/>
                <w:szCs w:val="18"/>
              </w:rPr>
              <w:t>Core Infrastructure Server Suite Datacenter</w:t>
            </w:r>
          </w:p>
        </w:tc>
      </w:tr>
      <w:tr w:rsidR="004D776B" w:rsidRPr="004B208C" w:rsidTr="001051D1">
        <w:tc>
          <w:tcPr>
            <w:tcW w:w="3870" w:type="dxa"/>
            <w:tcMar>
              <w:top w:w="0" w:type="dxa"/>
              <w:left w:w="108" w:type="dxa"/>
              <w:bottom w:w="0" w:type="dxa"/>
              <w:right w:w="108" w:type="dxa"/>
            </w:tcMar>
          </w:tcPr>
          <w:p w:rsidR="004D776B" w:rsidRPr="004B208C" w:rsidRDefault="004D776B" w:rsidP="007E466C">
            <w:pPr>
              <w:spacing w:before="120" w:after="120" w:line="276" w:lineRule="auto"/>
              <w:rPr>
                <w:rFonts w:eastAsia="Calibri" w:cs="Tahoma"/>
                <w:szCs w:val="18"/>
              </w:rPr>
            </w:pPr>
            <w:r w:rsidRPr="004B208C">
              <w:rPr>
                <w:rFonts w:eastAsia="Calibri" w:cs="Tahoma"/>
                <w:szCs w:val="18"/>
              </w:rPr>
              <w:t>System Center Datacenter</w:t>
            </w:r>
          </w:p>
        </w:tc>
        <w:tc>
          <w:tcPr>
            <w:tcW w:w="3870" w:type="dxa"/>
            <w:tcMar>
              <w:top w:w="0" w:type="dxa"/>
              <w:left w:w="108" w:type="dxa"/>
              <w:bottom w:w="0" w:type="dxa"/>
              <w:right w:w="108" w:type="dxa"/>
            </w:tcMar>
          </w:tcPr>
          <w:p w:rsidR="004D776B" w:rsidRPr="004B208C" w:rsidRDefault="004D776B" w:rsidP="007E466C">
            <w:pPr>
              <w:spacing w:before="120" w:after="120" w:line="276" w:lineRule="auto"/>
              <w:rPr>
                <w:rFonts w:eastAsia="Calibri" w:cs="Tahoma"/>
                <w:szCs w:val="18"/>
                <w:lang w:val="fr-FR"/>
              </w:rPr>
            </w:pPr>
            <w:r w:rsidRPr="004B208C">
              <w:rPr>
                <w:rFonts w:eastAsia="Calibri" w:cs="Tahoma"/>
                <w:szCs w:val="18"/>
              </w:rPr>
              <w:t>Core Infrastructure Server Suite Datacenter</w:t>
            </w:r>
          </w:p>
        </w:tc>
      </w:tr>
    </w:tbl>
    <w:p w:rsidR="00BC62D4" w:rsidRPr="004B208C" w:rsidRDefault="00BC62D4" w:rsidP="00857EF7">
      <w:pPr>
        <w:ind w:left="907"/>
        <w:rPr>
          <w:rFonts w:cs="Tahoma"/>
        </w:rPr>
      </w:pPr>
      <w:bookmarkStart w:id="1164" w:name="Srv_38DynCRMWorkProEnt"/>
    </w:p>
    <w:p w:rsidR="00E03856" w:rsidRPr="004B208C" w:rsidRDefault="00E03856" w:rsidP="00857EF7">
      <w:pPr>
        <w:ind w:left="907"/>
        <w:rPr>
          <w:rFonts w:cs="Tahoma"/>
        </w:rPr>
      </w:pPr>
    </w:p>
    <w:p w:rsidR="00F66FB0" w:rsidRPr="004B208C" w:rsidRDefault="00A560B6" w:rsidP="007B35CE">
      <w:pPr>
        <w:pStyle w:val="Heading2"/>
        <w:keepNext/>
        <w:ind w:left="0"/>
        <w:rPr>
          <w:rFonts w:ascii="Tahoma" w:hAnsi="Tahoma" w:cs="Tahoma"/>
        </w:rPr>
      </w:pPr>
      <w:bookmarkStart w:id="1165" w:name="_44_Duet_Enterprise"/>
      <w:bookmarkStart w:id="1166" w:name="Srv_38DynamicsCRMOnline"/>
      <w:bookmarkStart w:id="1167" w:name="Srv_37DynamicsCRMOnline"/>
      <w:bookmarkStart w:id="1168" w:name="Srv_37EntCALSuite"/>
      <w:bookmarkStart w:id="1169" w:name="_Toc370981418"/>
      <w:bookmarkEnd w:id="1150"/>
      <w:bookmarkEnd w:id="1164"/>
      <w:bookmarkEnd w:id="1165"/>
      <w:r w:rsidRPr="004B208C">
        <w:rPr>
          <w:rFonts w:ascii="Tahoma" w:eastAsia="Times New Roman" w:hAnsi="Tahoma" w:cs="Tahoma"/>
          <w:caps/>
          <w:color w:val="FA6500"/>
          <w:sz w:val="22"/>
          <w:szCs w:val="22"/>
          <w:vertAlign w:val="superscript"/>
        </w:rPr>
        <w:t xml:space="preserve">44 </w:t>
      </w:r>
      <w:r w:rsidRPr="004B208C">
        <w:rPr>
          <w:rFonts w:ascii="Tahoma" w:eastAsia="Times New Roman" w:hAnsi="Tahoma" w:cs="Tahoma"/>
          <w:color w:val="FA6500"/>
          <w:sz w:val="22"/>
          <w:szCs w:val="22"/>
        </w:rPr>
        <w:t>Duet Enterprise 2.0</w:t>
      </w:r>
      <w:bookmarkEnd w:id="1169"/>
    </w:p>
    <w:p w:rsidR="00F66FB0" w:rsidRPr="004B208C" w:rsidRDefault="00F66FB0" w:rsidP="007B35CE">
      <w:pPr>
        <w:keepNext/>
        <w:ind w:left="720"/>
        <w:rPr>
          <w:rFonts w:cs="Tahoma"/>
        </w:rPr>
      </w:pPr>
    </w:p>
    <w:p w:rsidR="00F66FB0" w:rsidRPr="004B208C" w:rsidRDefault="00F66FB0" w:rsidP="00F66FB0">
      <w:pPr>
        <w:ind w:left="720"/>
        <w:rPr>
          <w:rFonts w:cs="Tahoma"/>
        </w:rPr>
      </w:pPr>
      <w:r w:rsidRPr="004B208C">
        <w:rPr>
          <w:rFonts w:cs="Tahoma"/>
          <w:color w:val="000000"/>
        </w:rPr>
        <w:t>O Duet Enterprise 2.0 é a última versão do Duet Enterprise para Microsoft SharePoint e SAP 1.0. Os clientes</w:t>
      </w:r>
      <w:r w:rsidR="00F240D9">
        <w:rPr>
          <w:rFonts w:cs="Tahoma"/>
          <w:color w:val="000000"/>
        </w:rPr>
        <w:t> </w:t>
      </w:r>
      <w:r w:rsidRPr="004B208C">
        <w:rPr>
          <w:rFonts w:cs="Tahoma"/>
          <w:color w:val="000000"/>
        </w:rPr>
        <w:t>com Software Assurance ativo para Duet Enterprise para Microsoft SharePoint e SAP 1.0 em 30 de novembro de 2012 poderão atualizar para e usar o Duet Enterprise 2.0 em vez de suas cópias licenciadas correspondentes do Duet Enterprise para SharePoint e SAP 1.0.</w:t>
      </w:r>
    </w:p>
    <w:p w:rsidR="00F66FB0" w:rsidRPr="004B208C" w:rsidRDefault="00F66FB0" w:rsidP="00F66FB0">
      <w:pPr>
        <w:rPr>
          <w:rFonts w:cs="Tahoma"/>
        </w:rPr>
      </w:pPr>
    </w:p>
    <w:p w:rsidR="00F66FB0" w:rsidRPr="004B208C" w:rsidRDefault="00F66FB0" w:rsidP="00F66FB0">
      <w:pPr>
        <w:ind w:left="720"/>
        <w:rPr>
          <w:rFonts w:cs="Tahoma"/>
        </w:rPr>
      </w:pPr>
      <w:r w:rsidRPr="004B208C">
        <w:rPr>
          <w:rFonts w:cs="Tahoma"/>
          <w:color w:val="000000"/>
          <w:u w:val="single"/>
        </w:rPr>
        <w:t>Obtendo o Duet Enterprise 2.0</w:t>
      </w:r>
    </w:p>
    <w:p w:rsidR="00F66FB0" w:rsidRPr="004B208C" w:rsidRDefault="00F66FB0" w:rsidP="00F66FB0">
      <w:pPr>
        <w:ind w:left="720"/>
        <w:rPr>
          <w:rFonts w:cs="Tahoma"/>
        </w:rPr>
      </w:pPr>
      <w:r w:rsidRPr="004B208C">
        <w:rPr>
          <w:rFonts w:cs="Tahoma"/>
          <w:color w:val="000000"/>
        </w:rPr>
        <w:t>O Duet Enterprise 2.0 não estará disponível no Volume Licensing Service Center (Centro de Atendimento de</w:t>
      </w:r>
      <w:r w:rsidR="00F240D9">
        <w:rPr>
          <w:rFonts w:cs="Tahoma"/>
          <w:color w:val="000000"/>
        </w:rPr>
        <w:t> </w:t>
      </w:r>
      <w:r w:rsidRPr="004B208C">
        <w:rPr>
          <w:rFonts w:cs="Tahoma"/>
          <w:color w:val="000000"/>
        </w:rPr>
        <w:t>Licenciamento por Volume). Clientes existentes qualificados para o Duet Enterprise 2.0 receberão notificações separadas que destacam como obter o software a partir do Microsoft Connect.</w:t>
      </w:r>
    </w:p>
    <w:p w:rsidR="00857EF7" w:rsidRPr="004B208C" w:rsidRDefault="00857EF7" w:rsidP="00857EF7">
      <w:pPr>
        <w:rPr>
          <w:rFonts w:cs="Tahoma"/>
        </w:rPr>
      </w:pPr>
    </w:p>
    <w:p w:rsidR="0054609D" w:rsidRDefault="0054609D" w:rsidP="00101859">
      <w:pPr>
        <w:rPr>
          <w:rFonts w:cs="Tahoma"/>
        </w:rPr>
      </w:pPr>
      <w:bookmarkStart w:id="1170" w:name="_40_Dynamics_CRM"/>
      <w:bookmarkStart w:id="1171" w:name="_40_39_Dynamics"/>
      <w:bookmarkStart w:id="1172" w:name="_4240_Dynamics_CRM"/>
      <w:bookmarkStart w:id="1173" w:name="_45_Microsoft_Dynamics"/>
      <w:bookmarkStart w:id="1174" w:name="_41_Duet_Enterprise"/>
      <w:bookmarkStart w:id="1175" w:name="Srv_45EntCALBridgeWinIntune"/>
      <w:bookmarkStart w:id="1176" w:name="Srv_38EntCALSuite"/>
      <w:bookmarkEnd w:id="1166"/>
      <w:bookmarkEnd w:id="1167"/>
      <w:bookmarkEnd w:id="1170"/>
      <w:bookmarkEnd w:id="1171"/>
      <w:bookmarkEnd w:id="1172"/>
      <w:bookmarkEnd w:id="1173"/>
      <w:bookmarkEnd w:id="1174"/>
    </w:p>
    <w:p w:rsidR="00F240D9" w:rsidRPr="004B208C" w:rsidRDefault="00F240D9" w:rsidP="00101859">
      <w:pPr>
        <w:rPr>
          <w:rFonts w:cs="Tahoma"/>
        </w:rPr>
      </w:pPr>
    </w:p>
    <w:p w:rsidR="00162A93" w:rsidRPr="004B208C" w:rsidRDefault="00A560B6" w:rsidP="00F240D9">
      <w:pPr>
        <w:pStyle w:val="Heading3"/>
        <w:ind w:left="230" w:hanging="230"/>
        <w:rPr>
          <w:rFonts w:ascii="Tahoma" w:hAnsi="Tahoma" w:cs="Tahoma"/>
        </w:rPr>
      </w:pPr>
      <w:bookmarkStart w:id="1177" w:name="_41_Enterprise_CAL"/>
      <w:bookmarkStart w:id="1178" w:name="_46_Enterprise_CAL"/>
      <w:bookmarkStart w:id="1179" w:name="_Toc336338303"/>
      <w:bookmarkStart w:id="1180" w:name="_Toc370981419"/>
      <w:bookmarkEnd w:id="1177"/>
      <w:bookmarkEnd w:id="1178"/>
      <w:r w:rsidRPr="004B208C">
        <w:rPr>
          <w:rFonts w:ascii="Tahoma" w:hAnsi="Tahoma" w:cs="Tahoma"/>
          <w:caps/>
          <w:color w:val="F66400"/>
          <w:sz w:val="22"/>
          <w:vertAlign w:val="superscript"/>
        </w:rPr>
        <w:t xml:space="preserve">45 </w:t>
      </w:r>
      <w:r w:rsidRPr="004B208C">
        <w:rPr>
          <w:rFonts w:ascii="Tahoma" w:hAnsi="Tahoma" w:cs="Tahoma"/>
          <w:color w:val="F66400"/>
          <w:sz w:val="22"/>
        </w:rPr>
        <w:t>Bridge do Pacote de CALs Empresariais para Office 365, Bridge do Pacote de CALs Empresariais para Office 365 e Windows Intune e Bridge do Pacote de CALs Empresariais para Windows Intune</w:t>
      </w:r>
      <w:bookmarkEnd w:id="1179"/>
      <w:bookmarkEnd w:id="1180"/>
      <w:r w:rsidRPr="004B208C">
        <w:rPr>
          <w:rFonts w:ascii="Tahoma" w:hAnsi="Tahoma" w:cs="Tahoma"/>
          <w:color w:val="F66400"/>
          <w:sz w:val="22"/>
        </w:rPr>
        <w:t xml:space="preserve"> </w:t>
      </w:r>
    </w:p>
    <w:p w:rsidR="00BD2BE7" w:rsidRPr="004B208C" w:rsidRDefault="00BD2BE7" w:rsidP="0084072C">
      <w:pPr>
        <w:rPr>
          <w:rFonts w:cs="Tahoma"/>
        </w:rPr>
      </w:pPr>
    </w:p>
    <w:bookmarkEnd w:id="1175"/>
    <w:p w:rsidR="0084072C" w:rsidRPr="004B208C" w:rsidRDefault="00162A93" w:rsidP="0084072C">
      <w:pPr>
        <w:spacing w:after="60"/>
        <w:ind w:left="720"/>
        <w:rPr>
          <w:rFonts w:cs="Tahoma"/>
        </w:rPr>
      </w:pPr>
      <w:r w:rsidRPr="004B208C">
        <w:rPr>
          <w:rFonts w:cs="Tahoma"/>
          <w:b/>
          <w:szCs w:val="18"/>
        </w:rPr>
        <w:t>Definição</w:t>
      </w:r>
    </w:p>
    <w:p w:rsidR="00162A93" w:rsidRPr="004B208C" w:rsidRDefault="00162A93" w:rsidP="0084072C">
      <w:pPr>
        <w:ind w:left="720"/>
        <w:rPr>
          <w:rFonts w:cs="Tahoma"/>
        </w:rPr>
      </w:pPr>
      <w:r w:rsidRPr="004B208C">
        <w:rPr>
          <w:rFonts w:cs="Tahoma"/>
          <w:szCs w:val="18"/>
        </w:rPr>
        <w:t>“Transição” significa a conversão de uma Licença com o Software Assurance atual para ou de uma licença de assinatura.</w:t>
      </w:r>
      <w:r w:rsidR="00172F11">
        <w:rPr>
          <w:rFonts w:cs="Tahoma"/>
          <w:szCs w:val="18"/>
        </w:rPr>
        <w:t xml:space="preserve"> </w:t>
      </w:r>
    </w:p>
    <w:p w:rsidR="00D57009" w:rsidRPr="004B208C" w:rsidRDefault="00D57009">
      <w:pPr>
        <w:rPr>
          <w:rFonts w:cs="Tahoma"/>
        </w:rPr>
      </w:pPr>
    </w:p>
    <w:p w:rsidR="0084072C" w:rsidRPr="004B208C" w:rsidRDefault="0084072C" w:rsidP="0084072C">
      <w:pPr>
        <w:spacing w:after="60"/>
        <w:ind w:left="720"/>
        <w:rPr>
          <w:rFonts w:cs="Tahoma"/>
        </w:rPr>
      </w:pPr>
      <w:r w:rsidRPr="004B208C">
        <w:rPr>
          <w:rFonts w:cs="Tahoma"/>
          <w:b/>
          <w:szCs w:val="18"/>
        </w:rPr>
        <w:t>Direitos de Uso Aplicáveis</w:t>
      </w:r>
    </w:p>
    <w:p w:rsidR="00162A93" w:rsidRPr="004B208C" w:rsidRDefault="00162A93" w:rsidP="0084072C">
      <w:pPr>
        <w:ind w:left="720"/>
        <w:rPr>
          <w:rFonts w:cs="Tahoma"/>
        </w:rPr>
      </w:pPr>
      <w:r w:rsidRPr="004B208C">
        <w:rPr>
          <w:rFonts w:eastAsia="Calibri" w:cs="Tahoma"/>
          <w:szCs w:val="18"/>
        </w:rPr>
        <w:t>O Bridge do Pacote de CALs é independente da versão e os Direitos de Uso de Produto são determinados pelo status da cobertura do Software Assurance sobre ele.</w:t>
      </w:r>
      <w:r w:rsidR="00172F11">
        <w:rPr>
          <w:rFonts w:eastAsia="Calibri" w:cs="Tahoma"/>
          <w:szCs w:val="18"/>
        </w:rPr>
        <w:t xml:space="preserve"> </w:t>
      </w:r>
      <w:r w:rsidRPr="004B208C">
        <w:rPr>
          <w:rFonts w:eastAsia="Calibri" w:cs="Tahoma"/>
          <w:szCs w:val="18"/>
        </w:rPr>
        <w:t>Se a cobertura for interrompida, os direitos de acesso sob as Licenças perpétuas serão determinados com base nos Direitos de Uso de Produto em vigor antes da interrupção.</w:t>
      </w:r>
      <w:r w:rsidR="00172F11">
        <w:rPr>
          <w:rFonts w:eastAsia="Calibri" w:cs="Tahoma"/>
          <w:szCs w:val="18"/>
        </w:rPr>
        <w:t xml:space="preserve"> </w:t>
      </w:r>
      <w:r w:rsidRPr="004B208C">
        <w:rPr>
          <w:rFonts w:eastAsia="Calibri" w:cs="Tahoma"/>
          <w:szCs w:val="18"/>
        </w:rPr>
        <w:t>A Licença para um Bridge do Pacote de CALs é uma licença individual que deverá ser cedida a um único usuário ou dispositivo.</w:t>
      </w:r>
    </w:p>
    <w:p w:rsidR="0084072C" w:rsidRDefault="0084072C" w:rsidP="0084072C">
      <w:pPr>
        <w:ind w:left="720"/>
        <w:rPr>
          <w:rFonts w:cs="Tahoma"/>
        </w:rPr>
      </w:pPr>
    </w:p>
    <w:p w:rsidR="00E35EBB" w:rsidRPr="004B208C" w:rsidRDefault="00E35EBB" w:rsidP="0084072C">
      <w:pPr>
        <w:ind w:left="720"/>
        <w:rPr>
          <w:rFonts w:cs="Tahoma"/>
        </w:rPr>
      </w:pPr>
    </w:p>
    <w:p w:rsidR="0084072C" w:rsidRPr="004B208C" w:rsidRDefault="00162A93" w:rsidP="0084072C">
      <w:pPr>
        <w:spacing w:after="60"/>
        <w:ind w:left="720"/>
        <w:rPr>
          <w:rFonts w:cs="Tahoma"/>
        </w:rPr>
      </w:pPr>
      <w:r w:rsidRPr="004B208C">
        <w:rPr>
          <w:rFonts w:cs="Tahoma"/>
          <w:b/>
          <w:szCs w:val="18"/>
        </w:rPr>
        <w:lastRenderedPageBreak/>
        <w:t>Exigências</w:t>
      </w:r>
    </w:p>
    <w:p w:rsidR="00162A93" w:rsidRPr="004B208C" w:rsidRDefault="00162A93" w:rsidP="0084072C">
      <w:pPr>
        <w:ind w:left="720"/>
        <w:rPr>
          <w:rFonts w:cs="Tahoma"/>
        </w:rPr>
      </w:pPr>
      <w:r w:rsidRPr="004B208C">
        <w:rPr>
          <w:rFonts w:eastAsia="Calibri" w:cs="Tahoma"/>
          <w:szCs w:val="18"/>
        </w:rPr>
        <w:t>Um Bridge do Pacote de CALs poderá ser solicitado durante a Transição de um Pacote de CALs para uma combinação de Produto e Serviço Online comparáveis.</w:t>
      </w:r>
      <w:r w:rsidR="00172F11">
        <w:rPr>
          <w:rFonts w:eastAsia="Calibri" w:cs="Tahoma"/>
          <w:szCs w:val="18"/>
        </w:rPr>
        <w:t xml:space="preserve"> </w:t>
      </w:r>
      <w:r w:rsidRPr="004B208C">
        <w:rPr>
          <w:rFonts w:eastAsia="Calibri" w:cs="Tahoma"/>
          <w:szCs w:val="18"/>
        </w:rPr>
        <w:t>Quando uma Transição requerer um Brigde do Pacote de CALs e a Licença qualificada tiver sido paga integralmente pelo Cliente, não será necessário comprar nenhuma Licença do Bridge do Pacote de CALs.</w:t>
      </w:r>
      <w:r w:rsidR="00172F11">
        <w:rPr>
          <w:rFonts w:eastAsia="Calibri" w:cs="Tahoma"/>
          <w:szCs w:val="18"/>
        </w:rPr>
        <w:t xml:space="preserve"> </w:t>
      </w:r>
      <w:r w:rsidRPr="004B208C">
        <w:rPr>
          <w:rFonts w:eastAsia="Calibri" w:cs="Tahoma"/>
          <w:szCs w:val="18"/>
        </w:rPr>
        <w:t>Em vez disso, o Software Assurance poderá ser comprado para o Bridge do Pacote de CALs no aniversário do Registro em que a Transição entrar em vigor.</w:t>
      </w:r>
      <w:r w:rsidR="00172F11">
        <w:rPr>
          <w:rFonts w:eastAsia="Calibri" w:cs="Tahoma"/>
          <w:szCs w:val="18"/>
        </w:rPr>
        <w:t xml:space="preserve"> </w:t>
      </w:r>
      <w:r w:rsidRPr="004B208C">
        <w:rPr>
          <w:rFonts w:eastAsia="Calibri" w:cs="Tahoma"/>
          <w:szCs w:val="18"/>
        </w:rPr>
        <w:t>Nessas circunstâncias, a relação de Transição poderá ser de um Bridge do Pacote de CALs com Software Assurance para um Pacote de CALs com Software Assurance e para a mesma Licença de usuário ou dispositivo como o Pacote de CALs qualificado.</w:t>
      </w:r>
      <w:r w:rsidR="00172F11">
        <w:rPr>
          <w:rFonts w:eastAsia="Calibri" w:cs="Tahoma"/>
          <w:szCs w:val="18"/>
        </w:rPr>
        <w:t xml:space="preserve"> </w:t>
      </w:r>
    </w:p>
    <w:p w:rsidR="0084072C" w:rsidRPr="004B208C" w:rsidRDefault="0084072C" w:rsidP="0084072C">
      <w:pPr>
        <w:ind w:left="720"/>
        <w:rPr>
          <w:rFonts w:cs="Tahoma"/>
        </w:rPr>
      </w:pPr>
    </w:p>
    <w:p w:rsidR="00162A93" w:rsidRPr="004B208C" w:rsidRDefault="00162A93" w:rsidP="0084072C">
      <w:pPr>
        <w:ind w:left="720"/>
        <w:rPr>
          <w:rFonts w:cs="Tahoma"/>
        </w:rPr>
      </w:pPr>
      <w:r w:rsidRPr="004B208C">
        <w:rPr>
          <w:rFonts w:eastAsia="Calibri" w:cs="Tahoma"/>
          <w:szCs w:val="18"/>
        </w:rPr>
        <w:t>Um Bridge do Pacote de CALs é um Produto Enterprise e pode ser licenciado em conjunto com o Serviço Online qualificado para atender os requisitos para toda a empresa desse Bridge do Pacote de CALs ou do Pacote de CALs pai.</w:t>
      </w:r>
    </w:p>
    <w:p w:rsidR="0084072C" w:rsidRPr="004B208C" w:rsidRDefault="0084072C" w:rsidP="0084072C">
      <w:pPr>
        <w:ind w:left="720"/>
        <w:rPr>
          <w:rFonts w:cs="Tahoma"/>
        </w:rPr>
      </w:pPr>
    </w:p>
    <w:p w:rsidR="00162A93" w:rsidRPr="004B208C" w:rsidRDefault="00162A93" w:rsidP="0084072C">
      <w:pPr>
        <w:ind w:left="720"/>
        <w:rPr>
          <w:rFonts w:cs="Tahoma"/>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4B208C"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4B208C" w:rsidRDefault="00162A93" w:rsidP="007E466C">
            <w:pPr>
              <w:spacing w:before="120" w:after="120" w:line="276" w:lineRule="auto"/>
              <w:ind w:left="175"/>
              <w:jc w:val="center"/>
              <w:rPr>
                <w:rFonts w:eastAsia="Calibri" w:cs="Tahoma"/>
                <w:b/>
                <w:bCs/>
                <w:color w:val="000000"/>
                <w:szCs w:val="18"/>
                <w:lang w:eastAsia="ja-JP"/>
              </w:rPr>
            </w:pPr>
            <w:r w:rsidRPr="004B208C">
              <w:rPr>
                <w:rFonts w:eastAsia="Calibri" w:cs="Tahoma"/>
                <w:b/>
                <w:bCs/>
                <w:szCs w:val="18"/>
              </w:rPr>
              <w:t>Bridge do Pacote de CALs</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4B208C" w:rsidRDefault="00162A93" w:rsidP="007E466C">
            <w:pPr>
              <w:spacing w:before="120" w:after="120" w:line="276" w:lineRule="auto"/>
              <w:ind w:left="180"/>
              <w:jc w:val="center"/>
              <w:rPr>
                <w:rFonts w:eastAsia="Calibri" w:cs="Tahoma"/>
                <w:b/>
                <w:bCs/>
                <w:color w:val="000000"/>
                <w:szCs w:val="18"/>
                <w:lang w:eastAsia="ja-JP"/>
              </w:rPr>
            </w:pPr>
            <w:r w:rsidRPr="004B208C">
              <w:rPr>
                <w:rFonts w:eastAsia="Calibri" w:cs="Tahoma"/>
                <w:b/>
                <w:bCs/>
                <w:szCs w:val="18"/>
              </w:rPr>
              <w:t>Pacote de CALs Pai</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4B208C" w:rsidRDefault="00162A93" w:rsidP="007E466C">
            <w:pPr>
              <w:spacing w:before="120" w:after="120" w:line="276" w:lineRule="auto"/>
              <w:ind w:left="180" w:right="247"/>
              <w:jc w:val="center"/>
              <w:rPr>
                <w:rFonts w:eastAsia="Calibri" w:cs="Tahoma"/>
                <w:b/>
                <w:bCs/>
                <w:color w:val="000000"/>
                <w:szCs w:val="18"/>
                <w:lang w:eastAsia="ja-JP"/>
              </w:rPr>
            </w:pPr>
            <w:r w:rsidRPr="004B208C">
              <w:rPr>
                <w:rFonts w:eastAsia="Calibri" w:cs="Tahoma"/>
                <w:b/>
                <w:bCs/>
                <w:szCs w:val="18"/>
              </w:rPr>
              <w:t>Serviços Online Qualificados</w:t>
            </w:r>
          </w:p>
        </w:tc>
      </w:tr>
      <w:tr w:rsidR="00162A93" w:rsidRPr="004B208C"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4B208C" w:rsidRDefault="00162A93" w:rsidP="00A1385C">
            <w:pPr>
              <w:numPr>
                <w:ilvl w:val="0"/>
                <w:numId w:val="42"/>
              </w:numPr>
              <w:spacing w:before="60" w:after="60" w:line="276" w:lineRule="auto"/>
              <w:ind w:left="535" w:right="180"/>
              <w:rPr>
                <w:rFonts w:eastAsia="Calibri" w:cs="Tahoma"/>
                <w:szCs w:val="18"/>
              </w:rPr>
            </w:pPr>
            <w:r w:rsidRPr="004B208C">
              <w:rPr>
                <w:rFonts w:eastAsia="Calibri" w:cs="Tahoma"/>
                <w:color w:val="000000"/>
                <w:szCs w:val="18"/>
              </w:rPr>
              <w:t>Bridge do Pacote de CALs Empresariais para Office 365</w:t>
            </w:r>
          </w:p>
        </w:tc>
        <w:tc>
          <w:tcPr>
            <w:tcW w:w="1667" w:type="pct"/>
            <w:tcBorders>
              <w:top w:val="nil"/>
              <w:left w:val="nil"/>
              <w:bottom w:val="single" w:sz="8" w:space="0" w:color="auto"/>
              <w:right w:val="single" w:sz="8" w:space="0" w:color="auto"/>
            </w:tcBorders>
          </w:tcPr>
          <w:p w:rsidR="00162A93" w:rsidRPr="004B208C" w:rsidRDefault="00162A93" w:rsidP="00A1385C">
            <w:pPr>
              <w:numPr>
                <w:ilvl w:val="0"/>
                <w:numId w:val="43"/>
              </w:numPr>
              <w:spacing w:before="80" w:after="200" w:line="276" w:lineRule="auto"/>
              <w:ind w:left="449" w:hanging="270"/>
              <w:jc w:val="both"/>
              <w:rPr>
                <w:rFonts w:eastAsia="Calibri" w:cs="Tahoma"/>
                <w:szCs w:val="18"/>
              </w:rPr>
            </w:pPr>
            <w:r w:rsidRPr="004B208C">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4B208C" w:rsidRDefault="00162A93" w:rsidP="00A1385C">
            <w:pPr>
              <w:numPr>
                <w:ilvl w:val="0"/>
                <w:numId w:val="44"/>
              </w:numPr>
              <w:spacing w:before="80" w:after="200" w:line="276" w:lineRule="auto"/>
              <w:ind w:left="630"/>
              <w:rPr>
                <w:rFonts w:cs="Tahoma"/>
              </w:rPr>
            </w:pPr>
            <w:r w:rsidRPr="004B208C">
              <w:rPr>
                <w:rFonts w:eastAsia="Calibri" w:cs="Tahoma"/>
                <w:color w:val="000000"/>
                <w:szCs w:val="18"/>
              </w:rPr>
              <w:t>Office 365 Enterprise E3 ou</w:t>
            </w:r>
          </w:p>
          <w:p w:rsidR="00162A93" w:rsidRPr="004B208C" w:rsidRDefault="00162A93" w:rsidP="00A1385C">
            <w:pPr>
              <w:numPr>
                <w:ilvl w:val="0"/>
                <w:numId w:val="44"/>
              </w:numPr>
              <w:spacing w:before="80" w:after="200" w:line="276" w:lineRule="auto"/>
              <w:ind w:left="630"/>
              <w:rPr>
                <w:rFonts w:eastAsia="Calibri" w:cs="Tahoma"/>
                <w:color w:val="000000"/>
                <w:szCs w:val="18"/>
              </w:rPr>
            </w:pPr>
            <w:r w:rsidRPr="004B208C">
              <w:rPr>
                <w:rFonts w:eastAsia="Calibri" w:cs="Tahoma"/>
                <w:color w:val="000000"/>
                <w:szCs w:val="18"/>
              </w:rPr>
              <w:t>Office 365 Enterprise E4</w:t>
            </w:r>
          </w:p>
        </w:tc>
      </w:tr>
      <w:tr w:rsidR="00162A93" w:rsidRPr="004B208C"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4B208C" w:rsidRDefault="00162A93" w:rsidP="00A1385C">
            <w:pPr>
              <w:numPr>
                <w:ilvl w:val="0"/>
                <w:numId w:val="42"/>
              </w:numPr>
              <w:spacing w:before="60" w:after="60" w:line="276" w:lineRule="auto"/>
              <w:ind w:left="535" w:right="180"/>
              <w:rPr>
                <w:rFonts w:eastAsia="Calibri" w:cs="Tahoma"/>
                <w:szCs w:val="18"/>
              </w:rPr>
            </w:pPr>
            <w:r w:rsidRPr="004B208C">
              <w:rPr>
                <w:rFonts w:eastAsia="Calibri" w:cs="Tahoma"/>
                <w:color w:val="000000"/>
                <w:szCs w:val="18"/>
              </w:rPr>
              <w:t>Bridge do Pacote de CALs Empresariais para Office 365 e Windows Intune</w:t>
            </w:r>
          </w:p>
        </w:tc>
        <w:tc>
          <w:tcPr>
            <w:tcW w:w="1667" w:type="pct"/>
            <w:tcBorders>
              <w:top w:val="nil"/>
              <w:left w:val="nil"/>
              <w:bottom w:val="single" w:sz="8" w:space="0" w:color="auto"/>
              <w:right w:val="single" w:sz="8" w:space="0" w:color="auto"/>
            </w:tcBorders>
          </w:tcPr>
          <w:p w:rsidR="00162A93" w:rsidRPr="004B208C" w:rsidRDefault="00162A93" w:rsidP="00A1385C">
            <w:pPr>
              <w:numPr>
                <w:ilvl w:val="0"/>
                <w:numId w:val="43"/>
              </w:numPr>
              <w:spacing w:before="80" w:after="200" w:line="276" w:lineRule="auto"/>
              <w:ind w:left="449" w:hanging="270"/>
              <w:jc w:val="both"/>
              <w:rPr>
                <w:rFonts w:eastAsia="Calibri" w:cs="Tahoma"/>
                <w:szCs w:val="18"/>
              </w:rPr>
            </w:pPr>
            <w:r w:rsidRPr="004B208C">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4B208C" w:rsidRDefault="00162A93" w:rsidP="00A1385C">
            <w:pPr>
              <w:numPr>
                <w:ilvl w:val="0"/>
                <w:numId w:val="44"/>
              </w:numPr>
              <w:spacing w:before="80" w:after="200" w:line="276" w:lineRule="auto"/>
              <w:ind w:left="630"/>
              <w:rPr>
                <w:rFonts w:cs="Tahoma"/>
              </w:rPr>
            </w:pPr>
            <w:r w:rsidRPr="004B208C">
              <w:rPr>
                <w:rFonts w:eastAsia="Calibri" w:cs="Tahoma"/>
                <w:color w:val="000000"/>
                <w:szCs w:val="18"/>
              </w:rPr>
              <w:t>Office 365 Enterprise E3 e Windows Intune ou</w:t>
            </w:r>
          </w:p>
          <w:p w:rsidR="00162A93" w:rsidRPr="004B208C" w:rsidRDefault="00162A93" w:rsidP="00A1385C">
            <w:pPr>
              <w:numPr>
                <w:ilvl w:val="0"/>
                <w:numId w:val="44"/>
              </w:numPr>
              <w:spacing w:before="80" w:after="200" w:line="276" w:lineRule="auto"/>
              <w:ind w:left="630"/>
              <w:rPr>
                <w:rFonts w:eastAsia="Calibri" w:cs="Tahoma"/>
                <w:color w:val="000000"/>
                <w:szCs w:val="18"/>
              </w:rPr>
            </w:pPr>
            <w:r w:rsidRPr="004B208C">
              <w:rPr>
                <w:rFonts w:eastAsia="Calibri" w:cs="Tahoma"/>
                <w:color w:val="000000"/>
                <w:szCs w:val="18"/>
              </w:rPr>
              <w:t>Office 365 Enterprise E4 e Windows Intune</w:t>
            </w:r>
          </w:p>
        </w:tc>
      </w:tr>
      <w:tr w:rsidR="00162A93" w:rsidRPr="004B208C"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4B208C" w:rsidRDefault="00162A93" w:rsidP="00A1385C">
            <w:pPr>
              <w:numPr>
                <w:ilvl w:val="0"/>
                <w:numId w:val="42"/>
              </w:numPr>
              <w:spacing w:before="60" w:after="60" w:line="276" w:lineRule="auto"/>
              <w:ind w:left="535" w:right="180"/>
              <w:rPr>
                <w:rFonts w:eastAsia="Calibri" w:cs="Tahoma"/>
                <w:color w:val="000000"/>
                <w:szCs w:val="18"/>
                <w:lang w:eastAsia="ja-JP"/>
              </w:rPr>
            </w:pPr>
            <w:r w:rsidRPr="004B208C">
              <w:rPr>
                <w:rFonts w:eastAsia="Calibri" w:cs="Tahoma"/>
                <w:szCs w:val="18"/>
              </w:rPr>
              <w:t>Bridge do Pacote de CALs Empresariais para Windows Intune</w:t>
            </w:r>
          </w:p>
        </w:tc>
        <w:tc>
          <w:tcPr>
            <w:tcW w:w="1667" w:type="pct"/>
            <w:tcBorders>
              <w:top w:val="nil"/>
              <w:left w:val="nil"/>
              <w:bottom w:val="single" w:sz="8" w:space="0" w:color="auto"/>
              <w:right w:val="single" w:sz="8" w:space="0" w:color="auto"/>
            </w:tcBorders>
            <w:hideMark/>
          </w:tcPr>
          <w:p w:rsidR="00162A93" w:rsidRPr="004B208C" w:rsidRDefault="00162A93" w:rsidP="00A1385C">
            <w:pPr>
              <w:numPr>
                <w:ilvl w:val="0"/>
                <w:numId w:val="43"/>
              </w:numPr>
              <w:spacing w:before="80" w:after="200" w:line="276" w:lineRule="auto"/>
              <w:ind w:left="449" w:hanging="270"/>
              <w:jc w:val="both"/>
              <w:rPr>
                <w:rFonts w:eastAsia="Calibri" w:cs="Tahoma"/>
                <w:color w:val="000000"/>
                <w:szCs w:val="18"/>
                <w:lang w:eastAsia="ja-JP"/>
              </w:rPr>
            </w:pPr>
            <w:r w:rsidRPr="004B208C">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4B208C" w:rsidRDefault="00162A93" w:rsidP="00A1385C">
            <w:pPr>
              <w:numPr>
                <w:ilvl w:val="0"/>
                <w:numId w:val="44"/>
              </w:numPr>
              <w:spacing w:before="80" w:after="200" w:line="276" w:lineRule="auto"/>
              <w:ind w:left="630"/>
              <w:rPr>
                <w:rFonts w:cs="Tahoma"/>
                <w:color w:val="000000"/>
                <w:szCs w:val="18"/>
              </w:rPr>
            </w:pPr>
            <w:r w:rsidRPr="004B208C">
              <w:rPr>
                <w:rFonts w:eastAsia="Calibri" w:cs="Tahoma"/>
                <w:color w:val="000000"/>
                <w:szCs w:val="18"/>
              </w:rPr>
              <w:t>Windows Intune</w:t>
            </w:r>
          </w:p>
        </w:tc>
      </w:tr>
    </w:tbl>
    <w:p w:rsidR="00F240D9" w:rsidRDefault="00F240D9" w:rsidP="00676723">
      <w:pPr>
        <w:rPr>
          <w:rFonts w:cs="Tahoma"/>
        </w:rPr>
      </w:pPr>
      <w:bookmarkStart w:id="1181" w:name="_Toc336338304"/>
      <w:bookmarkStart w:id="1182" w:name="Srv_43EnterpriseCALSuite"/>
      <w:bookmarkEnd w:id="1168"/>
      <w:bookmarkEnd w:id="1176"/>
    </w:p>
    <w:p w:rsidR="00F240D9" w:rsidRPr="004B208C" w:rsidRDefault="00F240D9" w:rsidP="00676723">
      <w:pPr>
        <w:rPr>
          <w:rFonts w:cs="Tahoma"/>
        </w:rPr>
      </w:pPr>
    </w:p>
    <w:p w:rsidR="00652053" w:rsidRPr="004B208C" w:rsidRDefault="00A560B6" w:rsidP="001760D6">
      <w:pPr>
        <w:pStyle w:val="Heading3"/>
        <w:keepNext/>
        <w:rPr>
          <w:rFonts w:ascii="Tahoma" w:hAnsi="Tahoma" w:cs="Tahoma"/>
        </w:rPr>
      </w:pPr>
      <w:bookmarkStart w:id="1183" w:name="_42_Enterprise_CAL"/>
      <w:bookmarkStart w:id="1184" w:name="_47_Enterprise_CAL"/>
      <w:bookmarkStart w:id="1185" w:name="_Toc370981420"/>
      <w:bookmarkEnd w:id="1183"/>
      <w:bookmarkEnd w:id="1184"/>
      <w:r w:rsidRPr="004B208C">
        <w:rPr>
          <w:rFonts w:ascii="Tahoma" w:hAnsi="Tahoma" w:cs="Tahoma"/>
          <w:caps/>
          <w:color w:val="F66400"/>
          <w:sz w:val="22"/>
          <w:vertAlign w:val="superscript"/>
        </w:rPr>
        <w:t>46</w:t>
      </w:r>
      <w:r w:rsidRPr="004B208C">
        <w:rPr>
          <w:rFonts w:ascii="Tahoma" w:hAnsi="Tahoma" w:cs="Tahoma"/>
          <w:color w:val="F66400"/>
          <w:sz w:val="22"/>
        </w:rPr>
        <w:t xml:space="preserve"> Pacotes CAL Empresarial</w:t>
      </w:r>
      <w:bookmarkEnd w:id="1181"/>
      <w:bookmarkEnd w:id="1185"/>
      <w:r w:rsidRPr="004B208C">
        <w:rPr>
          <w:rFonts w:ascii="Tahoma" w:hAnsi="Tahoma" w:cs="Tahoma"/>
          <w:color w:val="F66400"/>
          <w:sz w:val="22"/>
        </w:rPr>
        <w:t xml:space="preserve"> </w:t>
      </w:r>
    </w:p>
    <w:bookmarkEnd w:id="1182"/>
    <w:p w:rsidR="00023FE7" w:rsidRPr="004B208C" w:rsidRDefault="00023FE7" w:rsidP="0084072C">
      <w:pPr>
        <w:rPr>
          <w:rFonts w:cs="Tahoma"/>
        </w:rPr>
      </w:pPr>
    </w:p>
    <w:p w:rsidR="009A727E" w:rsidRPr="004B208C" w:rsidRDefault="008446D1" w:rsidP="0084072C">
      <w:pPr>
        <w:ind w:left="720"/>
        <w:rPr>
          <w:rFonts w:cs="Tahoma"/>
        </w:rPr>
      </w:pPr>
      <w:r w:rsidRPr="004B208C">
        <w:rPr>
          <w:rFonts w:cs="Tahoma"/>
          <w:szCs w:val="20"/>
        </w:rPr>
        <w:t>O Enterprise CAL Suite é independente da versão e os direitos de uso de produto são determinados pelo status da cobertura do Software Assurance para o Enterprise CAL Suite.</w:t>
      </w:r>
      <w:r w:rsidR="00172F11">
        <w:rPr>
          <w:rFonts w:cs="Tahoma"/>
          <w:szCs w:val="20"/>
        </w:rPr>
        <w:t xml:space="preserve"> </w:t>
      </w:r>
      <w:r w:rsidRPr="004B208C">
        <w:rPr>
          <w:rFonts w:cs="Tahoma"/>
          <w:szCs w:val="20"/>
        </w:rPr>
        <w:t>Se a cobertura for interrompida, os</w:t>
      </w:r>
      <w:r w:rsidR="00F240D9">
        <w:rPr>
          <w:rFonts w:cs="Tahoma"/>
          <w:szCs w:val="20"/>
        </w:rPr>
        <w:t> </w:t>
      </w:r>
      <w:r w:rsidRPr="004B208C">
        <w:rPr>
          <w:rFonts w:cs="Tahoma"/>
          <w:szCs w:val="20"/>
        </w:rPr>
        <w:t>direitos de acesso sob as licenças perpétuas serão determinados com base nos direitos de uso de produto em vigor antes da interrupção.</w:t>
      </w:r>
      <w:r w:rsidR="00172F11">
        <w:rPr>
          <w:rFonts w:cs="Tahoma"/>
          <w:szCs w:val="20"/>
        </w:rPr>
        <w:t xml:space="preserve"> </w:t>
      </w:r>
      <w:r w:rsidRPr="004B208C">
        <w:rPr>
          <w:rFonts w:cs="Tahoma"/>
          <w:szCs w:val="20"/>
        </w:rPr>
        <w:t>Os direitos associados a ofertas de Serviços Online expirarão em caso de interrupção da cobertura do Software Assurance, seja o Enterprise CAL Suite perpétuo ou não.</w:t>
      </w:r>
      <w:r w:rsidR="00172F11">
        <w:rPr>
          <w:rFonts w:cs="Tahoma"/>
          <w:szCs w:val="20"/>
        </w:rPr>
        <w:t xml:space="preserve"> </w:t>
      </w:r>
      <w:r w:rsidRPr="004B208C">
        <w:rPr>
          <w:rFonts w:cs="Tahoma"/>
          <w:szCs w:val="20"/>
        </w:rPr>
        <w:t>A partir de 1° de abril de 2013, uma licença para o Pacote de CALs Empresariais com cobertura do Software Assurance ativa concede direitos equivalentes aos seguintes: todos os componentes atuais do Pacote de CALs Principais, CAL Empresarial do Exchange com Serviços 2013, Arquivamento do Exchange Online para Exchange Server, CAL Empresarial do SharePoint 2013, CAL Empresarial do Lync Server 2013, CAL dos Serviços de Gerenciamento de Direitos do Windows Server 2012 Active Directory e todos os componentes atuais do System Center 2012 Client Management Suite.</w:t>
      </w:r>
      <w:r w:rsidR="00172F11">
        <w:rPr>
          <w:rFonts w:cs="Tahoma"/>
          <w:szCs w:val="20"/>
        </w:rPr>
        <w:t xml:space="preserve"> </w:t>
      </w:r>
      <w:r w:rsidRPr="004B208C">
        <w:rPr>
          <w:rFonts w:cs="Tahoma"/>
          <w:szCs w:val="20"/>
        </w:rPr>
        <w:t>Uma licença para o Enterprise CAL Suite é uma licença individual que deverá ser cedida a um único usuário ou dispositivo.</w:t>
      </w:r>
      <w:r w:rsidR="00172F11">
        <w:rPr>
          <w:rFonts w:cs="Tahoma"/>
          <w:szCs w:val="20"/>
        </w:rPr>
        <w:t xml:space="preserve"> </w:t>
      </w:r>
      <w:r w:rsidRPr="004B208C">
        <w:rPr>
          <w:rFonts w:cs="Tahoma"/>
          <w:szCs w:val="20"/>
        </w:rPr>
        <w:t>Conforme disposto no contrato da licença por volume, o cliente não poderá separar os direitos sob o Pacote de CALs Empresariais para permitir que dois ou mais usuários ou dispositivos acessem seus diversos componentes ao mesmo tempo.</w:t>
      </w:r>
      <w:r w:rsidR="00172F11">
        <w:rPr>
          <w:rFonts w:cs="Tahoma"/>
          <w:szCs w:val="20"/>
        </w:rPr>
        <w:t xml:space="preserve"> </w:t>
      </w:r>
    </w:p>
    <w:p w:rsidR="00D57009" w:rsidRDefault="00D57009">
      <w:pPr>
        <w:rPr>
          <w:rFonts w:cs="Tahoma"/>
        </w:rPr>
      </w:pPr>
    </w:p>
    <w:p w:rsidR="00E35EBB" w:rsidRDefault="00E35EBB">
      <w:pPr>
        <w:rPr>
          <w:rFonts w:cs="Tahoma"/>
        </w:rPr>
      </w:pPr>
    </w:p>
    <w:p w:rsidR="00E35EBB" w:rsidRDefault="00E35EBB">
      <w:pPr>
        <w:rPr>
          <w:rFonts w:cs="Tahoma"/>
        </w:rPr>
      </w:pPr>
    </w:p>
    <w:p w:rsidR="00E35EBB" w:rsidRDefault="00E35EBB">
      <w:pPr>
        <w:rPr>
          <w:rFonts w:cs="Tahoma"/>
        </w:rPr>
      </w:pPr>
    </w:p>
    <w:p w:rsidR="00E35EBB" w:rsidRPr="004B208C" w:rsidRDefault="00E35EBB">
      <w:pPr>
        <w:rPr>
          <w:rFonts w:cs="Tahoma"/>
        </w:rPr>
      </w:pPr>
    </w:p>
    <w:p w:rsidR="00163658" w:rsidRPr="004B208C" w:rsidRDefault="00163658" w:rsidP="0084072C">
      <w:pPr>
        <w:ind w:left="720"/>
        <w:rPr>
          <w:rFonts w:cs="Tahoma"/>
        </w:rPr>
      </w:pPr>
      <w:r w:rsidRPr="004B208C">
        <w:rPr>
          <w:rFonts w:cs="Tahoma"/>
          <w:b/>
          <w:szCs w:val="20"/>
        </w:rPr>
        <w:lastRenderedPageBreak/>
        <w:t>Serviços Online Incluídos no Pacote de CALs Empresariais</w:t>
      </w:r>
    </w:p>
    <w:p w:rsidR="00391D38" w:rsidRPr="004B208C" w:rsidRDefault="00391D38" w:rsidP="0084072C">
      <w:pPr>
        <w:ind w:left="720"/>
        <w:rPr>
          <w:rFonts w:cs="Tahoma"/>
        </w:rPr>
      </w:pPr>
    </w:p>
    <w:p w:rsidR="00163658" w:rsidRPr="004B208C" w:rsidRDefault="00163658" w:rsidP="009A5D6F">
      <w:pPr>
        <w:ind w:left="720"/>
        <w:rPr>
          <w:rFonts w:cs="Tahoma"/>
        </w:rPr>
      </w:pPr>
      <w:r w:rsidRPr="004B208C">
        <w:rPr>
          <w:rFonts w:cs="Tahoma"/>
          <w:szCs w:val="20"/>
        </w:rPr>
        <w:t>A partir de 1o. de abril de 2013, uma licença para o Pacote de CALs Empresariais com cobertura ativa do</w:t>
      </w:r>
      <w:r w:rsidR="00F240D9">
        <w:rPr>
          <w:rFonts w:cs="Tahoma"/>
          <w:szCs w:val="20"/>
        </w:rPr>
        <w:t> </w:t>
      </w:r>
      <w:r w:rsidRPr="004B208C">
        <w:rPr>
          <w:rFonts w:cs="Tahoma"/>
          <w:szCs w:val="20"/>
        </w:rPr>
        <w:t>Software Assurance inclui os direitos de Arquivamento do Exchange Online para Exchange Server, Prevenção à Perda de Dados e Exchange Online Protection.</w:t>
      </w:r>
    </w:p>
    <w:p w:rsidR="00855B26" w:rsidRPr="004B208C" w:rsidRDefault="00855B26" w:rsidP="00855B26">
      <w:pPr>
        <w:ind w:left="720"/>
        <w:rPr>
          <w:rFonts w:cs="Tahoma"/>
        </w:rPr>
      </w:pPr>
    </w:p>
    <w:p w:rsidR="00855B26" w:rsidRPr="004B208C" w:rsidRDefault="00855B26" w:rsidP="00855B26">
      <w:pPr>
        <w:ind w:left="720"/>
        <w:rPr>
          <w:rFonts w:cs="Tahoma"/>
        </w:rPr>
      </w:pPr>
      <w:r w:rsidRPr="004B208C">
        <w:rPr>
          <w:rFonts w:cs="Tahoma"/>
          <w:szCs w:val="20"/>
          <w:u w:val="single"/>
        </w:rPr>
        <w:t>Disponibilidade Internacional</w:t>
      </w:r>
      <w:r w:rsidRPr="004B208C">
        <w:rPr>
          <w:rFonts w:cs="Tahoma"/>
          <w:szCs w:val="20"/>
        </w:rPr>
        <w:t>. Esses Serviços Online só estão disponíveis em países nos quais o Office 365 está disponível:</w:t>
      </w:r>
      <w:r w:rsidRPr="004B208C">
        <w:rPr>
          <w:rFonts w:cs="Tahoma"/>
          <w:color w:val="5B9BD5"/>
          <w:szCs w:val="20"/>
        </w:rPr>
        <w:t xml:space="preserve"> </w:t>
      </w:r>
      <w:hyperlink r:id="rId47" w:anchor="international" w:history="1">
        <w:r w:rsidR="00F240D9" w:rsidRPr="00A57AE3">
          <w:rPr>
            <w:rStyle w:val="Hyperlink"/>
            <w:color w:val="5B9BD5"/>
          </w:rPr>
          <w:t>http://www.microsoft.com/online/faq.aspx#international</w:t>
        </w:r>
      </w:hyperlink>
      <w:r w:rsidRPr="004B208C">
        <w:rPr>
          <w:rFonts w:cs="Tahoma"/>
          <w:color w:val="5B9BD5"/>
        </w:rPr>
        <w:br/>
      </w:r>
    </w:p>
    <w:p w:rsidR="00163658" w:rsidRPr="004B208C" w:rsidRDefault="000150D5" w:rsidP="000150D5">
      <w:pPr>
        <w:ind w:left="720"/>
        <w:rPr>
          <w:rFonts w:cs="Tahoma"/>
        </w:rPr>
      </w:pPr>
      <w:r w:rsidRPr="004B208C">
        <w:rPr>
          <w:rFonts w:cs="Tahoma"/>
          <w:szCs w:val="20"/>
          <w:u w:val="single"/>
        </w:rPr>
        <w:t>Provisionamento</w:t>
      </w:r>
      <w:r w:rsidRPr="00F240D9">
        <w:rPr>
          <w:rFonts w:cs="Tahoma"/>
          <w:szCs w:val="20"/>
        </w:rPr>
        <w:t xml:space="preserve">. </w:t>
      </w:r>
      <w:r w:rsidRPr="004B208C">
        <w:rPr>
          <w:rFonts w:cs="Tahoma"/>
          <w:szCs w:val="20"/>
        </w:rPr>
        <w:t>Para começar a usar esses serviços, o cliente deve entrar em contato com seu Microsoft Partner, que pode iniciar o processo de provisionamento exigido para ativar cada serviço.</w:t>
      </w:r>
    </w:p>
    <w:p w:rsidR="00855B26" w:rsidRPr="004B208C" w:rsidRDefault="00855B26" w:rsidP="000150D5">
      <w:pPr>
        <w:ind w:left="720"/>
        <w:rPr>
          <w:rFonts w:cs="Tahoma"/>
        </w:rPr>
      </w:pPr>
    </w:p>
    <w:p w:rsidR="00391D38" w:rsidRPr="004B208C" w:rsidRDefault="000150D5" w:rsidP="000150D5">
      <w:pPr>
        <w:ind w:left="720"/>
        <w:rPr>
          <w:rFonts w:cs="Tahoma"/>
        </w:rPr>
      </w:pPr>
      <w:r w:rsidRPr="004B208C">
        <w:rPr>
          <w:rFonts w:cs="Tahoma"/>
          <w:snapToGrid w:val="0"/>
          <w:u w:val="single"/>
        </w:rPr>
        <w:t>Termos e Condições Complementares</w:t>
      </w:r>
      <w:r w:rsidRPr="00F240D9">
        <w:rPr>
          <w:rFonts w:cs="Tahoma"/>
          <w:snapToGrid w:val="0"/>
        </w:rPr>
        <w:t xml:space="preserve">. </w:t>
      </w:r>
      <w:r w:rsidRPr="004B208C">
        <w:rPr>
          <w:rFonts w:cs="Tahoma"/>
          <w:szCs w:val="20"/>
        </w:rPr>
        <w:t xml:space="preserve">Os Termos e as Condições Complementares (“Termos Complementares”) na </w:t>
      </w:r>
      <w:hyperlink w:anchor="_Seção_10_–" w:history="1">
        <w:r w:rsidRPr="004B208C">
          <w:rPr>
            <w:rStyle w:val="Hyperlink"/>
            <w:rFonts w:cs="Tahoma"/>
            <w:szCs w:val="20"/>
          </w:rPr>
          <w:t>Seção 10</w:t>
        </w:r>
      </w:hyperlink>
      <w:r w:rsidRPr="004B208C">
        <w:rPr>
          <w:rFonts w:cs="Tahoma"/>
          <w:szCs w:val="20"/>
        </w:rPr>
        <w:t xml:space="preserve"> se aplicam à </w:t>
      </w:r>
      <w:r w:rsidRPr="004B208C">
        <w:rPr>
          <w:rFonts w:cs="Tahoma"/>
          <w:snapToGrid w:val="0"/>
        </w:rPr>
        <w:t>compra e ao uso que os clientes fazem dos Serviços Online incluídos no Pacote de CAL Empresarial.</w:t>
      </w:r>
      <w:r w:rsidR="00172F11">
        <w:rPr>
          <w:rFonts w:cs="Tahoma"/>
          <w:szCs w:val="20"/>
        </w:rPr>
        <w:t xml:space="preserve"> </w:t>
      </w:r>
    </w:p>
    <w:p w:rsidR="00391D38" w:rsidRPr="004B208C" w:rsidRDefault="00391D38" w:rsidP="0084072C">
      <w:pPr>
        <w:ind w:left="720"/>
        <w:rPr>
          <w:rFonts w:cs="Tahoma"/>
        </w:rPr>
      </w:pPr>
    </w:p>
    <w:p w:rsidR="00112BE6" w:rsidRPr="004B208C" w:rsidRDefault="00112BE6" w:rsidP="005D1A15">
      <w:pPr>
        <w:spacing w:after="60"/>
        <w:ind w:left="720"/>
        <w:rPr>
          <w:rFonts w:cs="Tahoma"/>
        </w:rPr>
      </w:pPr>
      <w:r w:rsidRPr="004B208C">
        <w:rPr>
          <w:rFonts w:cs="Tahoma"/>
          <w:b/>
          <w:color w:val="000000"/>
          <w:szCs w:val="20"/>
        </w:rPr>
        <w:t>Forefront Unified Access Gateway 2010</w:t>
      </w:r>
    </w:p>
    <w:p w:rsidR="005D1A15" w:rsidRPr="004B208C" w:rsidRDefault="005D1A15" w:rsidP="00112BE6">
      <w:pPr>
        <w:spacing w:after="60"/>
        <w:ind w:left="720"/>
        <w:rPr>
          <w:rFonts w:cs="Tahoma"/>
        </w:rPr>
      </w:pPr>
      <w:r w:rsidRPr="004B208C">
        <w:rPr>
          <w:rFonts w:cs="Tahoma"/>
          <w:color w:val="000000"/>
          <w:szCs w:val="20"/>
          <w:u w:val="single"/>
        </w:rPr>
        <w:t>Direitos de Adequação (“True-Up“)</w:t>
      </w:r>
      <w:r w:rsidRPr="00B77658">
        <w:rPr>
          <w:rFonts w:cs="Tahoma"/>
          <w:color w:val="000000"/>
          <w:szCs w:val="20"/>
        </w:rPr>
        <w:t>.</w:t>
      </w:r>
      <w:r w:rsidR="00B77658">
        <w:rPr>
          <w:rFonts w:cs="Tahoma"/>
          <w:color w:val="000000"/>
          <w:szCs w:val="20"/>
        </w:rPr>
        <w:t xml:space="preserve"> </w:t>
      </w:r>
      <w:r w:rsidRPr="004B208C">
        <w:rPr>
          <w:rFonts w:cs="Tahoma"/>
          <w:color w:val="000000"/>
          <w:szCs w:val="20"/>
        </w:rPr>
        <w:t>Não obstante qualquer outra disposição em contrário nos Direitos de Uso do Produto para Forefront Unified Access Gateway 2010 a partir de 1º de dezembro de 2012 para Clientes Qualificados, as licenças do Pacote de CALs Empresariais adquiridas sob os direitos de true-up depois de 1º</w:t>
      </w:r>
      <w:r w:rsidR="00F240D9">
        <w:rPr>
          <w:rFonts w:cs="Tahoma"/>
          <w:color w:val="000000"/>
          <w:szCs w:val="20"/>
        </w:rPr>
        <w:t> </w:t>
      </w:r>
      <w:r w:rsidRPr="004B208C">
        <w:rPr>
          <w:rFonts w:cs="Tahoma"/>
          <w:color w:val="000000"/>
          <w:szCs w:val="20"/>
        </w:rPr>
        <w:t>de dezembro de 2012 permitem o acesso ao Forefront Unified Access Gateway 2010. “Clientes</w:t>
      </w:r>
      <w:r w:rsidR="00F244D7">
        <w:rPr>
          <w:rFonts w:cs="Tahoma"/>
          <w:color w:val="000000"/>
          <w:szCs w:val="20"/>
        </w:rPr>
        <w:t> </w:t>
      </w:r>
      <w:r w:rsidRPr="004B208C">
        <w:rPr>
          <w:rFonts w:cs="Tahoma"/>
          <w:color w:val="000000"/>
          <w:szCs w:val="20"/>
        </w:rPr>
        <w:t>Qualificados” são clientes do Registro Enterprise ou do Registro Enterprise Subscription, Open Value Subscription (OVS) ou Enrollment for Education Solutions que adquiriram primeiro o Pacote de CALs Empresariais antes de 1º</w:t>
      </w:r>
      <w:r w:rsidR="00F240D9">
        <w:rPr>
          <w:rFonts w:cs="Tahoma"/>
          <w:color w:val="000000"/>
          <w:szCs w:val="20"/>
        </w:rPr>
        <w:t> </w:t>
      </w:r>
      <w:r w:rsidRPr="004B208C">
        <w:rPr>
          <w:rFonts w:cs="Tahoma"/>
          <w:color w:val="000000"/>
          <w:szCs w:val="20"/>
        </w:rPr>
        <w:t>de dezembro de 2012 e que têm o direito sob o mesmo registro ou prazo de contrato do OVS de adquirir licenças adicionais depois de 1º de dezembro de 2012 mediante adequação (“true-up”).</w:t>
      </w:r>
      <w:r w:rsidR="00172F11">
        <w:rPr>
          <w:rFonts w:cs="Tahoma"/>
          <w:color w:val="000000"/>
          <w:szCs w:val="20"/>
        </w:rPr>
        <w:t xml:space="preserve"> </w:t>
      </w:r>
      <w:r w:rsidRPr="004B208C">
        <w:rPr>
          <w:rFonts w:cs="Tahoma"/>
          <w:color w:val="000000"/>
          <w:szCs w:val="20"/>
        </w:rPr>
        <w:t>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w:t>
      </w:r>
      <w:r w:rsidR="00F240D9">
        <w:rPr>
          <w:rFonts w:cs="Tahoma"/>
          <w:color w:val="000000"/>
          <w:szCs w:val="20"/>
        </w:rPr>
        <w:t> </w:t>
      </w:r>
      <w:r w:rsidRPr="004B208C">
        <w:rPr>
          <w:rFonts w:cs="Tahoma"/>
          <w:color w:val="000000"/>
          <w:szCs w:val="20"/>
        </w:rPr>
        <w:t>Pacote de CALs Empresariais para componentes do Forefront Protection Suite (parte do Pacote de CALs Empresariais até 30 de novembro de 2012).</w:t>
      </w:r>
    </w:p>
    <w:p w:rsidR="005D1A15" w:rsidRPr="004B208C" w:rsidRDefault="00112BE6" w:rsidP="005D1A15">
      <w:pPr>
        <w:spacing w:before="120" w:after="60"/>
        <w:ind w:left="720"/>
        <w:rPr>
          <w:rFonts w:cs="Tahoma"/>
        </w:rPr>
      </w:pPr>
      <w:r w:rsidRPr="004B208C">
        <w:rPr>
          <w:rFonts w:cs="Tahoma"/>
          <w:color w:val="000000"/>
          <w:szCs w:val="20"/>
        </w:rPr>
        <w:t>Software Assurance. Renovando o Software Assurance para Forefront Unified Access Gateway fora do Pacote de CALs Empresariais 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w:t>
      </w:r>
      <w:r w:rsidR="00F244D7">
        <w:rPr>
          <w:rFonts w:cs="Tahoma"/>
          <w:color w:val="000000"/>
          <w:szCs w:val="20"/>
        </w:rPr>
        <w:t> </w:t>
      </w:r>
      <w:r w:rsidRPr="004B208C">
        <w:rPr>
          <w:rFonts w:cs="Tahoma"/>
          <w:color w:val="000000"/>
          <w:szCs w:val="20"/>
        </w:rPr>
        <w:t>Forefront Unified Access Gateway é válida para uma série de licenças até o número total de licenças do</w:t>
      </w:r>
      <w:r w:rsidR="00F244D7">
        <w:rPr>
          <w:rFonts w:cs="Tahoma"/>
          <w:color w:val="000000"/>
          <w:szCs w:val="20"/>
        </w:rPr>
        <w:t> </w:t>
      </w:r>
      <w:r w:rsidRPr="004B208C">
        <w:rPr>
          <w:rFonts w:cs="Tahoma"/>
          <w:color w:val="000000"/>
          <w:szCs w:val="20"/>
        </w:rPr>
        <w:t>Pacote de CALs Empresariais com Software Assurance imediatamente antes da renovação.</w:t>
      </w:r>
    </w:p>
    <w:p w:rsidR="005D1A15" w:rsidRDefault="005D1A15" w:rsidP="00630ED6">
      <w:pPr>
        <w:ind w:left="720"/>
        <w:rPr>
          <w:rFonts w:cs="Tahoma"/>
        </w:rPr>
      </w:pPr>
    </w:p>
    <w:p w:rsidR="004E3869" w:rsidRPr="004B208C" w:rsidRDefault="00A2724A" w:rsidP="0084072C">
      <w:pPr>
        <w:spacing w:after="60"/>
        <w:ind w:left="720"/>
        <w:rPr>
          <w:rFonts w:cs="Tahoma"/>
        </w:rPr>
      </w:pPr>
      <w:r w:rsidRPr="004B208C">
        <w:rPr>
          <w:rFonts w:cs="Tahoma"/>
          <w:b/>
          <w:color w:val="000000"/>
          <w:szCs w:val="20"/>
        </w:rPr>
        <w:t>Direitos de Uso Estendido para produtos Forefront</w:t>
      </w:r>
    </w:p>
    <w:p w:rsidR="00C349AE" w:rsidRPr="004B208C" w:rsidRDefault="00793CBD" w:rsidP="0084072C">
      <w:pPr>
        <w:ind w:left="720"/>
        <w:rPr>
          <w:rFonts w:cs="Tahoma"/>
        </w:rPr>
      </w:pPr>
      <w:r w:rsidRPr="004B208C">
        <w:rPr>
          <w:rFonts w:cs="Tahoma"/>
          <w:bCs/>
          <w:color w:val="000000"/>
          <w:szCs w:val="18"/>
        </w:rPr>
        <w:t>Os Clientes com cobertura do Software Assurance ativa para o Pacote de CALs Empresariais a partir de 30 de novembro de 2012 podem continuar usando os serviços de componentes do Forefront Protection Suite (anteriormente parte do Pacote de CALs Empresariais) até o término e/ou renovação desta cobertura.</w:t>
      </w:r>
      <w:r w:rsidR="00172F11">
        <w:rPr>
          <w:rFonts w:cs="Tahoma"/>
          <w:bCs/>
          <w:color w:val="000000"/>
          <w:szCs w:val="18"/>
        </w:rPr>
        <w:t xml:space="preserve"> </w:t>
      </w:r>
      <w:r w:rsidRPr="004B208C">
        <w:rPr>
          <w:rFonts w:cs="Tahoma"/>
          <w:bCs/>
          <w:color w:val="000000"/>
          <w:szCs w:val="18"/>
        </w:rPr>
        <w:t xml:space="preserve">Esses clientes também podem continuar a usar os componentes do </w:t>
      </w:r>
      <w:r w:rsidRPr="004B208C">
        <w:rPr>
          <w:rFonts w:cs="Tahoma"/>
          <w:color w:val="000000"/>
          <w:szCs w:val="20"/>
        </w:rPr>
        <w:t xml:space="preserve">Forefront para Office Communications Server, Forefront Protection 2010 para Exchange Server, Forefront Threat Management Gateway Web Protection Service e Forefront Protection 2010 para SharePoint Server </w:t>
      </w:r>
      <w:r w:rsidRPr="004B208C">
        <w:rPr>
          <w:rFonts w:cs="Tahoma"/>
          <w:bCs/>
          <w:color w:val="000000"/>
          <w:szCs w:val="18"/>
        </w:rPr>
        <w:t>do pacote até 31 de dezembro de 2015. Esses termos também se aplicam a licenças do Pacote de CALs Empresariais adquiridas por esses clientes antes de</w:t>
      </w:r>
      <w:r w:rsidR="00B77658">
        <w:rPr>
          <w:rFonts w:cs="Tahoma"/>
          <w:bCs/>
          <w:color w:val="000000"/>
          <w:szCs w:val="18"/>
        </w:rPr>
        <w:t> </w:t>
      </w:r>
      <w:r w:rsidRPr="004B208C">
        <w:rPr>
          <w:rFonts w:cs="Tahoma"/>
          <w:bCs/>
          <w:color w:val="000000"/>
          <w:szCs w:val="18"/>
        </w:rPr>
        <w:t>31 de dezembro de 2015. O uso contínuo dos serviços online de componentes permanece sujeito aos termos e às condições do contrato de Licenciamento por Volume do cliente, dos direitos de uso de produto para os serviços online e dos termos e das condições aqui.</w:t>
      </w:r>
    </w:p>
    <w:p w:rsidR="00C349AE" w:rsidRDefault="00C349AE" w:rsidP="0084072C">
      <w:pPr>
        <w:ind w:left="720"/>
        <w:rPr>
          <w:rFonts w:cs="Tahoma"/>
        </w:rPr>
      </w:pPr>
    </w:p>
    <w:p w:rsidR="00E35EBB" w:rsidRDefault="00E35EBB" w:rsidP="0084072C">
      <w:pPr>
        <w:ind w:left="720"/>
        <w:rPr>
          <w:rFonts w:cs="Tahoma"/>
        </w:rPr>
      </w:pPr>
    </w:p>
    <w:p w:rsidR="00E35EBB" w:rsidRDefault="00E35EBB" w:rsidP="0084072C">
      <w:pPr>
        <w:ind w:left="720"/>
        <w:rPr>
          <w:rFonts w:cs="Tahoma"/>
        </w:rPr>
      </w:pPr>
    </w:p>
    <w:p w:rsidR="00E35EBB" w:rsidRDefault="00E35EBB" w:rsidP="0084072C">
      <w:pPr>
        <w:ind w:left="720"/>
        <w:rPr>
          <w:rFonts w:cs="Tahoma"/>
        </w:rPr>
      </w:pPr>
    </w:p>
    <w:p w:rsidR="00E35EBB" w:rsidRDefault="00E35EBB" w:rsidP="0084072C">
      <w:pPr>
        <w:ind w:left="720"/>
        <w:rPr>
          <w:rFonts w:cs="Tahoma"/>
        </w:rPr>
      </w:pPr>
    </w:p>
    <w:p w:rsidR="00E35EBB" w:rsidRDefault="00E35EBB" w:rsidP="0084072C">
      <w:pPr>
        <w:ind w:left="720"/>
        <w:rPr>
          <w:rFonts w:cs="Tahoma"/>
        </w:rPr>
      </w:pPr>
    </w:p>
    <w:p w:rsidR="00E35EBB" w:rsidRPr="004B208C" w:rsidRDefault="00E35EBB" w:rsidP="0084072C">
      <w:pPr>
        <w:ind w:left="720"/>
        <w:rPr>
          <w:rFonts w:cs="Tahoma"/>
        </w:rPr>
      </w:pPr>
    </w:p>
    <w:p w:rsidR="004E3869" w:rsidRPr="004B208C" w:rsidRDefault="004E3869" w:rsidP="0084072C">
      <w:pPr>
        <w:spacing w:after="60"/>
        <w:ind w:left="720"/>
        <w:rPr>
          <w:rFonts w:cs="Tahoma"/>
        </w:rPr>
      </w:pPr>
      <w:r w:rsidRPr="004B208C">
        <w:rPr>
          <w:rFonts w:cs="Tahoma"/>
          <w:b/>
          <w:color w:val="000000"/>
          <w:szCs w:val="20"/>
        </w:rPr>
        <w:lastRenderedPageBreak/>
        <w:t xml:space="preserve">Forefront Protection Suite </w:t>
      </w:r>
    </w:p>
    <w:p w:rsidR="004E3869" w:rsidRPr="004B208C" w:rsidRDefault="004E3869" w:rsidP="0084072C">
      <w:pPr>
        <w:ind w:left="720"/>
        <w:rPr>
          <w:rFonts w:cs="Tahoma"/>
        </w:rPr>
      </w:pPr>
      <w:r w:rsidRPr="004B208C">
        <w:rPr>
          <w:rFonts w:cs="Tahoma"/>
          <w:color w:val="000000"/>
          <w:szCs w:val="20"/>
        </w:rPr>
        <w:t>Uma assinatura do Forefront Protection Suite consiste nos seguintes serviços online:</w:t>
      </w:r>
      <w:r w:rsidR="00172F11">
        <w:rPr>
          <w:rFonts w:cs="Tahoma"/>
          <w:color w:val="000000"/>
          <w:szCs w:val="20"/>
        </w:rPr>
        <w:t xml:space="preserve"> </w:t>
      </w:r>
      <w:r w:rsidRPr="004B208C">
        <w:rPr>
          <w:rFonts w:cs="Tahoma"/>
          <w:color w:val="000000"/>
          <w:szCs w:val="20"/>
        </w:rPr>
        <w:t>System Center 2012 Endpoint Protection, Forefront para Office Communications Server (anteriormente, Antigen para Serviço de</w:t>
      </w:r>
      <w:r w:rsidR="00B77658">
        <w:rPr>
          <w:rFonts w:cs="Tahoma"/>
          <w:color w:val="000000"/>
          <w:szCs w:val="20"/>
        </w:rPr>
        <w:t> </w:t>
      </w:r>
      <w:r w:rsidRPr="004B208C">
        <w:rPr>
          <w:rFonts w:cs="Tahoma"/>
          <w:color w:val="000000"/>
          <w:szCs w:val="20"/>
        </w:rPr>
        <w:t xml:space="preserve">Mensagens Instantâneas), Forefront Online Protection para Exchange (anteriormente, Exchange Hosted Filtering), Forefront Protection 2010 para Exchange Server, Forefront Threat Management Gateway Web Protection Service e Forefront Protection 2010 para SharePoint Server. </w:t>
      </w:r>
    </w:p>
    <w:p w:rsidR="00B2460D" w:rsidRPr="004B208C" w:rsidRDefault="00B2460D" w:rsidP="0084072C">
      <w:pPr>
        <w:ind w:left="720"/>
        <w:rPr>
          <w:rFonts w:cs="Tahoma"/>
        </w:rPr>
      </w:pPr>
    </w:p>
    <w:p w:rsidR="00023FE7" w:rsidRPr="004B208C" w:rsidRDefault="00023FE7" w:rsidP="0084072C">
      <w:pPr>
        <w:spacing w:after="60"/>
        <w:ind w:left="720"/>
        <w:rPr>
          <w:rFonts w:cs="Tahoma"/>
        </w:rPr>
      </w:pPr>
      <w:r w:rsidRPr="004B208C">
        <w:rPr>
          <w:rFonts w:cs="Tahoma"/>
          <w:b/>
          <w:color w:val="000000"/>
          <w:szCs w:val="20"/>
        </w:rPr>
        <w:t>CALs Somente para Aluno (Licença Academic Open e Academic Select)</w:t>
      </w:r>
    </w:p>
    <w:p w:rsidR="00023FE7" w:rsidRPr="004B208C" w:rsidRDefault="00023FE7" w:rsidP="0084072C">
      <w:pPr>
        <w:ind w:left="720"/>
        <w:rPr>
          <w:rFonts w:cs="Tahoma"/>
        </w:rPr>
      </w:pPr>
      <w:r w:rsidRPr="004B208C">
        <w:rPr>
          <w:rFonts w:cs="Tahoma"/>
          <w:szCs w:val="20"/>
        </w:rPr>
        <w:t>As CALs Somente para Aluno estão restritas a PCs de propriedade de um aluno ou de uma instituição licenciados dedicados a um aluno individual e NÃO se destinam ao uso em laboratórios ou salas de aula.</w:t>
      </w:r>
    </w:p>
    <w:p w:rsidR="00026546" w:rsidRPr="004B208C" w:rsidRDefault="00026546" w:rsidP="0084072C">
      <w:pPr>
        <w:ind w:left="720"/>
        <w:rPr>
          <w:rFonts w:cs="Tahoma"/>
        </w:rPr>
      </w:pPr>
    </w:p>
    <w:p w:rsidR="007B35CE" w:rsidRPr="004B208C" w:rsidRDefault="007B35CE" w:rsidP="0084072C">
      <w:pPr>
        <w:ind w:left="720"/>
        <w:rPr>
          <w:rFonts w:cs="Tahoma"/>
        </w:rPr>
      </w:pPr>
    </w:p>
    <w:p w:rsidR="00112BE6" w:rsidRPr="004B208C" w:rsidRDefault="00A560B6" w:rsidP="00112BE6">
      <w:pPr>
        <w:pStyle w:val="Heading3"/>
        <w:rPr>
          <w:rFonts w:ascii="Tahoma" w:hAnsi="Tahoma" w:cs="Tahoma"/>
        </w:rPr>
      </w:pPr>
      <w:bookmarkStart w:id="1186" w:name="_45_Exchange_Enterprise"/>
      <w:bookmarkStart w:id="1187" w:name="_48_Exchange_Enterprise"/>
      <w:bookmarkStart w:id="1188" w:name="_Toc370981421"/>
      <w:bookmarkEnd w:id="1186"/>
      <w:bookmarkEnd w:id="1187"/>
      <w:r w:rsidRPr="004B208C">
        <w:rPr>
          <w:rFonts w:ascii="Tahoma" w:hAnsi="Tahoma" w:cs="Tahoma"/>
          <w:caps/>
          <w:color w:val="F66400"/>
          <w:sz w:val="22"/>
          <w:vertAlign w:val="superscript"/>
        </w:rPr>
        <w:t>47</w:t>
      </w:r>
      <w:r w:rsidRPr="004B208C">
        <w:rPr>
          <w:rFonts w:ascii="Tahoma" w:hAnsi="Tahoma" w:cs="Tahoma"/>
          <w:color w:val="F66400"/>
          <w:sz w:val="22"/>
        </w:rPr>
        <w:t xml:space="preserve"> CAL Empresarial do Exchange com Serviços 2013</w:t>
      </w:r>
      <w:bookmarkEnd w:id="1188"/>
      <w:r w:rsidRPr="004B208C">
        <w:rPr>
          <w:rFonts w:ascii="Tahoma" w:hAnsi="Tahoma" w:cs="Tahoma"/>
          <w:color w:val="F66400"/>
          <w:sz w:val="22"/>
        </w:rPr>
        <w:t xml:space="preserve"> </w:t>
      </w:r>
    </w:p>
    <w:p w:rsidR="00112BE6" w:rsidRPr="004B208C" w:rsidRDefault="00112BE6" w:rsidP="00112BE6">
      <w:pPr>
        <w:rPr>
          <w:rFonts w:cs="Tahoma"/>
        </w:rPr>
      </w:pPr>
    </w:p>
    <w:p w:rsidR="00112BE6" w:rsidRPr="004B208C" w:rsidRDefault="00112BE6" w:rsidP="00112BE6">
      <w:pPr>
        <w:ind w:left="720"/>
        <w:rPr>
          <w:rFonts w:cs="Tahoma"/>
        </w:rPr>
      </w:pPr>
      <w:r w:rsidRPr="004B208C">
        <w:rPr>
          <w:rFonts w:cs="Tahoma"/>
          <w:b/>
          <w:szCs w:val="20"/>
        </w:rPr>
        <w:t>Serviços Online Incluídos com a CAL Empresarial do Exchange com Serviços 2013</w:t>
      </w:r>
    </w:p>
    <w:p w:rsidR="00112BE6" w:rsidRPr="004B208C" w:rsidRDefault="00112BE6" w:rsidP="00112BE6">
      <w:pPr>
        <w:ind w:left="720"/>
        <w:rPr>
          <w:rFonts w:cs="Tahoma"/>
        </w:rPr>
      </w:pPr>
      <w:r w:rsidRPr="004B208C">
        <w:rPr>
          <w:rFonts w:cs="Tahoma"/>
          <w:szCs w:val="20"/>
        </w:rPr>
        <w:t>A partir de 1o. de abril de 2013, uma licença para CAL Empresarial do Exchange com Serviços 2013 com cobertura ativa do Software Assurance inclui os direitos de Prevenção à Perda de Dados e Exchange Online Protection.</w:t>
      </w:r>
    </w:p>
    <w:p w:rsidR="00112BE6" w:rsidRPr="004B208C" w:rsidRDefault="00112BE6" w:rsidP="00112BE6">
      <w:pPr>
        <w:ind w:left="720"/>
        <w:rPr>
          <w:rFonts w:cs="Tahoma"/>
        </w:rPr>
      </w:pPr>
    </w:p>
    <w:p w:rsidR="00855B26" w:rsidRPr="004B208C" w:rsidRDefault="00855B26" w:rsidP="00855B26">
      <w:pPr>
        <w:ind w:left="720"/>
        <w:rPr>
          <w:rFonts w:cs="Tahoma"/>
        </w:rPr>
      </w:pPr>
      <w:r w:rsidRPr="004B208C">
        <w:rPr>
          <w:rFonts w:cs="Tahoma"/>
          <w:szCs w:val="20"/>
          <w:u w:val="single"/>
        </w:rPr>
        <w:t>Disponibilidade Internacional</w:t>
      </w:r>
      <w:r w:rsidRPr="004B208C">
        <w:rPr>
          <w:rFonts w:cs="Tahoma"/>
          <w:szCs w:val="20"/>
        </w:rPr>
        <w:t>. Esses Serviços Online só estão disponíveis em países nos quais o Office 365 está disponível:</w:t>
      </w:r>
      <w:r w:rsidRPr="004B208C">
        <w:rPr>
          <w:rFonts w:cs="Tahoma"/>
          <w:color w:val="5B9BD5"/>
          <w:szCs w:val="20"/>
        </w:rPr>
        <w:t xml:space="preserve"> </w:t>
      </w:r>
      <w:hyperlink r:id="rId48" w:anchor="international" w:history="1">
        <w:r w:rsidR="00B77658" w:rsidRPr="00A57AE3">
          <w:rPr>
            <w:rStyle w:val="Hyperlink"/>
            <w:color w:val="5B9BD5"/>
          </w:rPr>
          <w:t>http://www.microsoft.com/online/faq.aspx#international</w:t>
        </w:r>
      </w:hyperlink>
      <w:r w:rsidRPr="004B208C">
        <w:rPr>
          <w:rFonts w:cs="Tahoma"/>
          <w:color w:val="5B9BD5"/>
        </w:rPr>
        <w:br/>
      </w:r>
    </w:p>
    <w:p w:rsidR="00112BE6" w:rsidRPr="004B208C" w:rsidRDefault="00112BE6" w:rsidP="00112BE6">
      <w:pPr>
        <w:ind w:left="720"/>
        <w:rPr>
          <w:rFonts w:cs="Tahoma"/>
        </w:rPr>
      </w:pPr>
      <w:r w:rsidRPr="004B208C">
        <w:rPr>
          <w:rFonts w:cs="Tahoma"/>
          <w:szCs w:val="20"/>
          <w:u w:val="single"/>
        </w:rPr>
        <w:t>Provisionamento</w:t>
      </w:r>
      <w:r w:rsidRPr="004B208C">
        <w:rPr>
          <w:rFonts w:cs="Tahoma"/>
          <w:szCs w:val="20"/>
        </w:rPr>
        <w:t>. Para começar a usar esses serviços, o cliente deve entrar em contato com seu Microsoft Partner, que pode iniciar o processo de provisionamento exigido para ativar cada serviço.</w:t>
      </w:r>
    </w:p>
    <w:p w:rsidR="00112BE6" w:rsidRPr="004B208C" w:rsidRDefault="00112BE6" w:rsidP="00112BE6">
      <w:pPr>
        <w:ind w:left="720"/>
        <w:rPr>
          <w:rFonts w:cs="Tahoma"/>
        </w:rPr>
      </w:pPr>
    </w:p>
    <w:p w:rsidR="00112BE6" w:rsidRPr="004B208C" w:rsidRDefault="00112BE6" w:rsidP="00112BE6">
      <w:pPr>
        <w:ind w:left="720"/>
        <w:rPr>
          <w:rFonts w:cs="Tahoma"/>
        </w:rPr>
      </w:pPr>
      <w:r w:rsidRPr="004B208C">
        <w:rPr>
          <w:rFonts w:cs="Tahoma"/>
          <w:szCs w:val="20"/>
          <w:u w:val="single"/>
        </w:rPr>
        <w:t>Termos e Condições Complementares</w:t>
      </w:r>
      <w:r w:rsidRPr="004B208C">
        <w:rPr>
          <w:rFonts w:cs="Tahoma"/>
          <w:szCs w:val="20"/>
        </w:rPr>
        <w:t xml:space="preserve">. Os Termos e as Condições Complementares (“Termos Complementares”) na </w:t>
      </w:r>
      <w:hyperlink w:anchor="_Section_10_–" w:history="1">
        <w:r w:rsidRPr="004B208C">
          <w:rPr>
            <w:rStyle w:val="Hyperlink"/>
            <w:rFonts w:cs="Tahoma"/>
            <w:szCs w:val="20"/>
          </w:rPr>
          <w:t>Seção 10</w:t>
        </w:r>
      </w:hyperlink>
      <w:r w:rsidRPr="004B208C">
        <w:rPr>
          <w:rFonts w:cs="Tahoma"/>
          <w:szCs w:val="20"/>
        </w:rPr>
        <w:t xml:space="preserve"> se aplicam à </w:t>
      </w:r>
      <w:r w:rsidRPr="004B208C">
        <w:rPr>
          <w:rFonts w:cs="Tahoma"/>
          <w:snapToGrid w:val="0"/>
        </w:rPr>
        <w:t>compra e ao uso que os clientes fazem dos Serviços Online incluídos na CAL Empresarial do Exchange com Serviços 2013.</w:t>
      </w:r>
    </w:p>
    <w:p w:rsidR="00D70D2C" w:rsidRPr="004B208C" w:rsidRDefault="00D70D2C" w:rsidP="0084072C">
      <w:pPr>
        <w:ind w:left="540"/>
        <w:rPr>
          <w:rFonts w:cs="Tahoma"/>
        </w:rPr>
      </w:pPr>
    </w:p>
    <w:p w:rsidR="007B35CE" w:rsidRPr="004B208C" w:rsidRDefault="007B35CE" w:rsidP="0084072C">
      <w:pPr>
        <w:ind w:left="540"/>
        <w:rPr>
          <w:rFonts w:cs="Tahoma"/>
        </w:rPr>
      </w:pPr>
    </w:p>
    <w:p w:rsidR="00D70D2C" w:rsidRPr="004B208C" w:rsidRDefault="0085774C" w:rsidP="00D70D2C">
      <w:pPr>
        <w:pStyle w:val="Heading2"/>
        <w:ind w:left="270" w:hanging="270"/>
        <w:rPr>
          <w:rFonts w:ascii="Tahoma" w:hAnsi="Tahoma" w:cs="Tahoma"/>
        </w:rPr>
      </w:pPr>
      <w:bookmarkStart w:id="1189" w:name="_43_Exchange_Enterprise"/>
      <w:bookmarkStart w:id="1190" w:name="_44_Exchange_Online"/>
      <w:bookmarkStart w:id="1191" w:name="_Toc336338305"/>
      <w:bookmarkStart w:id="1192" w:name="Srv_45ExchOnlineArchivingUserSL"/>
      <w:bookmarkStart w:id="1193" w:name="_Toc370981422"/>
      <w:bookmarkEnd w:id="1189"/>
      <w:bookmarkEnd w:id="1190"/>
      <w:r w:rsidRPr="004B208C">
        <w:rPr>
          <w:rFonts w:ascii="Tahoma" w:hAnsi="Tahoma" w:cs="Tahoma"/>
          <w:color w:val="F26200"/>
          <w:sz w:val="20"/>
          <w:vertAlign w:val="superscript"/>
        </w:rPr>
        <w:t>48</w:t>
      </w:r>
      <w:r w:rsidRPr="004B208C">
        <w:rPr>
          <w:rFonts w:ascii="Tahoma" w:hAnsi="Tahoma" w:cs="Tahoma"/>
          <w:color w:val="F26200"/>
        </w:rPr>
        <w:t xml:space="preserve"> </w:t>
      </w:r>
      <w:r w:rsidRPr="004B208C">
        <w:rPr>
          <w:rFonts w:ascii="Tahoma" w:hAnsi="Tahoma" w:cs="Tahoma"/>
          <w:color w:val="F26200"/>
          <w:sz w:val="22"/>
        </w:rPr>
        <w:t>Arquivamento do Exchange Online para Exchange Server (SL de Usuário)</w:t>
      </w:r>
      <w:bookmarkEnd w:id="1191"/>
      <w:bookmarkEnd w:id="1193"/>
    </w:p>
    <w:bookmarkEnd w:id="1192"/>
    <w:p w:rsidR="00D70D2C" w:rsidRPr="004B208C" w:rsidRDefault="00D70D2C" w:rsidP="00D70D2C">
      <w:pPr>
        <w:ind w:left="900"/>
        <w:rPr>
          <w:rFonts w:cs="Tahoma"/>
        </w:rPr>
      </w:pPr>
    </w:p>
    <w:p w:rsidR="00D70D2C" w:rsidRPr="00B77658" w:rsidRDefault="00D70D2C" w:rsidP="00E62BC4">
      <w:pPr>
        <w:pStyle w:val="ListParagraph"/>
        <w:rPr>
          <w:rFonts w:ascii="Tahoma" w:hAnsi="Tahoma" w:cs="Tahoma"/>
          <w:sz w:val="18"/>
          <w:szCs w:val="18"/>
        </w:rPr>
      </w:pPr>
      <w:r w:rsidRPr="00B77658">
        <w:rPr>
          <w:rFonts w:ascii="Tahoma" w:hAnsi="Tahoma" w:cs="Tahoma"/>
          <w:color w:val="000000"/>
          <w:sz w:val="18"/>
          <w:szCs w:val="18"/>
        </w:rPr>
        <w:t>O Arquivamento do Exchange Online para Exchange Server é um serviço online sucessor do Exchange Hosted Archive.</w:t>
      </w:r>
    </w:p>
    <w:p w:rsidR="00D70D2C" w:rsidRPr="00B77658" w:rsidRDefault="00D70D2C" w:rsidP="00E62BC4">
      <w:pPr>
        <w:pStyle w:val="ListParagraph"/>
        <w:rPr>
          <w:rFonts w:ascii="Tahoma" w:hAnsi="Tahoma" w:cs="Tahoma"/>
          <w:sz w:val="18"/>
          <w:szCs w:val="18"/>
        </w:rPr>
      </w:pPr>
    </w:p>
    <w:p w:rsidR="00D70D2C" w:rsidRPr="00B77658" w:rsidRDefault="00D70D2C" w:rsidP="00E62BC4">
      <w:pPr>
        <w:ind w:left="720"/>
        <w:rPr>
          <w:rFonts w:cs="Tahoma"/>
          <w:szCs w:val="18"/>
        </w:rPr>
      </w:pPr>
      <w:r w:rsidRPr="00B77658">
        <w:rPr>
          <w:rFonts w:cs="Tahoma"/>
          <w:color w:val="000000"/>
          <w:szCs w:val="18"/>
        </w:rPr>
        <w:t>Se você renovar a partir do Exchange Hosted Archive no Arquivamento do Exchange Online para Exchange Server e ainda não tiver migrado para o Exchange Online Archiving, seus usuários licenciados poderão continuar usando o serviço Exchange Hosted Archive sujeito aos termos do PUR de março de 2011 antes da migração para o Arquivamento do Exchange Online para Exchange Server e a expiração da sua assinatura do Arquivamento do Exchange Online para Exchange Server.</w:t>
      </w:r>
    </w:p>
    <w:p w:rsidR="00B23BE6" w:rsidRDefault="00B23BE6" w:rsidP="00E62BC4">
      <w:pPr>
        <w:ind w:left="720"/>
        <w:rPr>
          <w:rFonts w:cs="Tahoma"/>
          <w:szCs w:val="18"/>
        </w:rPr>
      </w:pPr>
    </w:p>
    <w:p w:rsidR="00B23BE6" w:rsidRPr="00B77658" w:rsidRDefault="00B23BE6" w:rsidP="0084072C">
      <w:pPr>
        <w:spacing w:after="60"/>
        <w:ind w:left="720"/>
        <w:rPr>
          <w:rFonts w:cs="Tahoma"/>
          <w:szCs w:val="18"/>
        </w:rPr>
      </w:pPr>
      <w:r w:rsidRPr="00B77658">
        <w:rPr>
          <w:rFonts w:eastAsia="Calibri" w:cs="Tahoma"/>
          <w:b/>
          <w:color w:val="000000"/>
          <w:szCs w:val="18"/>
        </w:rPr>
        <w:t>Nuvem da Comunidade do Governo (apenas para os Estados Unidos)</w:t>
      </w:r>
    </w:p>
    <w:p w:rsidR="00B23BE6" w:rsidRPr="004B208C" w:rsidRDefault="00B23BE6" w:rsidP="00E62BC4">
      <w:pPr>
        <w:ind w:left="720"/>
        <w:rPr>
          <w:rFonts w:cs="Tahoma"/>
        </w:rPr>
      </w:pPr>
      <w:r w:rsidRPr="00B77658">
        <w:rPr>
          <w:rFonts w:eastAsia="Calibri" w:cs="Tahoma"/>
          <w:color w:val="000000"/>
          <w:szCs w:val="18"/>
        </w:rPr>
        <w:t>Alguns serviços online na família de produtos do Office 365 (incluindo Arquivamento do Exchange Online para Exchange Server) são oferecidos como serviços de nuvem da comunidade do governo e serviços de nuvem da comunidade não governamental.</w:t>
      </w:r>
      <w:r w:rsidR="00172F11" w:rsidRPr="00B77658">
        <w:rPr>
          <w:rFonts w:eastAsia="Calibri" w:cs="Tahoma"/>
          <w:color w:val="000000"/>
          <w:szCs w:val="18"/>
        </w:rPr>
        <w:t xml:space="preserve"> </w:t>
      </w:r>
      <w:r w:rsidRPr="00B77658">
        <w:rPr>
          <w:rFonts w:eastAsia="Calibri" w:cs="Tahoma"/>
          <w:color w:val="000000"/>
          <w:szCs w:val="18"/>
        </w:rPr>
        <w:t>Os clientes podem ser provisionados como um ou outro, mas</w:t>
      </w:r>
      <w:r w:rsidRPr="004B208C">
        <w:rPr>
          <w:rFonts w:eastAsia="Calibri" w:cs="Tahoma"/>
          <w:color w:val="000000"/>
          <w:szCs w:val="18"/>
        </w:rPr>
        <w:t xml:space="preserve"> não com uma mistura dos dois.</w:t>
      </w:r>
      <w:r w:rsidR="00172F11">
        <w:rPr>
          <w:rFonts w:eastAsia="Calibri" w:cs="Tahoma"/>
          <w:color w:val="000000"/>
          <w:szCs w:val="18"/>
        </w:rPr>
        <w:t xml:space="preserve"> </w:t>
      </w:r>
      <w:r w:rsidRPr="004B208C">
        <w:rPr>
          <w:rFonts w:eastAsia="Calibri" w:cs="Tahoma"/>
          <w:color w:val="000000"/>
          <w:szCs w:val="18"/>
        </w:rPr>
        <w:t>Os Serviços Online projetados como nuvem de comunidade do governo não podem ser implantados no mesmo domínio que os serviços de nuvem da comunidade não governamental específicos.</w:t>
      </w:r>
      <w:r w:rsidR="00172F11">
        <w:rPr>
          <w:rFonts w:eastAsia="Calibri" w:cs="Tahoma"/>
          <w:color w:val="000000"/>
          <w:szCs w:val="18"/>
        </w:rPr>
        <w:t xml:space="preserve"> </w:t>
      </w:r>
      <w:r w:rsidRPr="004B208C">
        <w:rPr>
          <w:rFonts w:eastAsia="Calibri" w:cs="Tahoma"/>
          <w:color w:val="000000"/>
          <w:szCs w:val="18"/>
        </w:rPr>
        <w:t>Esta limitação se estende a qualquer serviço online que faça parte da família de produtos do Office 365, incluindo Exchange Online, SharePoint Online e Lync Online.</w:t>
      </w:r>
      <w:r w:rsidR="00172F11">
        <w:rPr>
          <w:rFonts w:eastAsia="Calibri" w:cs="Tahoma"/>
          <w:color w:val="000000"/>
          <w:szCs w:val="18"/>
        </w:rPr>
        <w:t xml:space="preserve"> </w:t>
      </w:r>
    </w:p>
    <w:p w:rsidR="00B23BE6" w:rsidRPr="004B208C" w:rsidRDefault="00B23BE6" w:rsidP="00E62BC4">
      <w:pPr>
        <w:ind w:left="720"/>
        <w:rPr>
          <w:rFonts w:cs="Tahoma"/>
        </w:rPr>
      </w:pPr>
    </w:p>
    <w:p w:rsidR="00B23BE6" w:rsidRPr="004B208C" w:rsidRDefault="00B23BE6" w:rsidP="00E62BC4">
      <w:pPr>
        <w:ind w:left="720"/>
        <w:rPr>
          <w:rFonts w:cs="Tahoma"/>
        </w:rPr>
      </w:pPr>
      <w:r w:rsidRPr="004B208C">
        <w:rPr>
          <w:rFonts w:eastAsia="Calibri" w:cs="Tahoma"/>
          <w:color w:val="000000"/>
          <w:szCs w:val="18"/>
        </w:rPr>
        <w:t>Assim que um serviço online é provisionado na nuvem de comunidade do governo, ele permanecerá lá pela duração da vigência da assinatura.</w:t>
      </w:r>
      <w:r w:rsidR="00172F11">
        <w:rPr>
          <w:rFonts w:eastAsia="Calibri" w:cs="Tahoma"/>
          <w:color w:val="000000"/>
          <w:szCs w:val="18"/>
        </w:rPr>
        <w:t xml:space="preserve"> </w:t>
      </w:r>
      <w:r w:rsidRPr="004B208C">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172F11">
        <w:rPr>
          <w:rFonts w:eastAsia="Calibri" w:cs="Tahoma"/>
          <w:color w:val="000000"/>
          <w:szCs w:val="18"/>
        </w:rPr>
        <w:t xml:space="preserve"> </w:t>
      </w:r>
      <w:r w:rsidRPr="004B208C">
        <w:rPr>
          <w:rFonts w:eastAsia="Calibri" w:cs="Tahoma"/>
          <w:color w:val="000000"/>
          <w:szCs w:val="18"/>
        </w:rPr>
        <w:t>Os Direitos de Uso para serviços de nuvem da comunidade do governo são equivalentes àqueles dos seus diversos locatários padrão.</w:t>
      </w:r>
      <w:r w:rsidR="00172F11">
        <w:rPr>
          <w:rFonts w:eastAsia="Calibri" w:cs="Tahoma"/>
          <w:color w:val="000000"/>
          <w:szCs w:val="18"/>
        </w:rPr>
        <w:t xml:space="preserve"> </w:t>
      </w:r>
      <w:r w:rsidRPr="004B208C">
        <w:rPr>
          <w:rFonts w:eastAsia="Calibri" w:cs="Tahoma"/>
          <w:color w:val="000000"/>
          <w:szCs w:val="18"/>
        </w:rPr>
        <w:t>Os serviços de nuvem da comunidade do governo não estão qualificados para Transições e Reserva de Licença neste momento.</w:t>
      </w:r>
    </w:p>
    <w:p w:rsidR="005D484B" w:rsidRPr="004B208C" w:rsidRDefault="005D484B" w:rsidP="003C3A72">
      <w:pPr>
        <w:rPr>
          <w:rFonts w:cs="Tahoma"/>
        </w:rPr>
      </w:pPr>
    </w:p>
    <w:p w:rsidR="005D484B" w:rsidRPr="004B208C" w:rsidRDefault="00D629A3" w:rsidP="001760D6">
      <w:pPr>
        <w:pStyle w:val="Heading2"/>
        <w:keepNext/>
        <w:ind w:left="270" w:hanging="270"/>
        <w:rPr>
          <w:rFonts w:ascii="Tahoma" w:hAnsi="Tahoma" w:cs="Tahoma"/>
        </w:rPr>
      </w:pPr>
      <w:bookmarkStart w:id="1194" w:name="_47__Exchange"/>
      <w:bookmarkStart w:id="1195" w:name="_50__Exchange"/>
      <w:bookmarkStart w:id="1196" w:name="_Toc370981423"/>
      <w:bookmarkEnd w:id="1194"/>
      <w:bookmarkEnd w:id="1195"/>
      <w:r w:rsidRPr="004B208C">
        <w:rPr>
          <w:rFonts w:ascii="Tahoma" w:hAnsi="Tahoma" w:cs="Tahoma"/>
          <w:color w:val="F26200"/>
          <w:sz w:val="20"/>
          <w:vertAlign w:val="superscript"/>
        </w:rPr>
        <w:lastRenderedPageBreak/>
        <w:t>49</w:t>
      </w:r>
      <w:r w:rsidRPr="004B208C">
        <w:rPr>
          <w:rFonts w:ascii="Tahoma" w:hAnsi="Tahoma" w:cs="Tahoma"/>
          <w:color w:val="F26200"/>
        </w:rPr>
        <w:t xml:space="preserve"> </w:t>
      </w:r>
      <w:r w:rsidRPr="004B208C">
        <w:rPr>
          <w:rFonts w:ascii="Tahoma" w:hAnsi="Tahoma" w:cs="Tahoma"/>
          <w:color w:val="F26200"/>
          <w:sz w:val="22"/>
        </w:rPr>
        <w:t>Arquivamento Online do Exchange para Exchange Server A (SL de Usuário)</w:t>
      </w:r>
      <w:bookmarkEnd w:id="1196"/>
    </w:p>
    <w:p w:rsidR="005D484B" w:rsidRPr="00E35EBB" w:rsidRDefault="005D484B" w:rsidP="001760D6">
      <w:pPr>
        <w:keepNext/>
        <w:ind w:left="900"/>
        <w:rPr>
          <w:rFonts w:cs="Tahoma"/>
          <w:sz w:val="16"/>
          <w:szCs w:val="16"/>
        </w:rPr>
      </w:pPr>
    </w:p>
    <w:p w:rsidR="005D484B" w:rsidRPr="004B208C" w:rsidRDefault="005D484B" w:rsidP="005D484B">
      <w:pPr>
        <w:ind w:left="720"/>
        <w:rPr>
          <w:rFonts w:cs="Tahoma"/>
        </w:rPr>
      </w:pPr>
      <w:r w:rsidRPr="004B208C">
        <w:rPr>
          <w:rFonts w:cs="Tahoma"/>
          <w:szCs w:val="18"/>
        </w:rPr>
        <w:t>Instituições Acadêmicas sob o Enrollment for Education Solutions e Contrato Open Value Subscription para</w:t>
      </w:r>
      <w:r w:rsidR="00B77658">
        <w:rPr>
          <w:rFonts w:cs="Tahoma"/>
          <w:szCs w:val="18"/>
        </w:rPr>
        <w:t> </w:t>
      </w:r>
      <w:r w:rsidRPr="004B208C">
        <w:rPr>
          <w:rFonts w:cs="Tahoma"/>
          <w:szCs w:val="18"/>
        </w:rPr>
        <w:t>Education Solutions, licenciadas para o Pacote de CALs Empresariais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Consulte as notas do produto do Pacote de CALs Empresariais para obter orientações sobre provisionamento.</w:t>
      </w:r>
    </w:p>
    <w:p w:rsidR="00EC1F23" w:rsidRPr="00E35EBB" w:rsidRDefault="00EC1F23" w:rsidP="0084072C">
      <w:pPr>
        <w:pStyle w:val="Heading2"/>
        <w:ind w:left="0"/>
        <w:rPr>
          <w:rFonts w:ascii="Tahoma" w:hAnsi="Tahoma" w:cs="Tahoma"/>
          <w:b w:val="0"/>
          <w:sz w:val="16"/>
          <w:szCs w:val="16"/>
        </w:rPr>
      </w:pPr>
    </w:p>
    <w:p w:rsidR="00E35EBB" w:rsidRPr="00E35EBB" w:rsidRDefault="00E35EBB" w:rsidP="00E35EBB">
      <w:pPr>
        <w:rPr>
          <w:sz w:val="16"/>
          <w:szCs w:val="16"/>
        </w:rPr>
      </w:pPr>
    </w:p>
    <w:p w:rsidR="00EC1F23" w:rsidRPr="004B208C" w:rsidRDefault="00A560B6" w:rsidP="00B77658">
      <w:pPr>
        <w:pStyle w:val="Heading2"/>
        <w:ind w:left="245" w:hanging="245"/>
        <w:rPr>
          <w:rFonts w:ascii="Tahoma" w:hAnsi="Tahoma" w:cs="Tahoma"/>
        </w:rPr>
      </w:pPr>
      <w:bookmarkStart w:id="1197" w:name="_45_Exchange_Hosted"/>
      <w:bookmarkStart w:id="1198" w:name="_51_Exchange_Hosted"/>
      <w:bookmarkStart w:id="1199" w:name="_Toc336338306"/>
      <w:bookmarkStart w:id="1200" w:name="Srv_44ExchHostArchiveandStorage"/>
      <w:bookmarkStart w:id="1201" w:name="_Toc370981424"/>
      <w:bookmarkEnd w:id="1197"/>
      <w:bookmarkEnd w:id="1198"/>
      <w:r w:rsidRPr="004B208C">
        <w:rPr>
          <w:rFonts w:ascii="Tahoma" w:hAnsi="Tahoma" w:cs="Tahoma"/>
          <w:color w:val="F26200"/>
          <w:sz w:val="20"/>
          <w:vertAlign w:val="superscript"/>
        </w:rPr>
        <w:t>50</w:t>
      </w:r>
      <w:r w:rsidRPr="004B208C">
        <w:rPr>
          <w:rFonts w:ascii="Tahoma" w:hAnsi="Tahoma" w:cs="Tahoma"/>
          <w:color w:val="F26200"/>
        </w:rPr>
        <w:t xml:space="preserve"> </w:t>
      </w:r>
      <w:r w:rsidRPr="004B208C">
        <w:rPr>
          <w:rFonts w:ascii="Tahoma" w:hAnsi="Tahoma" w:cs="Tahoma"/>
          <w:color w:val="F26200"/>
          <w:sz w:val="22"/>
        </w:rPr>
        <w:t>Exchange Hosted Archive (SL de Usuário), Exchange Hosted Archive Extra Storage (SL Complementar)</w:t>
      </w:r>
      <w:bookmarkEnd w:id="1199"/>
      <w:bookmarkEnd w:id="1201"/>
      <w:r w:rsidRPr="004B208C">
        <w:rPr>
          <w:rFonts w:ascii="Tahoma" w:hAnsi="Tahoma" w:cs="Tahoma"/>
          <w:color w:val="F26200"/>
          <w:sz w:val="22"/>
        </w:rPr>
        <w:t xml:space="preserve"> </w:t>
      </w:r>
      <w:bookmarkEnd w:id="1200"/>
    </w:p>
    <w:p w:rsidR="00EC1F23" w:rsidRPr="00E35EBB" w:rsidRDefault="00EC1F23" w:rsidP="00EC1F23">
      <w:pPr>
        <w:ind w:left="900"/>
        <w:rPr>
          <w:rFonts w:cs="Tahoma"/>
          <w:sz w:val="16"/>
          <w:szCs w:val="16"/>
        </w:rPr>
      </w:pPr>
    </w:p>
    <w:p w:rsidR="00EC1F23" w:rsidRPr="004B208C" w:rsidRDefault="00EC1F23" w:rsidP="0084072C">
      <w:pPr>
        <w:spacing w:after="60"/>
        <w:ind w:left="720"/>
        <w:rPr>
          <w:rFonts w:cs="Tahoma"/>
        </w:rPr>
      </w:pPr>
      <w:r w:rsidRPr="004B208C">
        <w:rPr>
          <w:rFonts w:eastAsia="Calibri" w:cs="Tahoma"/>
          <w:b/>
          <w:bCs/>
          <w:iCs/>
          <w:color w:val="000000"/>
        </w:rPr>
        <w:t>Outorga de Licença de 1º de maio de 2011 para Clientes do Exchange Hosted Archive</w:t>
      </w:r>
      <w:r w:rsidRPr="004B208C">
        <w:rPr>
          <w:rFonts w:eastAsia="Calibri" w:cs="Tahoma"/>
          <w:b/>
          <w:iCs/>
          <w:color w:val="000000"/>
        </w:rPr>
        <w:t xml:space="preserve"> </w:t>
      </w:r>
    </w:p>
    <w:p w:rsidR="00EC1F23" w:rsidRPr="004B208C" w:rsidRDefault="00EC1F23" w:rsidP="00E62BC4">
      <w:pPr>
        <w:ind w:left="720"/>
        <w:rPr>
          <w:rFonts w:cs="Tahoma"/>
        </w:rPr>
      </w:pPr>
      <w:r w:rsidRPr="004B208C">
        <w:rPr>
          <w:rFonts w:eastAsia="Calibri" w:cs="Tahoma"/>
          <w:iCs/>
          <w:color w:val="000000"/>
        </w:rPr>
        <w:t>Os clientes receberão uma quantidade de licenças adicional (“licenças complementares”) igual a 15% do número de licenças do Exchange Hosted Archive (EHA) que eles compraram e que estarão ativos a partir de 1º de maio de 2011 (“licenças qualificadas”).</w:t>
      </w:r>
      <w:r w:rsidR="00172F11">
        <w:rPr>
          <w:rFonts w:eastAsia="Calibri" w:cs="Tahoma"/>
          <w:iCs/>
          <w:color w:val="000000"/>
        </w:rPr>
        <w:t xml:space="preserve"> </w:t>
      </w:r>
      <w:r w:rsidRPr="004B208C">
        <w:rPr>
          <w:rFonts w:eastAsia="Calibri" w:cs="Tahoma"/>
          <w:iCs/>
          <w:color w:val="000000"/>
        </w:rPr>
        <w:t>Desde que a licenças qualificadas do cliente continuem ativas, suas licenças complementares permanecerão válidas até o final do prazo da assinatura que coincide com a</w:t>
      </w:r>
      <w:r w:rsidR="00B77658">
        <w:rPr>
          <w:rFonts w:eastAsia="Calibri" w:cs="Tahoma"/>
          <w:iCs/>
          <w:color w:val="000000"/>
        </w:rPr>
        <w:t> </w:t>
      </w:r>
      <w:r w:rsidRPr="004B208C">
        <w:rPr>
          <w:rFonts w:eastAsia="Calibri" w:cs="Tahoma"/>
          <w:iCs/>
          <w:color w:val="000000"/>
        </w:rPr>
        <w:t>migração dos clientes de EHA para um Serviço Online sucessor, conforme especificado na tabela de migração a seguir.</w:t>
      </w:r>
      <w:r w:rsidR="00172F11">
        <w:rPr>
          <w:rFonts w:eastAsia="Calibri" w:cs="Tahoma"/>
          <w:iCs/>
          <w:color w:val="000000"/>
        </w:rPr>
        <w:t xml:space="preserve"> </w:t>
      </w:r>
      <w:r w:rsidRPr="004B208C">
        <w:rPr>
          <w:rFonts w:eastAsia="Calibri" w:cs="Tahoma"/>
          <w:iCs/>
          <w:color w:val="000000"/>
        </w:rPr>
        <w:t xml:space="preserve">Os clientes que desejam continuar usando o Serviço Online sucessor depois da expiração de suas licenças complementares precisarão solicitar uma série de licenças igual ao número total de usuários que acessarão ou usarão esse Serviço Online. </w:t>
      </w:r>
    </w:p>
    <w:p w:rsidR="00BA1490" w:rsidRPr="00E35EBB" w:rsidRDefault="00BA1490" w:rsidP="0084072C">
      <w:pPr>
        <w:rPr>
          <w:rFonts w:cs="Tahoma"/>
          <w:sz w:val="14"/>
          <w:szCs w:val="14"/>
        </w:rPr>
      </w:pPr>
    </w:p>
    <w:p w:rsidR="00EA6918" w:rsidRPr="004B208C" w:rsidRDefault="00EC1F23" w:rsidP="0084072C">
      <w:pPr>
        <w:spacing w:after="60"/>
        <w:ind w:left="720"/>
        <w:rPr>
          <w:rFonts w:cs="Tahoma"/>
        </w:rPr>
      </w:pPr>
      <w:r w:rsidRPr="004B208C">
        <w:rPr>
          <w:rFonts w:eastAsia="Calibri" w:cs="Tahoma"/>
          <w:b/>
          <w:bCs/>
          <w:iCs/>
          <w:color w:val="000000"/>
        </w:rPr>
        <w:t>Outorga de Licença de Migração para Clientes do Exchange Hosted Archive</w:t>
      </w:r>
    </w:p>
    <w:p w:rsidR="00EC1F23" w:rsidRPr="004B208C" w:rsidRDefault="00EC1F23" w:rsidP="00E62BC4">
      <w:pPr>
        <w:ind w:left="720"/>
        <w:rPr>
          <w:rFonts w:cs="Tahoma"/>
        </w:rPr>
      </w:pPr>
      <w:r w:rsidRPr="004B208C">
        <w:rPr>
          <w:rFonts w:eastAsia="Calibri" w:cs="Tahoma"/>
          <w:iCs/>
          <w:color w:val="000000"/>
        </w:rPr>
        <w:t>Os clientes EHA que migram para os Serviços Online sucessores receberão um número total de licenças de</w:t>
      </w:r>
      <w:r w:rsidR="00B77658">
        <w:rPr>
          <w:rFonts w:eastAsia="Calibri" w:cs="Tahoma"/>
          <w:iCs/>
          <w:color w:val="000000"/>
        </w:rPr>
        <w:t> </w:t>
      </w:r>
      <w:r w:rsidRPr="004B208C">
        <w:rPr>
          <w:rFonts w:eastAsia="Calibri" w:cs="Tahoma"/>
          <w:iCs/>
          <w:color w:val="000000"/>
        </w:rPr>
        <w:t>reposição para os Serviços Online sucessores igual ao número total de licenças EHA qualificadas e</w:t>
      </w:r>
      <w:r w:rsidR="00B77658">
        <w:rPr>
          <w:rFonts w:eastAsia="Calibri" w:cs="Tahoma"/>
          <w:iCs/>
          <w:color w:val="000000"/>
        </w:rPr>
        <w:t> </w:t>
      </w:r>
      <w:r w:rsidRPr="004B208C">
        <w:rPr>
          <w:rFonts w:eastAsia="Calibri" w:cs="Tahoma"/>
          <w:iCs/>
          <w:color w:val="000000"/>
        </w:rPr>
        <w:t>complementares, como pode ser visto na tabela a seguir.</w:t>
      </w:r>
      <w:r w:rsidR="00172F11">
        <w:rPr>
          <w:rFonts w:eastAsia="Calibri" w:cs="Tahoma"/>
          <w:iCs/>
          <w:color w:val="000000"/>
        </w:rPr>
        <w:t xml:space="preserve"> </w:t>
      </w:r>
      <w:r w:rsidRPr="004B208C">
        <w:rPr>
          <w:rFonts w:eastAsia="Calibri" w:cs="Tahoma"/>
          <w:iCs/>
          <w:color w:val="000000"/>
        </w:rPr>
        <w:t>Essas licenças de reposição expirarão no final do</w:t>
      </w:r>
      <w:r w:rsidR="00B77658">
        <w:rPr>
          <w:rFonts w:eastAsia="Calibri" w:cs="Tahoma"/>
          <w:iCs/>
          <w:color w:val="000000"/>
        </w:rPr>
        <w:t> </w:t>
      </w:r>
      <w:r w:rsidRPr="004B208C">
        <w:rPr>
          <w:rFonts w:eastAsia="Calibri" w:cs="Tahoma"/>
          <w:iCs/>
          <w:color w:val="000000"/>
        </w:rPr>
        <w:t xml:space="preserve">período de assinatura, coincidindo com a migração do cliente de EHA para os Serviços Online sucessores. </w:t>
      </w:r>
    </w:p>
    <w:p w:rsidR="00EC1F23" w:rsidRPr="00E35EBB" w:rsidRDefault="00EC1F23" w:rsidP="00E62BC4">
      <w:pPr>
        <w:ind w:left="720"/>
        <w:rPr>
          <w:rFonts w:cs="Tahoma"/>
          <w:sz w:val="14"/>
          <w:szCs w:val="14"/>
        </w:rPr>
      </w:pPr>
    </w:p>
    <w:p w:rsidR="002512D3" w:rsidRPr="004B208C" w:rsidRDefault="00EC1F23" w:rsidP="003165D6">
      <w:pPr>
        <w:ind w:left="720"/>
        <w:rPr>
          <w:rFonts w:cs="Tahoma"/>
        </w:rPr>
      </w:pPr>
      <w:r w:rsidRPr="004B208C">
        <w:rPr>
          <w:rFonts w:eastAsia="Calibri" w:cs="Tahoma"/>
          <w:iCs/>
          <w:color w:val="000000"/>
        </w:rPr>
        <w:t>As SLs de Usuário do Exchange Online Plano 2 concedidas sob esta oferta de migração deverão ser atribuídas ao usuário para os quais as SLs de Usuário do Exchange Online Standard, Exchange Online Plano 2, BPOS Standard, Office 365 Enterprise E1, BPOS Deskless, Exchange Online Deskless ou Quiosque do Exchange Online são atribuídas.</w:t>
      </w:r>
      <w:r w:rsidR="00172F11">
        <w:rPr>
          <w:rFonts w:eastAsia="Calibri" w:cs="Tahoma"/>
          <w:iCs/>
          <w:color w:val="000000"/>
        </w:rPr>
        <w:t xml:space="preserve"> </w:t>
      </w:r>
      <w:r w:rsidRPr="004B208C">
        <w:rPr>
          <w:rFonts w:eastAsia="Calibri" w:cs="Tahoma"/>
          <w:iCs/>
          <w:color w:val="000000"/>
        </w:rPr>
        <w:t xml:space="preserve">Se a SL de Usuário correspondente for reatribuída a um novo usuário, então o Exchange Online Plano 2 também deverá ser realocada para o mesmo novo usuário. </w:t>
      </w:r>
    </w:p>
    <w:p w:rsidR="00EC1F23" w:rsidRPr="00E35EBB" w:rsidRDefault="00EC1F23" w:rsidP="00EC1F23">
      <w:pPr>
        <w:rPr>
          <w:rFonts w:cs="Tahoma"/>
          <w:sz w:val="14"/>
          <w:szCs w:val="1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4B208C" w:rsidTr="00C066F9">
        <w:trPr>
          <w:jc w:val="center"/>
        </w:trPr>
        <w:tc>
          <w:tcPr>
            <w:tcW w:w="7740" w:type="dxa"/>
            <w:gridSpan w:val="2"/>
            <w:shd w:val="clear" w:color="auto" w:fill="FABF8F"/>
          </w:tcPr>
          <w:p w:rsidR="00EC1F23" w:rsidRPr="004B208C" w:rsidRDefault="00EC1F23" w:rsidP="00022FBE">
            <w:pPr>
              <w:jc w:val="center"/>
              <w:rPr>
                <w:rFonts w:eastAsia="Calibri" w:cs="Tahoma"/>
                <w:b/>
                <w:iCs/>
                <w:color w:val="000000"/>
              </w:rPr>
            </w:pPr>
            <w:r w:rsidRPr="004B208C">
              <w:rPr>
                <w:rFonts w:eastAsia="Calibri" w:cs="Tahoma"/>
                <w:b/>
                <w:iCs/>
                <w:color w:val="000000"/>
              </w:rPr>
              <w:t>Outorga da Licença de Migração</w:t>
            </w:r>
          </w:p>
        </w:tc>
      </w:tr>
      <w:tr w:rsidR="00EC1F23" w:rsidRPr="004B208C" w:rsidTr="00C066F9">
        <w:trPr>
          <w:jc w:val="center"/>
        </w:trPr>
        <w:tc>
          <w:tcPr>
            <w:tcW w:w="3960" w:type="dxa"/>
            <w:shd w:val="clear" w:color="auto" w:fill="auto"/>
          </w:tcPr>
          <w:p w:rsidR="00EC1F23" w:rsidRPr="004B208C" w:rsidRDefault="00EC1F23" w:rsidP="00022FBE">
            <w:pPr>
              <w:jc w:val="center"/>
              <w:rPr>
                <w:rFonts w:eastAsia="Calibri" w:cs="Tahoma"/>
                <w:iCs/>
                <w:color w:val="000000"/>
              </w:rPr>
            </w:pPr>
            <w:r w:rsidRPr="004B208C">
              <w:rPr>
                <w:rFonts w:eastAsia="Calibri" w:cs="Tahoma"/>
                <w:iCs/>
                <w:color w:val="000000"/>
              </w:rPr>
              <w:t>Posição da licença qualificada</w:t>
            </w:r>
          </w:p>
        </w:tc>
        <w:tc>
          <w:tcPr>
            <w:tcW w:w="3780" w:type="dxa"/>
            <w:shd w:val="clear" w:color="auto" w:fill="auto"/>
          </w:tcPr>
          <w:p w:rsidR="00EC1F23" w:rsidRPr="004B208C" w:rsidRDefault="00EC1F23" w:rsidP="00022FBE">
            <w:pPr>
              <w:jc w:val="center"/>
              <w:rPr>
                <w:rFonts w:eastAsia="Calibri" w:cs="Tahoma"/>
                <w:iCs/>
                <w:color w:val="000000"/>
              </w:rPr>
            </w:pPr>
            <w:r w:rsidRPr="004B208C">
              <w:rPr>
                <w:rFonts w:eastAsia="Calibri" w:cs="Tahoma"/>
                <w:iCs/>
                <w:color w:val="000000"/>
              </w:rPr>
              <w:t>Outorga de Licença</w:t>
            </w:r>
          </w:p>
        </w:tc>
      </w:tr>
      <w:tr w:rsidR="00EC1F23" w:rsidRPr="004B208C" w:rsidTr="00C066F9">
        <w:trPr>
          <w:jc w:val="center"/>
        </w:trPr>
        <w:tc>
          <w:tcPr>
            <w:tcW w:w="3960" w:type="dxa"/>
            <w:shd w:val="clear" w:color="auto" w:fill="auto"/>
          </w:tcPr>
          <w:p w:rsidR="00EE53FF" w:rsidRPr="004B208C" w:rsidRDefault="00EE53FF" w:rsidP="001051D1">
            <w:pPr>
              <w:spacing w:before="60" w:after="60"/>
              <w:ind w:left="158" w:right="346"/>
              <w:rPr>
                <w:rFonts w:cs="Tahoma"/>
              </w:rPr>
            </w:pPr>
            <w:r w:rsidRPr="004B208C">
              <w:rPr>
                <w:rFonts w:eastAsia="Calibri" w:cs="Tahoma"/>
                <w:iCs/>
                <w:color w:val="000000"/>
              </w:rPr>
              <w:t>SL de Usuário EHA (usada junto com uma CAL do Exchange na instalação)</w:t>
            </w:r>
          </w:p>
          <w:p w:rsidR="00EC1F23" w:rsidRPr="004B208C" w:rsidRDefault="00EC1F23" w:rsidP="001051D1">
            <w:pPr>
              <w:spacing w:before="60" w:after="60"/>
              <w:ind w:left="158" w:right="346"/>
              <w:rPr>
                <w:rFonts w:cs="Tahoma"/>
              </w:rPr>
            </w:pPr>
            <w:r w:rsidRPr="004B208C">
              <w:rPr>
                <w:rFonts w:eastAsia="Calibri" w:cs="Tahoma"/>
                <w:iCs/>
                <w:color w:val="000000"/>
              </w:rPr>
              <w:t>A SL de Usuário do EHA (usada com SLs de Usuário para Exchange Online Standard, Exchange Online Plano</w:t>
            </w:r>
          </w:p>
          <w:p w:rsidR="00EC1F23" w:rsidRPr="004B208C" w:rsidRDefault="00EC1F23" w:rsidP="001051D1">
            <w:pPr>
              <w:spacing w:before="60" w:after="60"/>
              <w:ind w:left="158" w:right="346"/>
              <w:rPr>
                <w:rFonts w:eastAsia="Calibri" w:cs="Tahoma"/>
                <w:iCs/>
                <w:color w:val="000000"/>
              </w:rPr>
            </w:pPr>
            <w:r w:rsidRPr="004B208C">
              <w:rPr>
                <w:rFonts w:eastAsia="Calibri" w:cs="Tahoma"/>
                <w:iCs/>
                <w:color w:val="000000"/>
              </w:rPr>
              <w:t>2, BPOS Standard, Office 365 E1, BPOS Deskless, Exchange Online Deskless ou Quiosque do Exchange Online)</w:t>
            </w:r>
          </w:p>
        </w:tc>
        <w:tc>
          <w:tcPr>
            <w:tcW w:w="3780" w:type="dxa"/>
            <w:shd w:val="clear" w:color="auto" w:fill="auto"/>
          </w:tcPr>
          <w:p w:rsidR="00EC1F23" w:rsidRPr="004B208C" w:rsidRDefault="00EC1F23" w:rsidP="00A1385C">
            <w:pPr>
              <w:numPr>
                <w:ilvl w:val="0"/>
                <w:numId w:val="45"/>
              </w:numPr>
              <w:spacing w:before="60" w:after="60"/>
              <w:ind w:right="342"/>
              <w:rPr>
                <w:rFonts w:eastAsia="Calibri" w:cs="Tahoma"/>
                <w:iCs/>
                <w:color w:val="000000"/>
              </w:rPr>
            </w:pPr>
            <w:r w:rsidRPr="004B208C">
              <w:rPr>
                <w:rFonts w:eastAsia="Calibri" w:cs="Tahoma"/>
                <w:iCs/>
                <w:color w:val="000000"/>
              </w:rPr>
              <w:t>SL de Usuário do Exchange Online Plano 2</w:t>
            </w:r>
          </w:p>
        </w:tc>
      </w:tr>
    </w:tbl>
    <w:p w:rsidR="00D57009" w:rsidRPr="00E35EBB" w:rsidRDefault="00D57009">
      <w:pPr>
        <w:rPr>
          <w:rFonts w:cs="Tahoma"/>
          <w:sz w:val="14"/>
          <w:szCs w:val="14"/>
        </w:rPr>
      </w:pPr>
    </w:p>
    <w:p w:rsidR="00DD39C7" w:rsidRPr="004B208C" w:rsidRDefault="00DD39C7" w:rsidP="0084072C">
      <w:pPr>
        <w:spacing w:after="60"/>
        <w:ind w:left="720"/>
        <w:rPr>
          <w:rFonts w:cs="Tahoma"/>
        </w:rPr>
      </w:pPr>
      <w:r w:rsidRPr="004B208C">
        <w:rPr>
          <w:rFonts w:cs="Tahoma"/>
          <w:b/>
          <w:color w:val="000000"/>
        </w:rPr>
        <w:t>Uso Contínuo do Exchange Hosted Archive (EHA) com Assinaturas Ativas para Business Productivity Online Subscription (BPOS) e Exchange Online Standard</w:t>
      </w:r>
    </w:p>
    <w:p w:rsidR="00DD39C7" w:rsidRDefault="00DD39C7" w:rsidP="00DD39C7">
      <w:pPr>
        <w:ind w:left="720"/>
        <w:rPr>
          <w:rFonts w:cs="Tahoma"/>
          <w:iCs/>
          <w:color w:val="000000"/>
          <w:spacing w:val="-2"/>
        </w:rPr>
      </w:pPr>
      <w:r w:rsidRPr="00E14927">
        <w:rPr>
          <w:rFonts w:cs="Tahoma"/>
          <w:iCs/>
          <w:color w:val="000000"/>
          <w:spacing w:val="-2"/>
        </w:rPr>
        <w:t>Os clientes com assinaturas EHA que estão expirando que ainda não foram migrados para o Office 365 e</w:t>
      </w:r>
      <w:r w:rsidR="00B77658" w:rsidRPr="00E14927">
        <w:rPr>
          <w:rFonts w:cs="Tahoma"/>
          <w:iCs/>
          <w:color w:val="000000"/>
          <w:spacing w:val="-2"/>
        </w:rPr>
        <w:t> </w:t>
      </w:r>
      <w:r w:rsidRPr="00E14927">
        <w:rPr>
          <w:rFonts w:cs="Tahoma"/>
          <w:iCs/>
          <w:color w:val="000000"/>
          <w:spacing w:val="-2"/>
        </w:rPr>
        <w:t>que estão atualmente implementados no BPOS ou Exchange Online Standard podem continuar a usar o</w:t>
      </w:r>
      <w:r w:rsidR="00B77658" w:rsidRPr="00E14927">
        <w:rPr>
          <w:rFonts w:cs="Tahoma"/>
          <w:iCs/>
          <w:color w:val="000000"/>
          <w:spacing w:val="-2"/>
        </w:rPr>
        <w:t> </w:t>
      </w:r>
      <w:r w:rsidRPr="00E14927">
        <w:rPr>
          <w:rFonts w:cs="Tahoma"/>
          <w:iCs/>
          <w:color w:val="000000"/>
          <w:spacing w:val="-2"/>
        </w:rPr>
        <w:t>EHA depois da expiração de sua assinatura e até (i) sua migração para o Office 365 ou (ii) expiração de sua assinatura do BPOS ou Exchange Online Standard, o que acontecer primeiro.</w:t>
      </w:r>
      <w:r w:rsidR="00172F11" w:rsidRPr="00E14927">
        <w:rPr>
          <w:rFonts w:cs="Tahoma"/>
          <w:iCs/>
          <w:color w:val="000000"/>
          <w:spacing w:val="-2"/>
        </w:rPr>
        <w:t xml:space="preserve"> </w:t>
      </w:r>
      <w:r w:rsidRPr="00E14927">
        <w:rPr>
          <w:rFonts w:cs="Tahoma"/>
          <w:iCs/>
          <w:color w:val="000000"/>
          <w:spacing w:val="-2"/>
        </w:rPr>
        <w:t xml:space="preserve">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w:t>
      </w:r>
      <w:r w:rsidRPr="00E14927">
        <w:rPr>
          <w:rFonts w:cs="Tahoma"/>
          <w:iCs/>
          <w:color w:val="000000"/>
          <w:spacing w:val="-2"/>
        </w:rPr>
        <w:lastRenderedPageBreak/>
        <w:t>Exchange Online Standard foram atribuídas.</w:t>
      </w:r>
      <w:r w:rsidR="00172F11" w:rsidRPr="00E14927">
        <w:rPr>
          <w:rFonts w:cs="Tahoma"/>
          <w:iCs/>
          <w:color w:val="000000"/>
          <w:spacing w:val="-2"/>
        </w:rPr>
        <w:t xml:space="preserve"> </w:t>
      </w:r>
      <w:r w:rsidRPr="00E14927">
        <w:rPr>
          <w:rFonts w:cs="Tahoma"/>
          <w:iCs/>
          <w:color w:val="000000"/>
          <w:spacing w:val="-2"/>
        </w:rPr>
        <w:t>O EHA é licenciado no estado em que se encontra sem nenhum tipo de garantia.</w:t>
      </w:r>
    </w:p>
    <w:p w:rsidR="00054D3B" w:rsidRDefault="00054D3B" w:rsidP="00DD39C7">
      <w:pPr>
        <w:ind w:left="720"/>
        <w:rPr>
          <w:rFonts w:cs="Tahoma"/>
          <w:iCs/>
          <w:color w:val="000000"/>
          <w:spacing w:val="-2"/>
        </w:rPr>
      </w:pPr>
    </w:p>
    <w:p w:rsidR="00054D3B" w:rsidRPr="00E14927" w:rsidRDefault="00054D3B" w:rsidP="00DD39C7">
      <w:pPr>
        <w:ind w:left="720"/>
        <w:rPr>
          <w:rFonts w:cs="Tahoma"/>
          <w:spacing w:val="-2"/>
        </w:rPr>
      </w:pPr>
    </w:p>
    <w:p w:rsidR="00827D38" w:rsidRPr="004B208C" w:rsidRDefault="00A560B6" w:rsidP="00B52F10">
      <w:pPr>
        <w:pStyle w:val="Heading2"/>
        <w:ind w:left="0"/>
        <w:rPr>
          <w:rFonts w:ascii="Tahoma" w:hAnsi="Tahoma" w:cs="Tahoma"/>
        </w:rPr>
      </w:pPr>
      <w:bookmarkStart w:id="1202" w:name="_46_Exchange_Hosted"/>
      <w:bookmarkStart w:id="1203" w:name="_52_Exchange_Hosted"/>
      <w:bookmarkStart w:id="1204" w:name="_Toc336338307"/>
      <w:bookmarkStart w:id="1205" w:name="Srv_39ExchangeOnDeskWork"/>
      <w:bookmarkStart w:id="1206" w:name="_Toc370981425"/>
      <w:bookmarkEnd w:id="1202"/>
      <w:bookmarkEnd w:id="1203"/>
      <w:r w:rsidRPr="004B208C">
        <w:rPr>
          <w:rFonts w:ascii="Tahoma" w:hAnsi="Tahoma" w:cs="Tahoma"/>
          <w:color w:val="E25B00"/>
          <w:sz w:val="22"/>
          <w:szCs w:val="22"/>
          <w:vertAlign w:val="superscript"/>
        </w:rPr>
        <w:t>51</w:t>
      </w:r>
      <w:r w:rsidRPr="004B208C">
        <w:rPr>
          <w:rFonts w:ascii="Tahoma" w:hAnsi="Tahoma" w:cs="Tahoma"/>
          <w:sz w:val="22"/>
          <w:szCs w:val="22"/>
        </w:rPr>
        <w:t xml:space="preserve"> </w:t>
      </w:r>
      <w:r w:rsidRPr="004B208C">
        <w:rPr>
          <w:rFonts w:ascii="Tahoma" w:hAnsi="Tahoma" w:cs="Tahoma"/>
          <w:color w:val="F66400"/>
          <w:sz w:val="22"/>
          <w:szCs w:val="22"/>
        </w:rPr>
        <w:t>Exchange Hosted Encryption (SL de Usuário)</w:t>
      </w:r>
      <w:bookmarkEnd w:id="1204"/>
      <w:bookmarkEnd w:id="1206"/>
    </w:p>
    <w:p w:rsidR="00827D38" w:rsidRPr="004B208C" w:rsidRDefault="00827D38" w:rsidP="00827D38">
      <w:pPr>
        <w:ind w:left="900"/>
        <w:rPr>
          <w:rFonts w:cs="Tahoma"/>
        </w:rPr>
      </w:pPr>
    </w:p>
    <w:p w:rsidR="00827D38" w:rsidRPr="004B208C" w:rsidRDefault="00827D38" w:rsidP="00E62BC4">
      <w:pPr>
        <w:ind w:left="720"/>
        <w:rPr>
          <w:rFonts w:cs="Tahoma"/>
        </w:rPr>
      </w:pPr>
      <w:r w:rsidRPr="004B208C">
        <w:rPr>
          <w:rFonts w:cs="Tahoma"/>
        </w:rPr>
        <w:t>Os clientes deverão usar o mesmo registro de contrato Select, registro de contrato Enterprise ou contrato Open Value ativo para fazer pedidos subsequentes ao pedido inicial.</w:t>
      </w:r>
    </w:p>
    <w:p w:rsidR="00827D38" w:rsidRPr="004B208C" w:rsidRDefault="00827D38" w:rsidP="00E62BC4">
      <w:pPr>
        <w:ind w:left="720"/>
        <w:rPr>
          <w:rFonts w:cs="Tahoma"/>
        </w:rPr>
      </w:pPr>
    </w:p>
    <w:p w:rsidR="00023FE7" w:rsidRPr="004B208C" w:rsidRDefault="00827D38" w:rsidP="00B77658">
      <w:pPr>
        <w:ind w:left="720"/>
        <w:jc w:val="both"/>
        <w:rPr>
          <w:rFonts w:cs="Tahoma"/>
        </w:rPr>
      </w:pPr>
      <w:r w:rsidRPr="004B208C">
        <w:rPr>
          <w:rFonts w:cs="Tahoma"/>
        </w:rPr>
        <w:t xml:space="preserve">Consulte a </w:t>
      </w:r>
      <w:hyperlink w:anchor="_Section_10_–" w:history="1">
        <w:r w:rsidRPr="004B208C">
          <w:rPr>
            <w:rStyle w:val="Hyperlink"/>
            <w:rFonts w:cs="Tahoma"/>
          </w:rPr>
          <w:t>Seção 10</w:t>
        </w:r>
      </w:hyperlink>
      <w:r w:rsidRPr="004B208C">
        <w:rPr>
          <w:rFonts w:cs="Tahoma"/>
        </w:rPr>
        <w:t xml:space="preserve"> para obter informações sobre os termos de pagamento e preços dos serviços online.</w:t>
      </w:r>
    </w:p>
    <w:p w:rsidR="00827D38" w:rsidRPr="004B208C" w:rsidRDefault="00827D38" w:rsidP="00827D38">
      <w:pPr>
        <w:ind w:left="900"/>
        <w:rPr>
          <w:rFonts w:cs="Tahoma"/>
        </w:rPr>
      </w:pPr>
    </w:p>
    <w:p w:rsidR="00827D38" w:rsidRPr="004B208C" w:rsidRDefault="00827D38" w:rsidP="00827D38">
      <w:pPr>
        <w:ind w:left="900"/>
        <w:rPr>
          <w:rFonts w:cs="Tahoma"/>
        </w:rPr>
      </w:pPr>
    </w:p>
    <w:p w:rsidR="00023FE7" w:rsidRPr="004B208C" w:rsidRDefault="00A560B6">
      <w:pPr>
        <w:pStyle w:val="Heading3"/>
        <w:rPr>
          <w:rFonts w:ascii="Tahoma" w:hAnsi="Tahoma" w:cs="Tahoma"/>
        </w:rPr>
      </w:pPr>
      <w:bookmarkStart w:id="1207" w:name="_50_Exchange_Online"/>
      <w:bookmarkStart w:id="1208" w:name="_53_Exchange_Online"/>
      <w:bookmarkStart w:id="1209" w:name="_Toc336338308"/>
      <w:bookmarkStart w:id="1210" w:name="Srv_40ExchangeOnDeskWork"/>
      <w:bookmarkStart w:id="1211" w:name="Srv_45ExchangeOnDeskWork"/>
      <w:bookmarkStart w:id="1212" w:name="_Toc370981426"/>
      <w:bookmarkEnd w:id="1207"/>
      <w:bookmarkEnd w:id="1208"/>
      <w:r w:rsidRPr="004B208C">
        <w:rPr>
          <w:rFonts w:ascii="Tahoma" w:hAnsi="Tahoma" w:cs="Tahoma"/>
          <w:caps/>
          <w:color w:val="F66400"/>
          <w:sz w:val="22"/>
          <w:vertAlign w:val="superscript"/>
        </w:rPr>
        <w:t>52</w:t>
      </w:r>
      <w:r w:rsidRPr="004B208C">
        <w:rPr>
          <w:rFonts w:ascii="Tahoma" w:hAnsi="Tahoma" w:cs="Tahoma"/>
          <w:color w:val="F66400"/>
          <w:sz w:val="22"/>
        </w:rPr>
        <w:t xml:space="preserve"> Exchange Online Kiosk (SL de Usuário)</w:t>
      </w:r>
      <w:bookmarkEnd w:id="1209"/>
      <w:bookmarkEnd w:id="1212"/>
    </w:p>
    <w:bookmarkEnd w:id="1205"/>
    <w:bookmarkEnd w:id="1210"/>
    <w:bookmarkEnd w:id="1211"/>
    <w:p w:rsidR="00023FE7" w:rsidRPr="00B77658" w:rsidRDefault="00023FE7">
      <w:pPr>
        <w:pStyle w:val="EndnoteText"/>
        <w:rPr>
          <w:rFonts w:ascii="Tahoma" w:hAnsi="Tahoma" w:cs="Tahoma"/>
          <w:sz w:val="18"/>
          <w:szCs w:val="18"/>
        </w:rPr>
      </w:pPr>
    </w:p>
    <w:p w:rsidR="00040ADC" w:rsidRPr="004B208C" w:rsidRDefault="00040ADC" w:rsidP="00E62BC4">
      <w:pPr>
        <w:ind w:left="720"/>
        <w:rPr>
          <w:rFonts w:cs="Tahoma"/>
        </w:rPr>
      </w:pPr>
      <w:r w:rsidRPr="004B208C">
        <w:rPr>
          <w:rFonts w:cs="Tahoma"/>
          <w:color w:val="000000"/>
          <w:szCs w:val="18"/>
        </w:rPr>
        <w:t>Não obstante quaisquer disposições em contrário nos contratos de licença dos clientes, entre os usuários qualificados não estão incluídos os usuários licenciados para o Quiosque do Exchange Online.</w:t>
      </w:r>
    </w:p>
    <w:p w:rsidR="00040ADC" w:rsidRPr="004B208C" w:rsidRDefault="00040ADC" w:rsidP="00E62BC4">
      <w:pPr>
        <w:ind w:left="720"/>
        <w:rPr>
          <w:rFonts w:cs="Tahoma"/>
        </w:rPr>
      </w:pPr>
    </w:p>
    <w:p w:rsidR="00040ADC" w:rsidRPr="004B208C" w:rsidRDefault="00040ADC" w:rsidP="00E62BC4">
      <w:pPr>
        <w:ind w:left="720"/>
        <w:rPr>
          <w:rFonts w:cs="Tahoma"/>
        </w:rPr>
      </w:pPr>
      <w:r w:rsidRPr="004B208C">
        <w:rPr>
          <w:rFonts w:cs="Tahoma"/>
          <w:color w:val="000000"/>
          <w:szCs w:val="18"/>
        </w:rPr>
        <w:t>O Quiosque do Exchange Online era conhecido anteriormente como Exchange Online Deskless Worker.</w:t>
      </w:r>
    </w:p>
    <w:p w:rsidR="00352135" w:rsidRPr="004B208C" w:rsidRDefault="00352135" w:rsidP="00E62BC4">
      <w:pPr>
        <w:ind w:left="720"/>
        <w:rPr>
          <w:rFonts w:cs="Tahoma"/>
        </w:rPr>
      </w:pPr>
    </w:p>
    <w:p w:rsidR="00702931" w:rsidRPr="004B208C" w:rsidRDefault="00702931" w:rsidP="00AF3B19">
      <w:pPr>
        <w:spacing w:after="60"/>
        <w:ind w:left="720"/>
        <w:rPr>
          <w:rFonts w:cs="Tahoma"/>
        </w:rPr>
      </w:pPr>
      <w:r w:rsidRPr="004B208C">
        <w:rPr>
          <w:rFonts w:eastAsia="Calibri" w:cs="Tahoma"/>
          <w:b/>
          <w:color w:val="000000"/>
          <w:szCs w:val="18"/>
        </w:rPr>
        <w:t>Nuvem da Comunidade do Governo (apenas para os Estados Unidos)</w:t>
      </w:r>
    </w:p>
    <w:p w:rsidR="00702931" w:rsidRPr="004B208C" w:rsidRDefault="00702931" w:rsidP="00E62BC4">
      <w:pPr>
        <w:ind w:left="720"/>
        <w:rPr>
          <w:rFonts w:cs="Tahoma"/>
        </w:rPr>
      </w:pPr>
      <w:r w:rsidRPr="004B208C">
        <w:rPr>
          <w:rFonts w:eastAsia="Calibri" w:cs="Tahoma"/>
          <w:color w:val="000000"/>
          <w:szCs w:val="18"/>
        </w:rPr>
        <w:t>Alguns serviços online na família de produtos do Office 365 (incluindo Quiosque do Exchange Online) são oferecidos como serviços de nuvem da comunidade do governo e serviços de nuvem da comunidade não governamental.</w:t>
      </w:r>
      <w:r w:rsidR="00172F11">
        <w:rPr>
          <w:rFonts w:eastAsia="Calibri" w:cs="Tahoma"/>
          <w:color w:val="000000"/>
          <w:szCs w:val="18"/>
        </w:rPr>
        <w:t xml:space="preserve"> </w:t>
      </w:r>
      <w:r w:rsidRPr="004B208C">
        <w:rPr>
          <w:rFonts w:eastAsia="Calibri" w:cs="Tahoma"/>
          <w:color w:val="000000"/>
          <w:szCs w:val="18"/>
        </w:rPr>
        <w:t>Os clientes podem ser provisionados como um ou outro, mas não com uma mistura dos dois.</w:t>
      </w:r>
      <w:r w:rsidR="00172F11">
        <w:rPr>
          <w:rFonts w:eastAsia="Calibri" w:cs="Tahoma"/>
          <w:color w:val="000000"/>
          <w:szCs w:val="18"/>
        </w:rPr>
        <w:t xml:space="preserve"> </w:t>
      </w:r>
      <w:r w:rsidRPr="004B208C">
        <w:rPr>
          <w:rFonts w:eastAsia="Calibri" w:cs="Tahoma"/>
          <w:color w:val="000000"/>
          <w:szCs w:val="18"/>
        </w:rPr>
        <w:t>Os Serviços Online projetados como nuvem de comunidade do governo não podem ser implantados no mesmo domínio que os serviços de nuvem da comunidade não governamental específicos.</w:t>
      </w:r>
      <w:r w:rsidR="00172F11">
        <w:rPr>
          <w:rFonts w:eastAsia="Calibri" w:cs="Tahoma"/>
          <w:color w:val="000000"/>
          <w:szCs w:val="18"/>
        </w:rPr>
        <w:t xml:space="preserve"> </w:t>
      </w:r>
      <w:r w:rsidRPr="004B208C">
        <w:rPr>
          <w:rFonts w:eastAsia="Calibri" w:cs="Tahoma"/>
          <w:color w:val="000000"/>
          <w:szCs w:val="18"/>
        </w:rPr>
        <w:t>Esta limitação se estende a qualquer serviço online que faça parte da família de produtos do Office 365, incluindo Exchange Online, SharePoint Online e Lync Online.</w:t>
      </w:r>
      <w:r w:rsidR="00172F11">
        <w:rPr>
          <w:rFonts w:eastAsia="Calibri" w:cs="Tahoma"/>
          <w:color w:val="000000"/>
          <w:szCs w:val="18"/>
        </w:rPr>
        <w:t xml:space="preserve"> </w:t>
      </w:r>
    </w:p>
    <w:p w:rsidR="00702931" w:rsidRPr="004B208C" w:rsidRDefault="00702931" w:rsidP="00E62BC4">
      <w:pPr>
        <w:ind w:left="720"/>
        <w:rPr>
          <w:rFonts w:cs="Tahoma"/>
        </w:rPr>
      </w:pPr>
    </w:p>
    <w:p w:rsidR="00702931" w:rsidRPr="004B208C" w:rsidRDefault="00702931" w:rsidP="00E62BC4">
      <w:pPr>
        <w:ind w:left="720"/>
        <w:rPr>
          <w:rFonts w:cs="Tahoma"/>
        </w:rPr>
      </w:pPr>
      <w:r w:rsidRPr="004B208C">
        <w:rPr>
          <w:rFonts w:eastAsia="Calibri" w:cs="Tahoma"/>
          <w:color w:val="000000"/>
          <w:szCs w:val="18"/>
        </w:rPr>
        <w:t>Assim que um serviço online é provisionado na nuvem de comunidade do governo, ele permanecerá lá pela duração da vigência da assinatura.</w:t>
      </w:r>
      <w:r w:rsidR="00172F11">
        <w:rPr>
          <w:rFonts w:eastAsia="Calibri" w:cs="Tahoma"/>
          <w:color w:val="000000"/>
          <w:szCs w:val="18"/>
        </w:rPr>
        <w:t xml:space="preserve"> </w:t>
      </w:r>
      <w:r w:rsidRPr="004B208C">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172F11">
        <w:rPr>
          <w:rFonts w:eastAsia="Calibri" w:cs="Tahoma"/>
          <w:color w:val="000000"/>
          <w:szCs w:val="18"/>
        </w:rPr>
        <w:t xml:space="preserve"> </w:t>
      </w:r>
      <w:r w:rsidRPr="004B208C">
        <w:rPr>
          <w:rFonts w:eastAsia="Calibri" w:cs="Tahoma"/>
          <w:color w:val="000000"/>
          <w:szCs w:val="18"/>
        </w:rPr>
        <w:t>Os Direitos de Uso para serviços de nuvem da comunidade do governo são equivalentes àqueles dos seus diversos locatários padrão.</w:t>
      </w:r>
      <w:r w:rsidR="00172F11">
        <w:rPr>
          <w:rFonts w:eastAsia="Calibri" w:cs="Tahoma"/>
          <w:color w:val="000000"/>
          <w:szCs w:val="18"/>
        </w:rPr>
        <w:t xml:space="preserve"> </w:t>
      </w:r>
    </w:p>
    <w:p w:rsidR="00C066F9" w:rsidRDefault="00C066F9" w:rsidP="00C066F9">
      <w:pPr>
        <w:ind w:left="720"/>
        <w:rPr>
          <w:rFonts w:cs="Tahoma"/>
        </w:rPr>
      </w:pPr>
      <w:bookmarkStart w:id="1213" w:name="Srv_41ExchangeSvr07EntCAL"/>
    </w:p>
    <w:p w:rsidR="00054D3B" w:rsidRPr="004B208C" w:rsidRDefault="00054D3B" w:rsidP="00C066F9">
      <w:pPr>
        <w:ind w:left="720"/>
        <w:rPr>
          <w:rFonts w:cs="Tahoma"/>
        </w:rPr>
      </w:pPr>
    </w:p>
    <w:p w:rsidR="00371299" w:rsidRPr="004B208C" w:rsidRDefault="00A560B6" w:rsidP="00B17EFB">
      <w:pPr>
        <w:pStyle w:val="Heading3"/>
        <w:rPr>
          <w:rFonts w:ascii="Tahoma" w:hAnsi="Tahoma" w:cs="Tahoma"/>
        </w:rPr>
      </w:pPr>
      <w:bookmarkStart w:id="1214" w:name="_48_Exchange_Online"/>
      <w:bookmarkStart w:id="1215" w:name="_54_Exchange_Online"/>
      <w:bookmarkStart w:id="1216" w:name="_55Exchange_Online_Plan"/>
      <w:bookmarkStart w:id="1217" w:name="_Toc336338309"/>
      <w:bookmarkStart w:id="1218" w:name="Srv_46ExhangeOnlinePlan1"/>
      <w:bookmarkStart w:id="1219" w:name="Srv_42ExchangeSvr2010EntCAL"/>
      <w:bookmarkStart w:id="1220" w:name="Srv_47ExchangeSvr2010EntCAL"/>
      <w:bookmarkStart w:id="1221" w:name="_Toc370981427"/>
      <w:bookmarkEnd w:id="1214"/>
      <w:bookmarkEnd w:id="1215"/>
      <w:bookmarkEnd w:id="1216"/>
      <w:r w:rsidRPr="004B208C">
        <w:rPr>
          <w:rFonts w:ascii="Tahoma" w:hAnsi="Tahoma" w:cs="Tahoma"/>
          <w:caps/>
          <w:color w:val="F66400"/>
          <w:sz w:val="22"/>
          <w:szCs w:val="22"/>
          <w:vertAlign w:val="superscript"/>
        </w:rPr>
        <w:t xml:space="preserve">53 </w:t>
      </w:r>
      <w:r w:rsidRPr="004B208C">
        <w:rPr>
          <w:rFonts w:ascii="Tahoma" w:hAnsi="Tahoma" w:cs="Tahoma"/>
          <w:color w:val="F66400"/>
          <w:sz w:val="22"/>
          <w:szCs w:val="22"/>
        </w:rPr>
        <w:t>Exchange Online Plano 1</w:t>
      </w:r>
      <w:bookmarkEnd w:id="1217"/>
      <w:bookmarkEnd w:id="1221"/>
    </w:p>
    <w:bookmarkEnd w:id="1218"/>
    <w:p w:rsidR="00371299" w:rsidRPr="004B208C" w:rsidRDefault="00371299" w:rsidP="00371299">
      <w:pPr>
        <w:outlineLvl w:val="2"/>
        <w:rPr>
          <w:rFonts w:cs="Tahoma"/>
        </w:rPr>
      </w:pPr>
    </w:p>
    <w:p w:rsidR="00371299" w:rsidRPr="004B208C" w:rsidRDefault="00371299" w:rsidP="00371299">
      <w:pPr>
        <w:ind w:left="720"/>
        <w:contextualSpacing/>
        <w:rPr>
          <w:rFonts w:cs="Tahoma"/>
        </w:rPr>
      </w:pPr>
      <w:r w:rsidRPr="004B208C">
        <w:rPr>
          <w:rFonts w:cs="Tahoma"/>
          <w:szCs w:val="20"/>
        </w:rPr>
        <w:t>O Exchange Online Plano 1 era conhecido anteriormente como Exchange Online Standard.</w:t>
      </w:r>
    </w:p>
    <w:p w:rsidR="00A61080" w:rsidRPr="004B208C" w:rsidRDefault="00A61080" w:rsidP="00C066F9">
      <w:pPr>
        <w:ind w:left="720"/>
        <w:contextualSpacing/>
        <w:rPr>
          <w:rFonts w:cs="Tahoma"/>
        </w:rPr>
      </w:pPr>
    </w:p>
    <w:p w:rsidR="00A61080" w:rsidRPr="004B208C" w:rsidRDefault="00A61080" w:rsidP="00A61080">
      <w:pPr>
        <w:ind w:left="720"/>
        <w:rPr>
          <w:rFonts w:cs="Tahoma"/>
        </w:rPr>
      </w:pPr>
      <w:r w:rsidRPr="004B208C">
        <w:rPr>
          <w:rFonts w:eastAsia="Calibri" w:cs="Tahoma"/>
          <w:color w:val="000000"/>
          <w:szCs w:val="18"/>
        </w:rPr>
        <w:t>Não obstante quaisquer disposições em contrário nos Direitos de Uso de Produto, uma SL de Usuário do</w:t>
      </w:r>
      <w:r w:rsidR="00B77658">
        <w:rPr>
          <w:rFonts w:eastAsia="Calibri" w:cs="Tahoma"/>
          <w:color w:val="000000"/>
          <w:szCs w:val="18"/>
        </w:rPr>
        <w:t> </w:t>
      </w:r>
      <w:r w:rsidRPr="004B208C">
        <w:rPr>
          <w:rFonts w:eastAsia="Calibri" w:cs="Tahoma"/>
          <w:color w:val="000000"/>
          <w:szCs w:val="18"/>
        </w:rPr>
        <w:t>Exchange Online Plano 1 comprada sob um Contrato para Campus e School não permite acesso ao</w:t>
      </w:r>
      <w:r w:rsidR="00B77658">
        <w:rPr>
          <w:rFonts w:eastAsia="Calibri" w:cs="Tahoma"/>
          <w:color w:val="000000"/>
          <w:szCs w:val="18"/>
        </w:rPr>
        <w:t> </w:t>
      </w:r>
      <w:r w:rsidRPr="004B208C">
        <w:rPr>
          <w:rFonts w:eastAsia="Calibri" w:cs="Tahoma"/>
          <w:color w:val="000000"/>
          <w:szCs w:val="18"/>
        </w:rPr>
        <w:t>Exchange Server.</w:t>
      </w:r>
    </w:p>
    <w:p w:rsidR="00B23BE6" w:rsidRPr="004B208C" w:rsidRDefault="00B23BE6" w:rsidP="00A61080">
      <w:pPr>
        <w:ind w:left="720"/>
        <w:rPr>
          <w:rFonts w:cs="Tahoma"/>
        </w:rPr>
      </w:pPr>
    </w:p>
    <w:p w:rsidR="00702931" w:rsidRPr="004B208C" w:rsidRDefault="00702931" w:rsidP="0067725A">
      <w:pPr>
        <w:spacing w:after="60"/>
        <w:ind w:left="720"/>
        <w:rPr>
          <w:rFonts w:cs="Tahoma"/>
        </w:rPr>
      </w:pPr>
      <w:r w:rsidRPr="004B208C">
        <w:rPr>
          <w:rFonts w:eastAsia="Calibri" w:cs="Tahoma"/>
          <w:b/>
          <w:color w:val="000000"/>
          <w:szCs w:val="18"/>
        </w:rPr>
        <w:t>Nuvem da Comunidade do Governo (Apenas para os Estados Unidos)</w:t>
      </w:r>
    </w:p>
    <w:p w:rsidR="00702931" w:rsidRPr="004B208C" w:rsidRDefault="00702931" w:rsidP="00702931">
      <w:pPr>
        <w:ind w:left="720"/>
        <w:rPr>
          <w:rFonts w:cs="Tahoma"/>
        </w:rPr>
      </w:pPr>
      <w:r w:rsidRPr="004B208C">
        <w:rPr>
          <w:rFonts w:eastAsia="Calibri" w:cs="Tahoma"/>
          <w:color w:val="000000"/>
          <w:szCs w:val="18"/>
        </w:rPr>
        <w:t>Alguns serviços online na família de produtos do Office 365 (incluindo Exchange Online Plano 1) são oferecidos como serviços de nuvem da comunidade do governo e serviços de nuvem da comunidade não governamental.</w:t>
      </w:r>
      <w:r w:rsidR="00172F11">
        <w:rPr>
          <w:rFonts w:eastAsia="Calibri" w:cs="Tahoma"/>
          <w:color w:val="000000"/>
          <w:szCs w:val="18"/>
        </w:rPr>
        <w:t xml:space="preserve"> </w:t>
      </w:r>
      <w:r w:rsidRPr="004B208C">
        <w:rPr>
          <w:rFonts w:eastAsia="Calibri" w:cs="Tahoma"/>
          <w:color w:val="000000"/>
          <w:szCs w:val="18"/>
        </w:rPr>
        <w:t>Os clientes podem ser provisionados como um ou outro, mas não com uma mistura dos dois.</w:t>
      </w:r>
      <w:r w:rsidR="00172F11">
        <w:rPr>
          <w:rFonts w:eastAsia="Calibri" w:cs="Tahoma"/>
          <w:color w:val="000000"/>
          <w:szCs w:val="18"/>
        </w:rPr>
        <w:t xml:space="preserve"> </w:t>
      </w:r>
      <w:r w:rsidRPr="004B208C">
        <w:rPr>
          <w:rFonts w:eastAsia="Calibri" w:cs="Tahoma"/>
          <w:color w:val="000000"/>
          <w:szCs w:val="18"/>
        </w:rPr>
        <w:t>Os Serviços Online projetados como nuvem de comunidade do governo não podem ser implantados no mesmo domínio que os serviços de nuvem da comunidade não governamental específicos.</w:t>
      </w:r>
      <w:r w:rsidR="00172F11">
        <w:rPr>
          <w:rFonts w:eastAsia="Calibri" w:cs="Tahoma"/>
          <w:color w:val="000000"/>
          <w:szCs w:val="18"/>
        </w:rPr>
        <w:t xml:space="preserve"> </w:t>
      </w:r>
      <w:r w:rsidRPr="004B208C">
        <w:rPr>
          <w:rFonts w:eastAsia="Calibri" w:cs="Tahoma"/>
          <w:color w:val="000000"/>
          <w:szCs w:val="18"/>
        </w:rPr>
        <w:t>Esta limitação se estende a qualquer serviço online que faça parte da família de produtos do Office 365, incluindo Exchange Online, SharePoint Online e Lync Online.</w:t>
      </w:r>
      <w:r w:rsidR="00172F11">
        <w:rPr>
          <w:rFonts w:eastAsia="Calibri" w:cs="Tahoma"/>
          <w:color w:val="000000"/>
          <w:szCs w:val="18"/>
        </w:rPr>
        <w:t xml:space="preserve"> </w:t>
      </w:r>
    </w:p>
    <w:p w:rsidR="00702931" w:rsidRPr="004B208C" w:rsidRDefault="00702931" w:rsidP="00702931">
      <w:pPr>
        <w:ind w:left="720"/>
        <w:rPr>
          <w:rFonts w:cs="Tahoma"/>
        </w:rPr>
      </w:pPr>
    </w:p>
    <w:p w:rsidR="00702931" w:rsidRPr="004B208C" w:rsidRDefault="00702931" w:rsidP="00702931">
      <w:pPr>
        <w:ind w:left="720"/>
        <w:rPr>
          <w:rFonts w:cs="Tahoma"/>
        </w:rPr>
      </w:pPr>
      <w:r w:rsidRPr="004B208C">
        <w:rPr>
          <w:rFonts w:eastAsia="Calibri" w:cs="Tahoma"/>
          <w:color w:val="000000"/>
          <w:szCs w:val="18"/>
        </w:rPr>
        <w:t>Assim que um serviço online é provisionado na nuvem de comunidade do governo, ele permanecerá lá pela duração da vigência da assinatura.</w:t>
      </w:r>
      <w:r w:rsidR="00172F11">
        <w:rPr>
          <w:rFonts w:eastAsia="Calibri" w:cs="Tahoma"/>
          <w:color w:val="000000"/>
          <w:szCs w:val="18"/>
        </w:rPr>
        <w:t xml:space="preserve"> </w:t>
      </w:r>
      <w:r w:rsidRPr="004B208C">
        <w:rPr>
          <w:rFonts w:eastAsia="Calibri" w:cs="Tahoma"/>
          <w:color w:val="000000"/>
          <w:szCs w:val="18"/>
        </w:rPr>
        <w:t xml:space="preserve">Clientes que são instituições governamentais federais, estaduais, locais ou tribais dos Estados Unidos devem fazer parte de um Registro Enterprise do Governo Americano ou Registro Enterprise Subscription para estar qualificado para comprar serviços online designados como </w:t>
      </w:r>
      <w:r w:rsidRPr="004B208C">
        <w:rPr>
          <w:rFonts w:eastAsia="Calibri" w:cs="Tahoma"/>
          <w:color w:val="000000"/>
          <w:szCs w:val="18"/>
        </w:rPr>
        <w:lastRenderedPageBreak/>
        <w:t>nuvem da comunidade do governo.</w:t>
      </w:r>
      <w:r w:rsidR="00172F11">
        <w:rPr>
          <w:rFonts w:eastAsia="Calibri" w:cs="Tahoma"/>
          <w:color w:val="000000"/>
          <w:szCs w:val="18"/>
        </w:rPr>
        <w:t xml:space="preserve"> </w:t>
      </w:r>
      <w:r w:rsidRPr="004B208C">
        <w:rPr>
          <w:rFonts w:eastAsia="Calibri" w:cs="Tahoma"/>
          <w:color w:val="000000"/>
          <w:szCs w:val="18"/>
        </w:rPr>
        <w:t>Os Direitos de Uso para serviços de nuvem da comunidade do governo são equivalentes àqueles dos seus diversos locatários padrão.</w:t>
      </w:r>
      <w:r w:rsidR="00172F11">
        <w:rPr>
          <w:rFonts w:eastAsia="Calibri" w:cs="Tahoma"/>
          <w:color w:val="000000"/>
          <w:szCs w:val="18"/>
        </w:rPr>
        <w:t xml:space="preserve"> </w:t>
      </w:r>
    </w:p>
    <w:p w:rsidR="00B23BE6" w:rsidRPr="004B208C" w:rsidRDefault="00B23BE6" w:rsidP="00A61080">
      <w:pPr>
        <w:ind w:left="720"/>
        <w:rPr>
          <w:rFonts w:cs="Tahoma"/>
        </w:rPr>
      </w:pPr>
    </w:p>
    <w:p w:rsidR="00D70D2C" w:rsidRPr="004B208C" w:rsidRDefault="00D70D2C" w:rsidP="00A61080">
      <w:pPr>
        <w:ind w:left="720"/>
        <w:rPr>
          <w:rFonts w:cs="Tahoma"/>
        </w:rPr>
      </w:pPr>
    </w:p>
    <w:p w:rsidR="00D70D2C" w:rsidRPr="004B208C" w:rsidRDefault="00A560B6" w:rsidP="001760D6">
      <w:pPr>
        <w:pStyle w:val="Heading2"/>
        <w:keepNext/>
        <w:ind w:left="0"/>
        <w:rPr>
          <w:rFonts w:ascii="Tahoma" w:hAnsi="Tahoma" w:cs="Tahoma"/>
        </w:rPr>
      </w:pPr>
      <w:bookmarkStart w:id="1222" w:name="_49_Exchange_Online"/>
      <w:bookmarkStart w:id="1223" w:name="_55_Exchange_Online"/>
      <w:bookmarkStart w:id="1224" w:name="Srv_50ExchangeOnlinePlan2"/>
      <w:bookmarkStart w:id="1225" w:name="_Toc370981428"/>
      <w:bookmarkEnd w:id="1222"/>
      <w:bookmarkEnd w:id="1223"/>
      <w:r w:rsidRPr="004B208C">
        <w:rPr>
          <w:rFonts w:ascii="Tahoma" w:hAnsi="Tahoma" w:cs="Tahoma"/>
          <w:caps/>
          <w:color w:val="F66400"/>
          <w:sz w:val="22"/>
          <w:szCs w:val="20"/>
          <w:vertAlign w:val="superscript"/>
        </w:rPr>
        <w:t>54</w:t>
      </w:r>
      <w:r w:rsidRPr="004B208C">
        <w:rPr>
          <w:rFonts w:ascii="Tahoma" w:hAnsi="Tahoma" w:cs="Tahoma"/>
          <w:color w:val="F66400"/>
          <w:sz w:val="22"/>
          <w:szCs w:val="20"/>
        </w:rPr>
        <w:t xml:space="preserve"> Exchange Online Plano 2</w:t>
      </w:r>
      <w:bookmarkEnd w:id="1225"/>
    </w:p>
    <w:bookmarkEnd w:id="1224"/>
    <w:p w:rsidR="00D70D2C" w:rsidRPr="004B208C" w:rsidRDefault="00D70D2C" w:rsidP="001760D6">
      <w:pPr>
        <w:keepNext/>
        <w:outlineLvl w:val="2"/>
        <w:rPr>
          <w:rFonts w:cs="Tahoma"/>
        </w:rPr>
      </w:pPr>
    </w:p>
    <w:p w:rsidR="00D70D2C" w:rsidRPr="00B77658" w:rsidRDefault="00D70D2C" w:rsidP="001760D6">
      <w:pPr>
        <w:pStyle w:val="ListParagraph"/>
        <w:keepNext/>
        <w:rPr>
          <w:rFonts w:ascii="Tahoma" w:hAnsi="Tahoma" w:cs="Tahoma"/>
          <w:sz w:val="18"/>
          <w:szCs w:val="18"/>
        </w:rPr>
      </w:pPr>
      <w:r w:rsidRPr="00B77658">
        <w:rPr>
          <w:rFonts w:ascii="Tahoma" w:hAnsi="Tahoma" w:cs="Tahoma"/>
          <w:color w:val="000000"/>
          <w:sz w:val="18"/>
          <w:szCs w:val="18"/>
        </w:rPr>
        <w:t>O Exchange Online Plano 2 é um serviço online sucessor do Exchange Hosted Archive.</w:t>
      </w:r>
    </w:p>
    <w:p w:rsidR="00D70D2C" w:rsidRPr="00B77658" w:rsidRDefault="00D70D2C" w:rsidP="00D70D2C">
      <w:pPr>
        <w:pStyle w:val="ListParagraph"/>
        <w:rPr>
          <w:rFonts w:ascii="Tahoma" w:hAnsi="Tahoma" w:cs="Tahoma"/>
          <w:sz w:val="18"/>
          <w:szCs w:val="18"/>
        </w:rPr>
      </w:pPr>
    </w:p>
    <w:p w:rsidR="00D70D2C" w:rsidRPr="00B77658" w:rsidRDefault="00D70D2C" w:rsidP="00D70D2C">
      <w:pPr>
        <w:ind w:left="720"/>
        <w:rPr>
          <w:rFonts w:cs="Tahoma"/>
          <w:szCs w:val="18"/>
        </w:rPr>
      </w:pPr>
      <w:r w:rsidRPr="00B77658">
        <w:rPr>
          <w:rFonts w:cs="Tahoma"/>
          <w:color w:val="000000"/>
          <w:szCs w:val="18"/>
        </w:rPr>
        <w:t>Se você renovar a partir do Exchange Hosted Archive no Exchange Online Plano 2 e ainda não tiver migrado para o Exchange Online Plano 2, seus usuários licenciados poderão continuar usando o serviço Exchange Hosted Archive sujeito aos termos do PUR de março de 2011 antes da migração para o Exchange Online Plano 2 e a expiração da sua assinatura do Exchange Online Plano 2.</w:t>
      </w:r>
    </w:p>
    <w:p w:rsidR="00702931" w:rsidRPr="00B77658" w:rsidRDefault="00702931" w:rsidP="00D70D2C">
      <w:pPr>
        <w:ind w:left="720"/>
        <w:rPr>
          <w:rFonts w:cs="Tahoma"/>
          <w:szCs w:val="18"/>
        </w:rPr>
      </w:pPr>
    </w:p>
    <w:p w:rsidR="00702931" w:rsidRPr="00B77658" w:rsidRDefault="00702931" w:rsidP="0067725A">
      <w:pPr>
        <w:spacing w:after="60"/>
        <w:ind w:left="720"/>
        <w:rPr>
          <w:rFonts w:cs="Tahoma"/>
          <w:szCs w:val="18"/>
        </w:rPr>
      </w:pPr>
      <w:r w:rsidRPr="00B77658">
        <w:rPr>
          <w:rFonts w:eastAsia="Calibri" w:cs="Tahoma"/>
          <w:b/>
          <w:color w:val="000000"/>
          <w:szCs w:val="18"/>
        </w:rPr>
        <w:t>Nuvem da Comunidade do Governo (Apenas para os Estados Unidos)</w:t>
      </w:r>
    </w:p>
    <w:p w:rsidR="00702931" w:rsidRPr="00B77658" w:rsidRDefault="00702931" w:rsidP="00702931">
      <w:pPr>
        <w:ind w:left="720"/>
        <w:rPr>
          <w:rFonts w:cs="Tahoma"/>
          <w:szCs w:val="18"/>
        </w:rPr>
      </w:pPr>
      <w:r w:rsidRPr="00B77658">
        <w:rPr>
          <w:rFonts w:eastAsia="Calibri" w:cs="Tahoma"/>
          <w:color w:val="000000"/>
          <w:szCs w:val="18"/>
        </w:rPr>
        <w:t>Alguns serviços online na família de produtos do Office 365 (incluindo Exchange Online Plano 2) são oferecidos como serviços de nuvem da comunidade do governo e serviços de nuvem da comunidade não governamental.</w:t>
      </w:r>
      <w:r w:rsidR="00172F11" w:rsidRPr="00B77658">
        <w:rPr>
          <w:rFonts w:eastAsia="Calibri" w:cs="Tahoma"/>
          <w:color w:val="000000"/>
          <w:szCs w:val="18"/>
        </w:rPr>
        <w:t xml:space="preserve"> </w:t>
      </w:r>
      <w:r w:rsidRPr="00B77658">
        <w:rPr>
          <w:rFonts w:eastAsia="Calibri" w:cs="Tahoma"/>
          <w:color w:val="000000"/>
          <w:szCs w:val="18"/>
        </w:rPr>
        <w:t>Os clientes podem ser provisionados como um ou outro, mas não com uma mistura dos dois.</w:t>
      </w:r>
      <w:r w:rsidR="00172F11" w:rsidRPr="00B77658">
        <w:rPr>
          <w:rFonts w:eastAsia="Calibri" w:cs="Tahoma"/>
          <w:color w:val="000000"/>
          <w:szCs w:val="18"/>
        </w:rPr>
        <w:t xml:space="preserve"> </w:t>
      </w:r>
      <w:r w:rsidRPr="00B77658">
        <w:rPr>
          <w:rFonts w:eastAsia="Calibri" w:cs="Tahoma"/>
          <w:color w:val="000000"/>
          <w:szCs w:val="18"/>
        </w:rPr>
        <w:t>Os Serviços Online projetados como nuvem de comunidade do governo não podem ser implantados no mesmo domínio que os serviços de nuvem da comunidade não governamental específicos.</w:t>
      </w:r>
      <w:r w:rsidR="00172F11" w:rsidRPr="00B77658">
        <w:rPr>
          <w:rFonts w:eastAsia="Calibri" w:cs="Tahoma"/>
          <w:color w:val="000000"/>
          <w:szCs w:val="18"/>
        </w:rPr>
        <w:t xml:space="preserve"> </w:t>
      </w:r>
      <w:r w:rsidRPr="00B77658">
        <w:rPr>
          <w:rFonts w:eastAsia="Calibri" w:cs="Tahoma"/>
          <w:color w:val="000000"/>
          <w:szCs w:val="18"/>
        </w:rPr>
        <w:t>Esta limitação se estende a qualquer serviço online que faça parte da família de produtos do Office 365, incluindo Exchange Online, SharePoint Online e Lync Online.</w:t>
      </w:r>
      <w:r w:rsidR="00172F11" w:rsidRPr="00B77658">
        <w:rPr>
          <w:rFonts w:eastAsia="Calibri" w:cs="Tahoma"/>
          <w:color w:val="000000"/>
          <w:szCs w:val="18"/>
        </w:rPr>
        <w:t xml:space="preserve"> </w:t>
      </w:r>
    </w:p>
    <w:p w:rsidR="00702931" w:rsidRPr="00B77658" w:rsidRDefault="00702931" w:rsidP="00702931">
      <w:pPr>
        <w:ind w:left="720"/>
        <w:rPr>
          <w:rFonts w:cs="Tahoma"/>
          <w:szCs w:val="18"/>
        </w:rPr>
      </w:pPr>
    </w:p>
    <w:p w:rsidR="00B2460D" w:rsidRPr="00B77658" w:rsidRDefault="00702931" w:rsidP="00697E59">
      <w:pPr>
        <w:ind w:left="720"/>
        <w:rPr>
          <w:rFonts w:cs="Tahoma"/>
          <w:szCs w:val="18"/>
        </w:rPr>
      </w:pPr>
      <w:r w:rsidRPr="00B77658">
        <w:rPr>
          <w:rFonts w:eastAsia="Calibri" w:cs="Tahoma"/>
          <w:color w:val="000000"/>
          <w:szCs w:val="18"/>
        </w:rPr>
        <w:t>Assim que um serviço online é provisionado na nuvem de comunidade do governo, ele permanecerá lá pela duração da vigência da assinatura.</w:t>
      </w:r>
      <w:r w:rsidR="00172F11" w:rsidRPr="00B77658">
        <w:rPr>
          <w:rFonts w:eastAsia="Calibri" w:cs="Tahoma"/>
          <w:color w:val="000000"/>
          <w:szCs w:val="18"/>
        </w:rPr>
        <w:t xml:space="preserve"> </w:t>
      </w:r>
      <w:r w:rsidRPr="00B77658">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172F11" w:rsidRPr="00B77658">
        <w:rPr>
          <w:rFonts w:eastAsia="Calibri" w:cs="Tahoma"/>
          <w:color w:val="000000"/>
          <w:szCs w:val="18"/>
        </w:rPr>
        <w:t xml:space="preserve"> </w:t>
      </w:r>
      <w:r w:rsidRPr="00B77658">
        <w:rPr>
          <w:rFonts w:eastAsia="Calibri" w:cs="Tahoma"/>
          <w:color w:val="000000"/>
          <w:szCs w:val="18"/>
        </w:rPr>
        <w:t>Os Direitos de Uso para serviços de nuvem da comunidade do governo são equivalentes àqueles dos seus diversos locatários padrão.</w:t>
      </w:r>
      <w:r w:rsidR="00172F11" w:rsidRPr="00B77658">
        <w:rPr>
          <w:rFonts w:eastAsia="Calibri" w:cs="Tahoma"/>
          <w:color w:val="000000"/>
          <w:szCs w:val="18"/>
        </w:rPr>
        <w:t xml:space="preserve"> </w:t>
      </w:r>
      <w:bookmarkStart w:id="1226" w:name="_51_Exchange_Server"/>
      <w:bookmarkEnd w:id="1213"/>
      <w:bookmarkEnd w:id="1219"/>
      <w:bookmarkEnd w:id="1220"/>
      <w:bookmarkEnd w:id="1226"/>
    </w:p>
    <w:p w:rsidR="00023FE7" w:rsidRPr="00B77658" w:rsidRDefault="00023FE7" w:rsidP="00C066F9">
      <w:pPr>
        <w:pStyle w:val="EndnoteText"/>
        <w:ind w:left="1620" w:hanging="900"/>
        <w:rPr>
          <w:rFonts w:ascii="Tahoma" w:hAnsi="Tahoma" w:cs="Tahoma"/>
          <w:sz w:val="18"/>
          <w:szCs w:val="18"/>
        </w:rPr>
      </w:pPr>
      <w:bookmarkStart w:id="1227" w:name="Srv_43ExchangeSvr2010"/>
    </w:p>
    <w:p w:rsidR="00B77658" w:rsidRPr="00B77658" w:rsidRDefault="00B77658" w:rsidP="00C066F9">
      <w:pPr>
        <w:pStyle w:val="EndnoteText"/>
        <w:ind w:left="1620" w:hanging="900"/>
        <w:rPr>
          <w:rFonts w:ascii="Tahoma" w:hAnsi="Tahoma" w:cs="Tahoma"/>
          <w:sz w:val="18"/>
          <w:szCs w:val="18"/>
        </w:rPr>
      </w:pPr>
    </w:p>
    <w:p w:rsidR="00453CAC" w:rsidRPr="004B208C" w:rsidRDefault="00A560B6" w:rsidP="009D3013">
      <w:pPr>
        <w:pStyle w:val="Heading2"/>
        <w:ind w:left="0"/>
        <w:rPr>
          <w:rFonts w:ascii="Tahoma" w:hAnsi="Tahoma" w:cs="Tahoma"/>
        </w:rPr>
      </w:pPr>
      <w:bookmarkStart w:id="1228" w:name="_49_Exchange_Server"/>
      <w:bookmarkStart w:id="1229" w:name="_51_50_Exchange"/>
      <w:bookmarkStart w:id="1230" w:name="_56_Exchange_Online"/>
      <w:bookmarkStart w:id="1231" w:name="_Toc336338311"/>
      <w:bookmarkStart w:id="1232" w:name="Srv_50ExchangeServer2010StdCAL"/>
      <w:bookmarkStart w:id="1233" w:name="_Toc370981429"/>
      <w:bookmarkEnd w:id="1227"/>
      <w:bookmarkEnd w:id="1228"/>
      <w:bookmarkEnd w:id="1229"/>
      <w:bookmarkEnd w:id="1230"/>
      <w:r w:rsidRPr="004B208C">
        <w:rPr>
          <w:rFonts w:ascii="Tahoma" w:hAnsi="Tahoma" w:cs="Tahoma"/>
          <w:caps/>
          <w:color w:val="FA6500"/>
          <w:sz w:val="22"/>
          <w:vertAlign w:val="superscript"/>
        </w:rPr>
        <w:t xml:space="preserve">55 </w:t>
      </w:r>
      <w:r w:rsidRPr="004B208C">
        <w:rPr>
          <w:rFonts w:ascii="Tahoma" w:hAnsi="Tahoma" w:cs="Tahoma"/>
          <w:color w:val="F66400"/>
          <w:sz w:val="22"/>
          <w:szCs w:val="20"/>
        </w:rPr>
        <w:t>Exchange Online Protection (SL de Usuário)</w:t>
      </w:r>
      <w:bookmarkEnd w:id="1233"/>
    </w:p>
    <w:p w:rsidR="00453CAC" w:rsidRPr="004B208C" w:rsidRDefault="00453CAC" w:rsidP="00453CAC">
      <w:pPr>
        <w:ind w:left="720"/>
        <w:rPr>
          <w:rFonts w:cs="Tahoma"/>
        </w:rPr>
      </w:pPr>
    </w:p>
    <w:p w:rsidR="007D4770" w:rsidRPr="004B208C" w:rsidRDefault="007D4770" w:rsidP="00453CAC">
      <w:pPr>
        <w:ind w:left="720"/>
        <w:rPr>
          <w:rFonts w:cs="Tahoma"/>
        </w:rPr>
      </w:pPr>
      <w:r w:rsidRPr="004B208C">
        <w:rPr>
          <w:rFonts w:cs="Tahoma"/>
          <w:color w:val="444444"/>
          <w:szCs w:val="18"/>
        </w:rPr>
        <w:t>Como esse serviço online é provisionado por domínio, todos os usuários em qualquer domínio coberto precisarão de SLs de Usuário.</w:t>
      </w:r>
      <w:r w:rsidR="00172F11">
        <w:rPr>
          <w:rFonts w:cs="Tahoma"/>
          <w:color w:val="444444"/>
          <w:szCs w:val="18"/>
        </w:rPr>
        <w:t xml:space="preserve"> </w:t>
      </w:r>
      <w:r w:rsidRPr="004B208C">
        <w:rPr>
          <w:rFonts w:cs="Tahoma"/>
          <w:color w:val="444444"/>
          <w:szCs w:val="18"/>
        </w:rPr>
        <w:t>Os clientes que desejarem o serviço para um subconjunto de sua base de usuários poderão criar subdomínios para um provisionamento mais direcionado.</w:t>
      </w:r>
      <w:r w:rsidR="00172F11">
        <w:rPr>
          <w:rFonts w:cs="Tahoma"/>
          <w:color w:val="444444"/>
          <w:szCs w:val="18"/>
        </w:rPr>
        <w:t xml:space="preserve"> </w:t>
      </w:r>
      <w:r w:rsidRPr="004B208C">
        <w:rPr>
          <w:rFonts w:cs="Tahoma"/>
          <w:color w:val="444444"/>
          <w:szCs w:val="18"/>
        </w:rPr>
        <w:t>Somente os usuários no subdomínio coberto precisarão de SLs de Usuário.</w:t>
      </w:r>
    </w:p>
    <w:p w:rsidR="005D484B" w:rsidRPr="004B208C" w:rsidRDefault="005D484B" w:rsidP="00453CAC">
      <w:pPr>
        <w:ind w:left="720"/>
        <w:rPr>
          <w:rFonts w:cs="Tahoma"/>
        </w:rPr>
      </w:pPr>
    </w:p>
    <w:p w:rsidR="005D484B" w:rsidRPr="004B208C" w:rsidRDefault="005D484B" w:rsidP="005D484B">
      <w:pPr>
        <w:ind w:left="720"/>
        <w:rPr>
          <w:rFonts w:cs="Tahoma"/>
        </w:rPr>
      </w:pPr>
      <w:r w:rsidRPr="004B208C">
        <w:rPr>
          <w:rFonts w:cs="Tahoma"/>
          <w:szCs w:val="18"/>
        </w:rPr>
        <w:t>Instituições Acadêmicas sob o Enrollment for Education Solutions e Contrato Open Value Subscription para</w:t>
      </w:r>
      <w:r w:rsidR="00F244D7">
        <w:rPr>
          <w:rFonts w:cs="Tahoma"/>
          <w:szCs w:val="18"/>
        </w:rPr>
        <w:t> </w:t>
      </w:r>
      <w:r w:rsidRPr="004B208C">
        <w:rPr>
          <w:rFonts w:cs="Tahoma"/>
          <w:szCs w:val="18"/>
        </w:rPr>
        <w:t>Education Solutions, licenciadas para o Pacote de CALs Empresariais ou CAL Empresarial com Serviços, com</w:t>
      </w:r>
      <w:r w:rsidR="00B77658">
        <w:rPr>
          <w:rFonts w:cs="Tahoma"/>
          <w:szCs w:val="18"/>
        </w:rPr>
        <w:t> </w:t>
      </w:r>
      <w:r w:rsidRPr="004B208C">
        <w:rPr>
          <w:rFonts w:cs="Tahoma"/>
          <w:szCs w:val="18"/>
        </w:rPr>
        <w:t>cobertura ativa do Software Assurance, são totalmente licenciadas para Exchange Online Protection, independentemente do seu número de licenças de Pacote de CAL Empresarial ou CAL Empresarial do Exchange com Serviços.</w:t>
      </w:r>
      <w:r w:rsidR="00172F11">
        <w:rPr>
          <w:rFonts w:cs="Tahoma"/>
          <w:szCs w:val="18"/>
        </w:rPr>
        <w:t xml:space="preserve"> </w:t>
      </w:r>
      <w:r w:rsidRPr="004B208C">
        <w:rPr>
          <w:rFonts w:cs="Tahoma"/>
          <w:szCs w:val="18"/>
        </w:rPr>
        <w:t>Consulte as notas do produto do Pacote de CAL Empresarial ou CAL Empresarial do</w:t>
      </w:r>
      <w:r w:rsidR="00B77658">
        <w:rPr>
          <w:rFonts w:cs="Tahoma"/>
          <w:szCs w:val="18"/>
        </w:rPr>
        <w:t> </w:t>
      </w:r>
      <w:r w:rsidRPr="004B208C">
        <w:rPr>
          <w:rFonts w:cs="Tahoma"/>
          <w:szCs w:val="18"/>
        </w:rPr>
        <w:t>Exchange com Serviços para obter orientações sobre provisionamento.</w:t>
      </w:r>
    </w:p>
    <w:p w:rsidR="00453CAC" w:rsidRPr="00B77658" w:rsidRDefault="00453CAC" w:rsidP="00453CAC">
      <w:pPr>
        <w:pStyle w:val="EndnoteText"/>
        <w:ind w:hanging="900"/>
        <w:rPr>
          <w:rFonts w:ascii="Tahoma" w:hAnsi="Tahoma" w:cs="Tahoma"/>
          <w:sz w:val="18"/>
          <w:szCs w:val="18"/>
        </w:rPr>
      </w:pPr>
    </w:p>
    <w:p w:rsidR="0004051B" w:rsidRPr="004B208C" w:rsidRDefault="0004051B">
      <w:pPr>
        <w:rPr>
          <w:rFonts w:cs="Tahoma"/>
        </w:rPr>
      </w:pPr>
    </w:p>
    <w:p w:rsidR="009D3013" w:rsidRPr="004B208C" w:rsidRDefault="00A560B6" w:rsidP="009D3013">
      <w:pPr>
        <w:pStyle w:val="Heading2"/>
        <w:ind w:left="0"/>
        <w:rPr>
          <w:rFonts w:ascii="Tahoma" w:hAnsi="Tahoma" w:cs="Tahoma"/>
        </w:rPr>
      </w:pPr>
      <w:bookmarkStart w:id="1234" w:name="_52_51_Exchange"/>
      <w:bookmarkStart w:id="1235" w:name="_57_Exchange_Server"/>
      <w:bookmarkStart w:id="1236" w:name="_Toc370981430"/>
      <w:bookmarkEnd w:id="1234"/>
      <w:bookmarkEnd w:id="1235"/>
      <w:r w:rsidRPr="004B208C">
        <w:rPr>
          <w:rFonts w:ascii="Tahoma" w:hAnsi="Tahoma" w:cs="Tahoma"/>
          <w:caps/>
          <w:color w:val="FA6500"/>
          <w:sz w:val="22"/>
          <w:vertAlign w:val="superscript"/>
        </w:rPr>
        <w:t xml:space="preserve">56 </w:t>
      </w:r>
      <w:r w:rsidRPr="004B208C">
        <w:rPr>
          <w:rFonts w:ascii="Tahoma" w:hAnsi="Tahoma" w:cs="Tahoma"/>
          <w:color w:val="FA6500"/>
          <w:sz w:val="22"/>
        </w:rPr>
        <w:t xml:space="preserve">Exchange Server 2013 Enterprise e </w:t>
      </w:r>
      <w:bookmarkEnd w:id="1231"/>
      <w:r w:rsidRPr="004B208C">
        <w:rPr>
          <w:rFonts w:ascii="Tahoma" w:hAnsi="Tahoma" w:cs="Tahoma"/>
          <w:color w:val="FA6500"/>
          <w:sz w:val="22"/>
        </w:rPr>
        <w:t>Standard Editions</w:t>
      </w:r>
      <w:bookmarkEnd w:id="1236"/>
    </w:p>
    <w:p w:rsidR="009D3013" w:rsidRPr="004B208C" w:rsidRDefault="009D3013" w:rsidP="009D3013">
      <w:pPr>
        <w:ind w:left="720"/>
        <w:rPr>
          <w:rFonts w:cs="Tahoma"/>
        </w:rPr>
      </w:pPr>
    </w:p>
    <w:p w:rsidR="009D3013" w:rsidRPr="004B208C" w:rsidRDefault="009D3013" w:rsidP="009D3013">
      <w:pPr>
        <w:ind w:left="720"/>
        <w:rPr>
          <w:rFonts w:cs="Tahoma"/>
        </w:rPr>
      </w:pPr>
      <w:r w:rsidRPr="004B208C">
        <w:rPr>
          <w:rFonts w:cs="Tahoma"/>
          <w:color w:val="000000"/>
          <w:szCs w:val="18"/>
        </w:rPr>
        <w:t>Exchange Server 2013 é a versão mais recente do Exchange Server.</w:t>
      </w:r>
    </w:p>
    <w:p w:rsidR="009D3013" w:rsidRPr="004B208C" w:rsidRDefault="009D3013" w:rsidP="0067725A">
      <w:pPr>
        <w:rPr>
          <w:rFonts w:cs="Tahoma"/>
        </w:rPr>
      </w:pPr>
    </w:p>
    <w:p w:rsidR="009D3013" w:rsidRPr="004B208C" w:rsidRDefault="009D3013" w:rsidP="0067725A">
      <w:pPr>
        <w:spacing w:after="60"/>
        <w:ind w:left="720"/>
        <w:rPr>
          <w:rFonts w:cs="Tahoma"/>
        </w:rPr>
      </w:pPr>
      <w:r w:rsidRPr="004B208C">
        <w:rPr>
          <w:rFonts w:cs="Tahoma"/>
          <w:b/>
          <w:color w:val="000000"/>
          <w:szCs w:val="18"/>
        </w:rPr>
        <w:t>Outorga de Licença para Clientes do External Connector do Exchange Server 2010</w:t>
      </w:r>
    </w:p>
    <w:p w:rsidR="009D3013" w:rsidRPr="004B208C" w:rsidRDefault="009D3013" w:rsidP="0067725A">
      <w:pPr>
        <w:ind w:left="720"/>
        <w:rPr>
          <w:rFonts w:cs="Tahoma"/>
        </w:rPr>
      </w:pPr>
      <w:r w:rsidRPr="004B208C">
        <w:rPr>
          <w:rFonts w:cs="Tahoma"/>
          <w:color w:val="000000"/>
          <w:szCs w:val="18"/>
        </w:rPr>
        <w:t xml:space="preserve">A versão 2010 do External Connector License </w:t>
      </w:r>
      <w:bookmarkStart w:id="1237" w:name="Srv_42ExchangeSvr07"/>
      <w:bookmarkStart w:id="1238" w:name="Srv_48ExchangeSvr2010"/>
      <w:r w:rsidRPr="004B208C">
        <w:rPr>
          <w:rFonts w:cs="Tahoma"/>
          <w:color w:val="000000"/>
          <w:szCs w:val="18"/>
        </w:rPr>
        <w:t xml:space="preserve">do Exchange Server 2010 </w:t>
      </w:r>
      <w:bookmarkEnd w:id="1237"/>
      <w:bookmarkEnd w:id="1238"/>
      <w:r w:rsidRPr="004B208C">
        <w:rPr>
          <w:rFonts w:cs="Tahoma"/>
          <w:color w:val="000000"/>
          <w:szCs w:val="18"/>
        </w:rPr>
        <w:t>é a versão final dessa licença.</w:t>
      </w:r>
      <w:r w:rsidR="00172F11">
        <w:rPr>
          <w:rFonts w:cs="Tahoma"/>
          <w:color w:val="000000"/>
          <w:szCs w:val="18"/>
        </w:rPr>
        <w:t xml:space="preserve"> </w:t>
      </w:r>
      <w:r w:rsidRPr="004B208C">
        <w:rPr>
          <w:rFonts w:cs="Tahoma"/>
          <w:color w:val="000000"/>
          <w:szCs w:val="18"/>
        </w:rPr>
        <w:t>Tendo isso em vista, os clientes com External Connector Licenses do Exchange Server 2010 com cobertura do Software Assurance ativa a partir de 1º de outubro de 2012 estarão qualificados para a outorga de licença a seguir.</w:t>
      </w:r>
    </w:p>
    <w:p w:rsidR="009D3013" w:rsidRDefault="009D3013" w:rsidP="009D3013">
      <w:pPr>
        <w:ind w:left="900"/>
        <w:rPr>
          <w:rFonts w:cs="Tahoma"/>
        </w:rPr>
      </w:pPr>
    </w:p>
    <w:p w:rsidR="00E229C6" w:rsidRDefault="00E229C6" w:rsidP="009D3013">
      <w:pPr>
        <w:ind w:left="900"/>
        <w:rPr>
          <w:rFonts w:cs="Tahoma"/>
        </w:rPr>
      </w:pPr>
    </w:p>
    <w:p w:rsidR="00E229C6" w:rsidRPr="004B208C" w:rsidRDefault="00E229C6"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4B208C" w:rsidTr="002C3AB1">
        <w:trPr>
          <w:trHeight w:val="332"/>
        </w:trPr>
        <w:tc>
          <w:tcPr>
            <w:tcW w:w="4500" w:type="dxa"/>
            <w:shd w:val="clear" w:color="auto" w:fill="FABF8F"/>
          </w:tcPr>
          <w:p w:rsidR="009D3013" w:rsidRPr="004B208C" w:rsidRDefault="009D3013" w:rsidP="002C3AB1">
            <w:pPr>
              <w:rPr>
                <w:rFonts w:cs="Tahoma"/>
                <w:b/>
                <w:color w:val="000000"/>
                <w:szCs w:val="18"/>
              </w:rPr>
            </w:pPr>
            <w:r w:rsidRPr="004B208C">
              <w:rPr>
                <w:rFonts w:cs="Tahoma"/>
                <w:b/>
                <w:color w:val="000000"/>
                <w:szCs w:val="18"/>
              </w:rPr>
              <w:lastRenderedPageBreak/>
              <w:t>Licença Qualificada</w:t>
            </w:r>
          </w:p>
        </w:tc>
        <w:tc>
          <w:tcPr>
            <w:tcW w:w="3600" w:type="dxa"/>
            <w:shd w:val="clear" w:color="auto" w:fill="FABF8F"/>
          </w:tcPr>
          <w:p w:rsidR="009D3013" w:rsidRPr="004B208C" w:rsidRDefault="009D3013" w:rsidP="002C3AB1">
            <w:pPr>
              <w:rPr>
                <w:rFonts w:cs="Tahoma"/>
                <w:b/>
                <w:color w:val="000000"/>
                <w:szCs w:val="18"/>
              </w:rPr>
            </w:pPr>
            <w:r w:rsidRPr="004B208C">
              <w:rPr>
                <w:rFonts w:cs="Tahoma"/>
                <w:b/>
                <w:color w:val="000000"/>
                <w:szCs w:val="18"/>
              </w:rPr>
              <w:t>Licença Complementar e Benefícios</w:t>
            </w:r>
          </w:p>
        </w:tc>
      </w:tr>
      <w:tr w:rsidR="009D3013" w:rsidRPr="004B208C" w:rsidTr="002C3AB1">
        <w:trPr>
          <w:trHeight w:val="70"/>
        </w:trPr>
        <w:tc>
          <w:tcPr>
            <w:tcW w:w="4500" w:type="dxa"/>
            <w:shd w:val="clear" w:color="auto" w:fill="auto"/>
          </w:tcPr>
          <w:p w:rsidR="009D3013" w:rsidRPr="004B208C" w:rsidRDefault="009D3013" w:rsidP="003678D7">
            <w:pPr>
              <w:rPr>
                <w:rFonts w:cs="Tahoma"/>
                <w:color w:val="000000"/>
                <w:szCs w:val="18"/>
              </w:rPr>
            </w:pPr>
            <w:r w:rsidRPr="004B208C">
              <w:rPr>
                <w:rFonts w:cs="Tahoma"/>
                <w:color w:val="000000"/>
                <w:szCs w:val="18"/>
              </w:rPr>
              <w:t>Conector Externo do Exchange Server 2010 com Software Assurance ativo em 1º de outubro de 2012</w:t>
            </w:r>
          </w:p>
        </w:tc>
        <w:tc>
          <w:tcPr>
            <w:tcW w:w="3600" w:type="dxa"/>
            <w:shd w:val="clear" w:color="auto" w:fill="auto"/>
          </w:tcPr>
          <w:p w:rsidR="009D3013" w:rsidRPr="004B208C" w:rsidRDefault="009D3013" w:rsidP="002C3AB1">
            <w:pPr>
              <w:rPr>
                <w:rFonts w:cs="Tahoma"/>
                <w:color w:val="000000"/>
                <w:szCs w:val="18"/>
              </w:rPr>
            </w:pPr>
            <w:r w:rsidRPr="004B208C">
              <w:rPr>
                <w:rFonts w:cs="Tahoma"/>
                <w:color w:val="000000"/>
                <w:szCs w:val="18"/>
              </w:rPr>
              <w:t>Licença do Exchange Server 2013 Enterprise</w:t>
            </w:r>
          </w:p>
        </w:tc>
      </w:tr>
    </w:tbl>
    <w:p w:rsidR="009D3013" w:rsidRDefault="009D3013" w:rsidP="0067725A">
      <w:pPr>
        <w:rPr>
          <w:rFonts w:cs="Tahoma"/>
        </w:rPr>
      </w:pPr>
    </w:p>
    <w:p w:rsidR="009D3013" w:rsidRPr="004B208C" w:rsidRDefault="009D3013" w:rsidP="009D3013">
      <w:pPr>
        <w:ind w:left="720"/>
        <w:rPr>
          <w:rFonts w:cs="Tahoma"/>
        </w:rPr>
      </w:pPr>
      <w:r w:rsidRPr="004B208C">
        <w:rPr>
          <w:rFonts w:cs="Tahoma"/>
          <w:color w:val="000000"/>
          <w:szCs w:val="18"/>
        </w:rPr>
        <w:t>Os termos e as condições a seguir se aplicam à outorga de licença acima:</w:t>
      </w:r>
    </w:p>
    <w:p w:rsidR="009D3013" w:rsidRPr="004B208C" w:rsidRDefault="009D3013" w:rsidP="009D3013">
      <w:pPr>
        <w:ind w:left="720"/>
        <w:rPr>
          <w:rFonts w:cs="Tahoma"/>
        </w:rPr>
      </w:pPr>
    </w:p>
    <w:p w:rsidR="009D3013" w:rsidRPr="004B208C" w:rsidRDefault="009D3013" w:rsidP="00A1385C">
      <w:pPr>
        <w:numPr>
          <w:ilvl w:val="0"/>
          <w:numId w:val="96"/>
        </w:numPr>
        <w:spacing w:after="60"/>
        <w:ind w:left="1440"/>
        <w:rPr>
          <w:rFonts w:cs="Tahoma"/>
        </w:rPr>
      </w:pPr>
      <w:r w:rsidRPr="004B208C">
        <w:rPr>
          <w:rFonts w:cs="Tahoma"/>
          <w:bCs/>
          <w:color w:val="000000"/>
          <w:szCs w:val="18"/>
        </w:rPr>
        <w:t>Caminho de Migração</w:t>
      </w:r>
      <w:r w:rsidRPr="004B208C">
        <w:rPr>
          <w:rFonts w:cs="Tahoma"/>
          <w:color w:val="000000"/>
          <w:szCs w:val="18"/>
        </w:rPr>
        <w:t>: os clientes com cobertura do Software Assurance ativa para uma determinada Licença Qualificada a partir de 1º de outubro de 2012 e mediante o lançamento do Exchange Server 2013 estão qualificados para atualizar e usar o software Exchange Server 2013 sob a Licença Complementar em vez do software Exchange Server 2010 sob a Licença Qualificada do Conector Externo correspondente.</w:t>
      </w:r>
      <w:r w:rsidR="00172F11">
        <w:rPr>
          <w:rFonts w:cs="Tahoma"/>
          <w:color w:val="000000"/>
          <w:szCs w:val="18"/>
        </w:rPr>
        <w:t xml:space="preserve"> </w:t>
      </w:r>
    </w:p>
    <w:p w:rsidR="009D3013" w:rsidRPr="004B208C" w:rsidRDefault="009D3013" w:rsidP="00A1385C">
      <w:pPr>
        <w:numPr>
          <w:ilvl w:val="0"/>
          <w:numId w:val="96"/>
        </w:numPr>
        <w:spacing w:after="60"/>
        <w:ind w:left="1440"/>
        <w:rPr>
          <w:rFonts w:cs="Tahoma"/>
        </w:rPr>
      </w:pPr>
      <w:r w:rsidRPr="004B208C">
        <w:rPr>
          <w:rFonts w:cs="Tahoma"/>
          <w:color w:val="000000"/>
          <w:szCs w:val="18"/>
        </w:rPr>
        <w:t>Direitos de uso: O direito de usar o software sob as Licenças Complementares nessa oferta expirará quando o direito de usar o software sob as Licenças Qualificadas expirar.</w:t>
      </w:r>
      <w:r w:rsidR="00172F11">
        <w:rPr>
          <w:rFonts w:cs="Tahoma"/>
          <w:color w:val="000000"/>
          <w:szCs w:val="18"/>
        </w:rPr>
        <w:t xml:space="preserve"> </w:t>
      </w:r>
      <w:r w:rsidRPr="004B208C">
        <w:rPr>
          <w:rFonts w:cs="Tahoma"/>
          <w:color w:val="000000"/>
          <w:szCs w:val="18"/>
        </w:rPr>
        <w:t>O uso desse software é regido pelos direitos de uso do software e pelos termos e condições do contrato de Licenciamento por Volume do cliente.</w:t>
      </w:r>
      <w:r w:rsidR="00172F11">
        <w:rPr>
          <w:rFonts w:cs="Tahoma"/>
          <w:color w:val="000000"/>
          <w:szCs w:val="18"/>
        </w:rPr>
        <w:t xml:space="preserve"> </w:t>
      </w:r>
      <w:r w:rsidRPr="004B208C">
        <w:rPr>
          <w:rFonts w:cs="Tahoma"/>
          <w:color w:val="000000"/>
          <w:szCs w:val="18"/>
        </w:rPr>
        <w:t>Essa nota de condição do produto e a evidência do cliente da</w:t>
      </w:r>
      <w:r w:rsidR="00E35EBB">
        <w:rPr>
          <w:rFonts w:cs="Tahoma"/>
          <w:color w:val="000000"/>
          <w:szCs w:val="18"/>
        </w:rPr>
        <w:t> </w:t>
      </w:r>
      <w:r w:rsidRPr="004B208C">
        <w:rPr>
          <w:rFonts w:cs="Tahoma"/>
          <w:color w:val="000000"/>
          <w:szCs w:val="18"/>
        </w:rPr>
        <w:t>Licença Qualificada e do Software Assurance do cliente juntas comprovam o direito de usar o</w:t>
      </w:r>
      <w:r w:rsidR="00E35EBB">
        <w:rPr>
          <w:rFonts w:cs="Tahoma"/>
          <w:color w:val="000000"/>
          <w:szCs w:val="18"/>
        </w:rPr>
        <w:t> </w:t>
      </w:r>
      <w:r w:rsidRPr="004B208C">
        <w:rPr>
          <w:rFonts w:cs="Tahoma"/>
          <w:color w:val="000000"/>
          <w:szCs w:val="18"/>
        </w:rPr>
        <w:t>software sob a Licença Complementar nessa oferta.</w:t>
      </w:r>
      <w:r w:rsidR="00172F11">
        <w:rPr>
          <w:rFonts w:cs="Tahoma"/>
          <w:color w:val="000000"/>
          <w:szCs w:val="18"/>
        </w:rPr>
        <w:t xml:space="preserve"> </w:t>
      </w:r>
    </w:p>
    <w:p w:rsidR="009D3013" w:rsidRPr="004B208C" w:rsidRDefault="009D3013" w:rsidP="005427B6">
      <w:pPr>
        <w:numPr>
          <w:ilvl w:val="0"/>
          <w:numId w:val="8"/>
        </w:numPr>
        <w:spacing w:after="60"/>
        <w:ind w:left="1440"/>
        <w:rPr>
          <w:rFonts w:cs="Tahoma"/>
        </w:rPr>
      </w:pPr>
      <w:r w:rsidRPr="004B208C">
        <w:rPr>
          <w:rFonts w:cs="Tahoma"/>
          <w:color w:val="000000"/>
          <w:szCs w:val="18"/>
        </w:rPr>
        <w:t>Licença e Software Assurance (L&amp;SA): A Licença Complementar inclui a cobertura do Software Assurance.</w:t>
      </w:r>
      <w:r w:rsidR="00172F11">
        <w:rPr>
          <w:rFonts w:cs="Tahoma"/>
          <w:color w:val="000000"/>
          <w:szCs w:val="18"/>
        </w:rPr>
        <w:t xml:space="preserve"> </w:t>
      </w:r>
      <w:r w:rsidRPr="004B208C">
        <w:rPr>
          <w:rFonts w:cs="Tahoma"/>
          <w:color w:val="000000"/>
          <w:szCs w:val="18"/>
        </w:rPr>
        <w:t>A cobertura do Software Assurance sobre a Licença Complementar expirará quando a</w:t>
      </w:r>
      <w:r w:rsidR="00E35EBB">
        <w:rPr>
          <w:rFonts w:cs="Tahoma"/>
          <w:color w:val="000000"/>
          <w:szCs w:val="18"/>
        </w:rPr>
        <w:t> </w:t>
      </w:r>
      <w:r w:rsidRPr="004B208C">
        <w:rPr>
          <w:rFonts w:cs="Tahoma"/>
          <w:color w:val="000000"/>
          <w:szCs w:val="18"/>
        </w:rPr>
        <w:t>cobertura da Licença Qualificada expirar.</w:t>
      </w:r>
      <w:r w:rsidR="00172F11">
        <w:rPr>
          <w:rFonts w:cs="Tahoma"/>
          <w:color w:val="000000"/>
          <w:szCs w:val="18"/>
        </w:rPr>
        <w:t xml:space="preserve"> </w:t>
      </w:r>
      <w:r w:rsidRPr="004B208C">
        <w:rPr>
          <w:rFonts w:cs="Tahoma"/>
          <w:color w:val="000000"/>
          <w:szCs w:val="18"/>
        </w:rPr>
        <w:t>No término da cobertura do Software Assurance para a</w:t>
      </w:r>
      <w:r w:rsidR="00E35EBB">
        <w:rPr>
          <w:rFonts w:cs="Tahoma"/>
          <w:color w:val="000000"/>
          <w:szCs w:val="18"/>
        </w:rPr>
        <w:t> </w:t>
      </w:r>
      <w:r w:rsidRPr="004B208C">
        <w:rPr>
          <w:rFonts w:cs="Tahoma"/>
          <w:color w:val="000000"/>
          <w:szCs w:val="18"/>
        </w:rPr>
        <w:t>Licença Qualificada, o cliente poderá renovar o Software Assurance para a Licença Complementar sem precisar adquirir uma nova licença separadamente.</w:t>
      </w:r>
    </w:p>
    <w:p w:rsidR="009D3013" w:rsidRPr="00B77658" w:rsidRDefault="009D3013" w:rsidP="00A1385C">
      <w:pPr>
        <w:numPr>
          <w:ilvl w:val="0"/>
          <w:numId w:val="97"/>
        </w:numPr>
        <w:spacing w:after="60"/>
        <w:ind w:left="1440"/>
        <w:rPr>
          <w:rFonts w:cs="Tahoma"/>
        </w:rPr>
      </w:pPr>
      <w:r w:rsidRPr="004B208C">
        <w:rPr>
          <w:rFonts w:eastAsia="Calibri" w:cs="Tahoma"/>
          <w:color w:val="000000"/>
          <w:szCs w:val="18"/>
        </w:rPr>
        <w:t>Adequações (“true-ups”)</w:t>
      </w:r>
      <w:r w:rsidRPr="004B208C">
        <w:rPr>
          <w:rFonts w:eastAsia="Calibri" w:cs="Tahoma"/>
          <w:b/>
          <w:color w:val="000000"/>
          <w:szCs w:val="18"/>
        </w:rPr>
        <w:t>:</w:t>
      </w:r>
      <w:r w:rsidR="00172F11">
        <w:rPr>
          <w:rFonts w:eastAsia="Calibri" w:cs="Tahoma"/>
          <w:color w:val="000000"/>
          <w:szCs w:val="18"/>
        </w:rPr>
        <w:t xml:space="preserve"> </w:t>
      </w:r>
      <w:r w:rsidRPr="004B208C">
        <w:rPr>
          <w:rFonts w:eastAsia="Calibri" w:cs="Tahoma"/>
          <w:color w:val="000000"/>
          <w:szCs w:val="18"/>
        </w:rPr>
        <w:t xml:space="preserve">Para os clientes do Contrato Enterprise qualificados para essas licenças complementares e esses direitos conforme descrito acima, as licenças do Conector Externo do Exchange Server 2010 adquiridas como parte de um processo de adequação (“true-ups”) </w:t>
      </w:r>
      <w:r w:rsidRPr="004B208C">
        <w:rPr>
          <w:rFonts w:cs="Tahoma"/>
          <w:color w:val="000000"/>
          <w:szCs w:val="18"/>
        </w:rPr>
        <w:t>anuais do</w:t>
      </w:r>
      <w:r w:rsidR="00E35EBB">
        <w:rPr>
          <w:rFonts w:cs="Tahoma"/>
          <w:color w:val="000000"/>
          <w:szCs w:val="18"/>
        </w:rPr>
        <w:t> </w:t>
      </w:r>
      <w:r w:rsidRPr="004B208C">
        <w:rPr>
          <w:rFonts w:cs="Tahoma"/>
          <w:color w:val="000000"/>
          <w:szCs w:val="18"/>
        </w:rPr>
        <w:t>cliente também são Licenças Qualificadas.</w:t>
      </w:r>
    </w:p>
    <w:p w:rsidR="009D3013" w:rsidRPr="00E35EBB" w:rsidRDefault="009D3013" w:rsidP="00A1385C">
      <w:pPr>
        <w:numPr>
          <w:ilvl w:val="0"/>
          <w:numId w:val="97"/>
        </w:numPr>
        <w:spacing w:after="60"/>
        <w:ind w:left="1440"/>
        <w:rPr>
          <w:rFonts w:cs="Tahoma"/>
          <w:spacing w:val="-2"/>
        </w:rPr>
      </w:pPr>
      <w:r w:rsidRPr="00E35EBB">
        <w:rPr>
          <w:rFonts w:cs="Tahoma"/>
          <w:color w:val="000000"/>
          <w:spacing w:val="-2"/>
          <w:szCs w:val="18"/>
        </w:rPr>
        <w:t>Contratos Subscription:</w:t>
      </w:r>
      <w:r w:rsidR="00172F11" w:rsidRPr="00E35EBB">
        <w:rPr>
          <w:rFonts w:cs="Tahoma"/>
          <w:color w:val="000000"/>
          <w:spacing w:val="-2"/>
          <w:szCs w:val="18"/>
        </w:rPr>
        <w:t xml:space="preserve"> </w:t>
      </w:r>
      <w:r w:rsidRPr="00E35EBB">
        <w:rPr>
          <w:rFonts w:cs="Tahoma"/>
          <w:color w:val="000000"/>
          <w:spacing w:val="-2"/>
          <w:szCs w:val="18"/>
        </w:rPr>
        <w:t xml:space="preserve">Para Enterprise Subscription, </w:t>
      </w:r>
      <w:r w:rsidRPr="00E35EBB">
        <w:rPr>
          <w:rFonts w:cs="Tahoma"/>
          <w:spacing w:val="-2"/>
          <w:szCs w:val="18"/>
        </w:rPr>
        <w:t>Open Value Subscription, Campus e School, Enrollment for Education Solutions e Open Value Subscription – Education Solutions, os mesmos direitos serão outorgados temporariamente sob as mesmas condições</w:t>
      </w:r>
      <w:r w:rsidRPr="00E35EBB">
        <w:rPr>
          <w:rFonts w:cs="Tahoma"/>
          <w:color w:val="000000"/>
          <w:spacing w:val="-2"/>
          <w:szCs w:val="18"/>
        </w:rPr>
        <w:t xml:space="preserve"> até o final do prazo do registro atual (ou prazo do contrato no caso do Open Value).</w:t>
      </w:r>
      <w:r w:rsidR="00172F11" w:rsidRPr="00E35EBB">
        <w:rPr>
          <w:rFonts w:cs="Tahoma"/>
          <w:color w:val="000000"/>
          <w:spacing w:val="-2"/>
          <w:szCs w:val="18"/>
        </w:rPr>
        <w:t xml:space="preserve"> </w:t>
      </w:r>
      <w:r w:rsidRPr="00E35EBB">
        <w:rPr>
          <w:rFonts w:cs="Tahoma"/>
          <w:color w:val="000000"/>
          <w:spacing w:val="-2"/>
          <w:szCs w:val="18"/>
        </w:rPr>
        <w:t>O cliente deverá manter uma cobertura contínua da assinatura.</w:t>
      </w:r>
      <w:r w:rsidR="00172F11" w:rsidRPr="00E35EBB">
        <w:rPr>
          <w:rFonts w:cs="Tahoma"/>
          <w:color w:val="000000"/>
          <w:spacing w:val="-2"/>
          <w:szCs w:val="18"/>
        </w:rPr>
        <w:t xml:space="preserve"> </w:t>
      </w:r>
      <w:bookmarkStart w:id="1239" w:name="_Toc336338313"/>
      <w:r w:rsidRPr="00E35EBB">
        <w:rPr>
          <w:rFonts w:cs="Tahoma"/>
          <w:color w:val="000000"/>
          <w:spacing w:val="-2"/>
          <w:szCs w:val="18"/>
        </w:rPr>
        <w:t>Esses direitos só se tornarão permanentes se a opção de compra (“buy-out”) for exercida e continuarão sujeitos a todos os termos e condições do contrato de licença do cliente.</w:t>
      </w:r>
    </w:p>
    <w:p w:rsidR="009D3013" w:rsidRPr="00E35EBB" w:rsidRDefault="009D3013" w:rsidP="00A1385C">
      <w:pPr>
        <w:numPr>
          <w:ilvl w:val="0"/>
          <w:numId w:val="98"/>
        </w:numPr>
        <w:spacing w:after="60"/>
        <w:ind w:left="1440"/>
        <w:rPr>
          <w:rFonts w:cs="Tahoma"/>
          <w:spacing w:val="-2"/>
        </w:rPr>
      </w:pPr>
      <w:r w:rsidRPr="00E35EBB">
        <w:rPr>
          <w:rFonts w:cs="Tahoma"/>
          <w:spacing w:val="-2"/>
          <w:szCs w:val="18"/>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rsidR="009D3013" w:rsidRPr="00B77658" w:rsidRDefault="009D3013" w:rsidP="00A1385C">
      <w:pPr>
        <w:pStyle w:val="ListParagraph"/>
        <w:numPr>
          <w:ilvl w:val="0"/>
          <w:numId w:val="82"/>
        </w:numPr>
        <w:spacing w:after="60"/>
        <w:ind w:left="1980"/>
        <w:contextualSpacing w:val="0"/>
        <w:rPr>
          <w:rFonts w:ascii="Tahoma" w:hAnsi="Tahoma" w:cs="Tahoma"/>
          <w:sz w:val="18"/>
          <w:szCs w:val="18"/>
        </w:rPr>
      </w:pPr>
      <w:r w:rsidRPr="00B77658">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73424F" w:rsidRPr="00B77658" w:rsidRDefault="0073424F" w:rsidP="00A1385C">
      <w:pPr>
        <w:pStyle w:val="ListParagraph"/>
        <w:numPr>
          <w:ilvl w:val="0"/>
          <w:numId w:val="82"/>
        </w:numPr>
        <w:spacing w:after="60"/>
        <w:ind w:left="1980"/>
        <w:contextualSpacing w:val="0"/>
        <w:rPr>
          <w:rFonts w:ascii="Tahoma" w:hAnsi="Tahoma" w:cs="Tahoma"/>
          <w:sz w:val="18"/>
          <w:szCs w:val="18"/>
        </w:rPr>
      </w:pPr>
      <w:r w:rsidRPr="00B77658">
        <w:rPr>
          <w:rFonts w:ascii="Tahoma" w:hAnsi="Tahoma" w:cs="Tahoma"/>
          <w:sz w:val="18"/>
          <w:szCs w:val="18"/>
        </w:rPr>
        <w:t>Esses direitos só se tornarão permanentes se a opção de compra (“buy-out”) for exercida e</w:t>
      </w:r>
      <w:r w:rsidR="00B77658">
        <w:rPr>
          <w:rFonts w:ascii="Tahoma" w:hAnsi="Tahoma" w:cs="Tahoma"/>
          <w:sz w:val="18"/>
          <w:szCs w:val="18"/>
        </w:rPr>
        <w:t> </w:t>
      </w:r>
      <w:r w:rsidRPr="00B77658">
        <w:rPr>
          <w:rFonts w:ascii="Tahoma" w:hAnsi="Tahoma" w:cs="Tahoma"/>
          <w:sz w:val="18"/>
          <w:szCs w:val="18"/>
        </w:rPr>
        <w:t>continuarão sujeitos a todos os termos e condições do contrato de licença do cliente.</w:t>
      </w:r>
    </w:p>
    <w:p w:rsidR="004069A4" w:rsidRPr="00B77658" w:rsidRDefault="004069A4" w:rsidP="009D3013">
      <w:pPr>
        <w:pStyle w:val="EndnoteText"/>
        <w:ind w:left="540"/>
        <w:rPr>
          <w:rFonts w:ascii="Tahoma" w:hAnsi="Tahoma" w:cs="Tahoma"/>
          <w:sz w:val="18"/>
          <w:szCs w:val="18"/>
        </w:rPr>
      </w:pPr>
    </w:p>
    <w:p w:rsidR="009D3013" w:rsidRPr="00B77658" w:rsidRDefault="009D3013" w:rsidP="009D3013">
      <w:pPr>
        <w:pStyle w:val="EndnoteText"/>
        <w:ind w:left="540"/>
        <w:rPr>
          <w:rFonts w:ascii="Tahoma" w:hAnsi="Tahoma" w:cs="Tahoma"/>
          <w:sz w:val="18"/>
          <w:szCs w:val="18"/>
        </w:rPr>
      </w:pPr>
    </w:p>
    <w:p w:rsidR="004069A4" w:rsidRPr="004B208C" w:rsidRDefault="00A560B6" w:rsidP="004069A4">
      <w:pPr>
        <w:pStyle w:val="Heading3"/>
        <w:rPr>
          <w:rFonts w:ascii="Tahoma" w:hAnsi="Tahoma" w:cs="Tahoma"/>
        </w:rPr>
      </w:pPr>
      <w:bookmarkStart w:id="1240" w:name="_50_Exchange_Server"/>
      <w:bookmarkStart w:id="1241" w:name="_53_52_Exchange"/>
      <w:bookmarkStart w:id="1242" w:name="_58_Exchange_Server"/>
      <w:bookmarkStart w:id="1243" w:name="_Toc370981431"/>
      <w:bookmarkEnd w:id="1240"/>
      <w:bookmarkEnd w:id="1241"/>
      <w:bookmarkEnd w:id="1242"/>
      <w:r w:rsidRPr="004B208C">
        <w:rPr>
          <w:rFonts w:ascii="Tahoma" w:hAnsi="Tahoma" w:cs="Tahoma"/>
          <w:caps/>
          <w:color w:val="F66400"/>
          <w:sz w:val="22"/>
          <w:vertAlign w:val="superscript"/>
        </w:rPr>
        <w:t>57</w:t>
      </w:r>
      <w:r w:rsidRPr="004B208C">
        <w:rPr>
          <w:rFonts w:ascii="Tahoma" w:hAnsi="Tahoma" w:cs="Tahoma"/>
          <w:color w:val="F66400"/>
          <w:sz w:val="22"/>
        </w:rPr>
        <w:t xml:space="preserve"> CAL do Exchange Server 2010 Standard</w:t>
      </w:r>
      <w:bookmarkEnd w:id="1239"/>
      <w:bookmarkEnd w:id="1243"/>
    </w:p>
    <w:bookmarkEnd w:id="1232"/>
    <w:p w:rsidR="004069A4" w:rsidRPr="004B208C" w:rsidRDefault="004069A4" w:rsidP="004069A4">
      <w:pPr>
        <w:rPr>
          <w:rFonts w:cs="Tahoma"/>
        </w:rPr>
      </w:pPr>
    </w:p>
    <w:p w:rsidR="004069A4" w:rsidRPr="004B208C" w:rsidRDefault="004069A4" w:rsidP="005427B6">
      <w:pPr>
        <w:spacing w:after="60"/>
        <w:ind w:left="720"/>
        <w:rPr>
          <w:rFonts w:cs="Tahoma"/>
        </w:rPr>
      </w:pPr>
      <w:r w:rsidRPr="004B208C">
        <w:rPr>
          <w:rFonts w:cs="Tahoma"/>
          <w:b/>
          <w:color w:val="000000"/>
          <w:szCs w:val="18"/>
        </w:rPr>
        <w:t>Pastas Padrão Gerenciadas licenciadas com a CAL do Exchange Server 2010 Standard</w:t>
      </w:r>
    </w:p>
    <w:p w:rsidR="004069A4" w:rsidRPr="004B208C" w:rsidRDefault="004069A4" w:rsidP="00E62BC4">
      <w:pPr>
        <w:ind w:left="720"/>
        <w:rPr>
          <w:rFonts w:cs="Tahoma"/>
        </w:rPr>
      </w:pPr>
      <w:r w:rsidRPr="004B208C">
        <w:rPr>
          <w:rFonts w:cs="Tahoma"/>
          <w:color w:val="000000"/>
          <w:szCs w:val="18"/>
        </w:rPr>
        <w:t>O direito de acessar a funcionalidade de Pasta Padrão Gerenciada do Exchange Server 2010 é conferido sob</w:t>
      </w:r>
      <w:r w:rsidR="00B77658">
        <w:rPr>
          <w:rFonts w:cs="Tahoma"/>
          <w:color w:val="000000"/>
          <w:szCs w:val="18"/>
        </w:rPr>
        <w:t> </w:t>
      </w:r>
      <w:r w:rsidRPr="004B208C">
        <w:rPr>
          <w:rFonts w:cs="Tahoma"/>
          <w:color w:val="000000"/>
          <w:szCs w:val="18"/>
        </w:rPr>
        <w:t>a CAL do Exchange Server 2010 Standard e CALs equivalentes.</w:t>
      </w:r>
      <w:r w:rsidR="00172F11">
        <w:rPr>
          <w:rFonts w:cs="Tahoma"/>
          <w:color w:val="000000"/>
          <w:szCs w:val="18"/>
        </w:rPr>
        <w:t xml:space="preserve"> </w:t>
      </w:r>
      <w:r w:rsidRPr="004B208C">
        <w:rPr>
          <w:rFonts w:cs="Tahoma"/>
          <w:color w:val="000000"/>
          <w:szCs w:val="18"/>
        </w:rPr>
        <w:t xml:space="preserve">Uma CAL do Exchange Server 2010 Enterprise ou equivalente é necessária para acessar a funcionalidade de Pasta Personalizada Gerenciada, mas não a de Pasta Padrão Gerenciada. </w:t>
      </w:r>
    </w:p>
    <w:p w:rsidR="004069A4" w:rsidRPr="004B208C" w:rsidRDefault="004069A4" w:rsidP="00E62BC4">
      <w:pPr>
        <w:ind w:left="720"/>
        <w:rPr>
          <w:rFonts w:cs="Tahoma"/>
        </w:rPr>
      </w:pPr>
    </w:p>
    <w:p w:rsidR="00031547" w:rsidRPr="004B208C" w:rsidRDefault="00031547" w:rsidP="005427B6">
      <w:pPr>
        <w:spacing w:after="60"/>
        <w:ind w:left="720"/>
        <w:rPr>
          <w:rFonts w:cs="Tahoma"/>
        </w:rPr>
      </w:pPr>
      <w:r w:rsidRPr="004B208C">
        <w:rPr>
          <w:rFonts w:cs="Tahoma"/>
          <w:b/>
          <w:color w:val="000000"/>
          <w:szCs w:val="18"/>
        </w:rPr>
        <w:t>Pesquisa em Várias Caixas de Correio Licenciadas com a CAL Padrão do Exchange Server 2010</w:t>
      </w:r>
    </w:p>
    <w:p w:rsidR="00031547" w:rsidRPr="004B208C" w:rsidRDefault="00031547" w:rsidP="00BA1490">
      <w:pPr>
        <w:ind w:left="720"/>
        <w:rPr>
          <w:rFonts w:cs="Tahoma"/>
        </w:rPr>
      </w:pPr>
      <w:r w:rsidRPr="004B208C">
        <w:rPr>
          <w:rFonts w:cs="Tahoma"/>
          <w:bCs/>
          <w:szCs w:val="20"/>
        </w:rPr>
        <w:t>Estamos atualizando os direitos de uso do Exchange Server 2010 para refletir que o direito de acessar a</w:t>
      </w:r>
      <w:r w:rsidR="00B77658">
        <w:rPr>
          <w:rFonts w:cs="Tahoma"/>
          <w:bCs/>
          <w:szCs w:val="20"/>
        </w:rPr>
        <w:t> </w:t>
      </w:r>
      <w:r w:rsidRPr="004B208C">
        <w:rPr>
          <w:rFonts w:cs="Tahoma"/>
          <w:bCs/>
          <w:szCs w:val="20"/>
        </w:rPr>
        <w:t>funcionalidade de Pesquisa Cruzada em Caixa de Correio no Exchange Server 2010 é conferido de acordo com as CALs Padrão do Exchange Server 2010 e CALs equivalentes. Essa atualização é aplicável a todas as</w:t>
      </w:r>
      <w:r w:rsidR="00B77658">
        <w:rPr>
          <w:rFonts w:cs="Tahoma"/>
          <w:bCs/>
          <w:szCs w:val="20"/>
        </w:rPr>
        <w:t> </w:t>
      </w:r>
      <w:r w:rsidRPr="004B208C">
        <w:rPr>
          <w:rFonts w:cs="Tahoma"/>
          <w:bCs/>
          <w:szCs w:val="20"/>
        </w:rPr>
        <w:t>licenças do Exchange Server 2010.</w:t>
      </w:r>
    </w:p>
    <w:p w:rsidR="004069A4" w:rsidRPr="004B208C" w:rsidRDefault="004069A4" w:rsidP="005427B6">
      <w:pPr>
        <w:spacing w:after="60"/>
        <w:ind w:left="720"/>
        <w:rPr>
          <w:rFonts w:cs="Tahoma"/>
        </w:rPr>
      </w:pPr>
      <w:r w:rsidRPr="004B208C">
        <w:rPr>
          <w:rFonts w:cs="Tahoma"/>
          <w:b/>
          <w:color w:val="000000"/>
          <w:szCs w:val="18"/>
        </w:rPr>
        <w:lastRenderedPageBreak/>
        <w:t>CALs Somente para Aluno (Licença Academic Open e Academic Select)</w:t>
      </w:r>
    </w:p>
    <w:p w:rsidR="004069A4" w:rsidRDefault="004069A4" w:rsidP="00E62BC4">
      <w:pPr>
        <w:ind w:left="720"/>
        <w:rPr>
          <w:rFonts w:cs="Tahoma"/>
          <w:szCs w:val="20"/>
        </w:rPr>
      </w:pPr>
      <w:r w:rsidRPr="004B208C">
        <w:rPr>
          <w:rFonts w:cs="Tahoma"/>
          <w:szCs w:val="20"/>
        </w:rPr>
        <w:t>As CALs Somente para Aluno estão restritas a PCs de propriedade de um aluno ou de uma instituição licenciados dedicados a um aluno individual e NÃO se destinam ao uso em laboratórios ou salas de aula.</w:t>
      </w:r>
    </w:p>
    <w:p w:rsidR="006747B4" w:rsidRDefault="006747B4" w:rsidP="00E62BC4">
      <w:pPr>
        <w:ind w:left="720"/>
        <w:rPr>
          <w:rFonts w:cs="Tahoma"/>
          <w:szCs w:val="20"/>
        </w:rPr>
      </w:pPr>
    </w:p>
    <w:p w:rsidR="006747B4" w:rsidRPr="004B208C" w:rsidRDefault="006747B4" w:rsidP="00E62BC4">
      <w:pPr>
        <w:ind w:left="720"/>
        <w:rPr>
          <w:rFonts w:cs="Tahoma"/>
        </w:rPr>
      </w:pPr>
    </w:p>
    <w:p w:rsidR="00CC1B99" w:rsidRPr="004B208C" w:rsidRDefault="0085774C" w:rsidP="00CC1B99">
      <w:pPr>
        <w:pStyle w:val="Heading3"/>
        <w:rPr>
          <w:rFonts w:ascii="Tahoma" w:hAnsi="Tahoma" w:cs="Tahoma"/>
        </w:rPr>
      </w:pPr>
      <w:bookmarkStart w:id="1244" w:name="_53_Forefront_Endpoint"/>
      <w:bookmarkStart w:id="1245" w:name="_59_Forefront_Endpoint"/>
      <w:bookmarkStart w:id="1246" w:name="_Toc336338314"/>
      <w:bookmarkStart w:id="1247" w:name="Srv_51ForfrontEndpointProtection"/>
      <w:bookmarkStart w:id="1248" w:name="Srv_50ForfrontEndpointProtection"/>
      <w:bookmarkStart w:id="1249" w:name="Srv_43ExchangeSvr07StdCAL"/>
      <w:bookmarkStart w:id="1250" w:name="Srv_44ExchangeSvr2010StdCAL"/>
      <w:bookmarkStart w:id="1251" w:name="Srv_42ExchangeSvr07StdCAL"/>
      <w:bookmarkStart w:id="1252" w:name="_Toc370981432"/>
      <w:bookmarkEnd w:id="1244"/>
      <w:bookmarkEnd w:id="1245"/>
      <w:r w:rsidRPr="004B208C">
        <w:rPr>
          <w:rFonts w:ascii="Tahoma" w:hAnsi="Tahoma" w:cs="Tahoma"/>
          <w:caps/>
          <w:color w:val="F66400"/>
          <w:sz w:val="22"/>
          <w:vertAlign w:val="superscript"/>
        </w:rPr>
        <w:t>58</w:t>
      </w:r>
      <w:r w:rsidRPr="004B208C">
        <w:rPr>
          <w:rFonts w:ascii="Tahoma" w:hAnsi="Tahoma" w:cs="Tahoma"/>
          <w:color w:val="F66400"/>
          <w:sz w:val="22"/>
        </w:rPr>
        <w:t xml:space="preserve"> Forefront Endpoint Protection</w:t>
      </w:r>
      <w:bookmarkEnd w:id="1246"/>
      <w:bookmarkEnd w:id="1252"/>
    </w:p>
    <w:bookmarkEnd w:id="1247"/>
    <w:bookmarkEnd w:id="1248"/>
    <w:p w:rsidR="00CC1B99" w:rsidRPr="004B208C" w:rsidRDefault="00CC1B99" w:rsidP="00E62BC4">
      <w:pPr>
        <w:ind w:left="720"/>
        <w:rPr>
          <w:rFonts w:cs="Tahoma"/>
        </w:rPr>
      </w:pPr>
    </w:p>
    <w:p w:rsidR="008A1A57" w:rsidRPr="004B208C" w:rsidRDefault="008A1A57" w:rsidP="00E62BC4">
      <w:pPr>
        <w:tabs>
          <w:tab w:val="left" w:pos="1920"/>
        </w:tabs>
        <w:ind w:left="720"/>
        <w:rPr>
          <w:rFonts w:cs="Tahoma"/>
        </w:rPr>
      </w:pPr>
      <w:r w:rsidRPr="004B208C">
        <w:rPr>
          <w:rFonts w:cs="Tahoma"/>
        </w:rPr>
        <w:t xml:space="preserve">A partir de 1º de abril de 2012, o </w:t>
      </w:r>
      <w:r w:rsidRPr="004B208C">
        <w:rPr>
          <w:rFonts w:eastAsia="Calibri" w:cs="Tahoma"/>
          <w:szCs w:val="18"/>
        </w:rPr>
        <w:t xml:space="preserve">Forefront Endpoint Protection, como uma oferta para proteção do cliente, será substituído pelo </w:t>
      </w:r>
      <w:r w:rsidRPr="004B208C">
        <w:rPr>
          <w:rFonts w:cs="Tahoma"/>
        </w:rPr>
        <w:t>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rsidR="008A1A57" w:rsidRPr="004B208C" w:rsidRDefault="008A1A57" w:rsidP="00E62BC4">
      <w:pPr>
        <w:tabs>
          <w:tab w:val="left" w:pos="1920"/>
        </w:tabs>
        <w:ind w:left="720"/>
        <w:rPr>
          <w:rFonts w:cs="Tahoma"/>
        </w:rPr>
      </w:pPr>
    </w:p>
    <w:p w:rsidR="008A1A57" w:rsidRPr="004B208C" w:rsidRDefault="008A1A57" w:rsidP="00E62BC4">
      <w:pPr>
        <w:tabs>
          <w:tab w:val="left" w:pos="1920"/>
        </w:tabs>
        <w:ind w:left="720"/>
        <w:rPr>
          <w:rFonts w:cs="Tahoma"/>
        </w:rPr>
      </w:pPr>
      <w:r w:rsidRPr="004B208C">
        <w:rPr>
          <w:rFonts w:eastAsia="Calibri" w:cs="Tahoma"/>
          <w:szCs w:val="18"/>
        </w:rPr>
        <w:t xml:space="preserve">Os usuários com assinaturas do Forefront Endpoint Protection </w:t>
      </w:r>
      <w:r w:rsidRPr="004B208C">
        <w:rPr>
          <w:rFonts w:cs="Tahoma"/>
        </w:rPr>
        <w:t>e que ajudam o serviço a proteger os dispositivos do cliente, podem fazer atualização para o System Center 2012 Endpoint Protection para a mesma finalidade.</w:t>
      </w:r>
    </w:p>
    <w:p w:rsidR="008A1A57" w:rsidRPr="004B208C" w:rsidRDefault="008A1A57" w:rsidP="00E62BC4">
      <w:pPr>
        <w:tabs>
          <w:tab w:val="left" w:pos="1920"/>
        </w:tabs>
        <w:ind w:left="720"/>
        <w:rPr>
          <w:rFonts w:cs="Tahoma"/>
        </w:rPr>
      </w:pPr>
    </w:p>
    <w:p w:rsidR="008A1A57" w:rsidRPr="004B208C" w:rsidRDefault="008A1A57" w:rsidP="00E62BC4">
      <w:pPr>
        <w:tabs>
          <w:tab w:val="left" w:pos="1920"/>
        </w:tabs>
        <w:ind w:left="720"/>
        <w:rPr>
          <w:rFonts w:cs="Tahoma"/>
        </w:rPr>
      </w:pPr>
      <w:r w:rsidRPr="004B208C">
        <w:rPr>
          <w:rFonts w:eastAsia="Calibri" w:cs="Tahoma"/>
          <w:szCs w:val="18"/>
        </w:rPr>
        <w:t>Os usuários com assinaturas ativas do Forefront Endpoint Protection</w:t>
      </w:r>
      <w:r w:rsidRPr="004B208C">
        <w:rPr>
          <w:rFonts w:cs="Tahoma"/>
        </w:rPr>
        <w:t xml:space="preserve"> e que ajudam o serviço a proteger os dispositivos do servidor, podem continuar usando o serviço Forefront Endpoint Protection.</w:t>
      </w:r>
    </w:p>
    <w:p w:rsidR="008A1A57" w:rsidRPr="004B208C" w:rsidRDefault="008A1A57" w:rsidP="00E62BC4">
      <w:pPr>
        <w:ind w:left="720"/>
        <w:rPr>
          <w:rFonts w:cs="Tahoma"/>
        </w:rPr>
      </w:pPr>
    </w:p>
    <w:p w:rsidR="008A1A57" w:rsidRPr="004B208C" w:rsidRDefault="008A1A57" w:rsidP="00E62BC4">
      <w:pPr>
        <w:ind w:left="720"/>
        <w:rPr>
          <w:rFonts w:cs="Tahoma"/>
        </w:rPr>
      </w:pPr>
      <w:r w:rsidRPr="004B208C">
        <w:rPr>
          <w:rFonts w:eastAsia="Calibri" w:cs="Tahoma"/>
          <w:szCs w:val="18"/>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r w:rsidR="00172F11">
        <w:rPr>
          <w:rFonts w:eastAsia="Calibri" w:cs="Tahoma"/>
          <w:szCs w:val="18"/>
        </w:rPr>
        <w:t xml:space="preserve"> </w:t>
      </w:r>
    </w:p>
    <w:p w:rsidR="008A1A57" w:rsidRPr="004B208C" w:rsidRDefault="005427B6" w:rsidP="005427B6">
      <w:pPr>
        <w:spacing w:after="60"/>
        <w:ind w:left="720"/>
        <w:rPr>
          <w:rFonts w:cs="Tahoma"/>
        </w:rPr>
      </w:pPr>
      <w:r w:rsidRPr="004B208C">
        <w:rPr>
          <w:rFonts w:eastAsia="Calibri" w:cs="Tahoma"/>
          <w:b/>
          <w:szCs w:val="18"/>
        </w:rPr>
        <w:t>Uso Doméstico</w:t>
      </w:r>
    </w:p>
    <w:p w:rsidR="008A1A57" w:rsidRPr="004B208C" w:rsidRDefault="008A1A57" w:rsidP="00E62BC4">
      <w:pPr>
        <w:ind w:left="720"/>
        <w:rPr>
          <w:rFonts w:cs="Tahoma"/>
        </w:rPr>
      </w:pPr>
      <w:r w:rsidRPr="004B208C">
        <w:rPr>
          <w:rFonts w:eastAsia="Calibri" w:cs="Tahoma"/>
          <w:szCs w:val="18"/>
        </w:rPr>
        <w:t>Os clientes com as Licenças de Assinatura do Usuário atuais para qualificação do Forefront Endpoint Protection 2010 como programa de Uso Doméstico.</w:t>
      </w:r>
    </w:p>
    <w:p w:rsidR="00BA1490" w:rsidRPr="004B208C" w:rsidRDefault="00BA1490" w:rsidP="00BA1490">
      <w:pPr>
        <w:rPr>
          <w:rFonts w:cs="Tahoma"/>
        </w:rPr>
      </w:pPr>
      <w:bookmarkStart w:id="1253" w:name="_Toc254758297"/>
      <w:bookmarkStart w:id="1254" w:name="Srv_44ForefrontOnSecforExch"/>
      <w:bookmarkStart w:id="1255" w:name="Srv_43ForefrontOnSecforExch"/>
      <w:bookmarkEnd w:id="1249"/>
      <w:bookmarkEnd w:id="1250"/>
      <w:bookmarkEnd w:id="1251"/>
    </w:p>
    <w:p w:rsidR="00BA1490" w:rsidRPr="004B208C" w:rsidRDefault="00BA1490" w:rsidP="00BA1490">
      <w:pPr>
        <w:rPr>
          <w:rFonts w:cs="Tahoma"/>
        </w:rPr>
      </w:pPr>
    </w:p>
    <w:p w:rsidR="009E4FDD" w:rsidRPr="004B208C" w:rsidRDefault="00D629A3" w:rsidP="009E4FDD">
      <w:pPr>
        <w:pStyle w:val="Heading3"/>
        <w:rPr>
          <w:rFonts w:ascii="Tahoma" w:hAnsi="Tahoma" w:cs="Tahoma"/>
        </w:rPr>
      </w:pPr>
      <w:bookmarkStart w:id="1256" w:name="_54_Forefront_Identity"/>
      <w:bookmarkStart w:id="1257" w:name="_60_Forefront_Identity"/>
      <w:bookmarkStart w:id="1258" w:name="_Toc336338315"/>
      <w:bookmarkStart w:id="1259" w:name="Srv_43ForefrontIdMgr2010"/>
      <w:bookmarkStart w:id="1260" w:name="Srv_48ForefrontIdMgr2010"/>
      <w:bookmarkStart w:id="1261" w:name="Srv_45ForefrontIdMgr2010"/>
      <w:bookmarkStart w:id="1262" w:name="_Toc370981433"/>
      <w:bookmarkEnd w:id="1256"/>
      <w:bookmarkEnd w:id="1257"/>
      <w:r w:rsidRPr="004B208C">
        <w:rPr>
          <w:rFonts w:ascii="Tahoma" w:hAnsi="Tahoma" w:cs="Tahoma"/>
          <w:caps/>
          <w:color w:val="F66400"/>
          <w:sz w:val="22"/>
          <w:vertAlign w:val="superscript"/>
        </w:rPr>
        <w:t xml:space="preserve">59 </w:t>
      </w:r>
      <w:r w:rsidRPr="004B208C">
        <w:rPr>
          <w:rFonts w:ascii="Tahoma" w:hAnsi="Tahoma" w:cs="Tahoma"/>
          <w:color w:val="F66400"/>
          <w:sz w:val="22"/>
        </w:rPr>
        <w:t>Forefront Identity Manager 2010</w:t>
      </w:r>
      <w:bookmarkEnd w:id="1253"/>
      <w:r w:rsidRPr="004B208C">
        <w:rPr>
          <w:rFonts w:ascii="Tahoma" w:hAnsi="Tahoma" w:cs="Tahoma"/>
          <w:color w:val="F66400"/>
          <w:sz w:val="22"/>
        </w:rPr>
        <w:t xml:space="preserve"> R2</w:t>
      </w:r>
      <w:bookmarkEnd w:id="1258"/>
      <w:bookmarkEnd w:id="1262"/>
    </w:p>
    <w:bookmarkEnd w:id="1259"/>
    <w:bookmarkEnd w:id="1260"/>
    <w:bookmarkEnd w:id="1261"/>
    <w:p w:rsidR="009E4FDD" w:rsidRPr="004B208C" w:rsidRDefault="009E4FDD" w:rsidP="009E4FDD">
      <w:pPr>
        <w:ind w:left="720"/>
        <w:rPr>
          <w:rFonts w:cs="Tahoma"/>
        </w:rPr>
      </w:pPr>
    </w:p>
    <w:p w:rsidR="009E4FDD" w:rsidRPr="004B208C" w:rsidRDefault="009E4FDD" w:rsidP="005427B6">
      <w:pPr>
        <w:spacing w:after="60"/>
        <w:ind w:left="720"/>
        <w:rPr>
          <w:rFonts w:cs="Tahoma"/>
        </w:rPr>
      </w:pPr>
      <w:r w:rsidRPr="004B208C">
        <w:rPr>
          <w:rFonts w:cs="Tahoma"/>
          <w:b/>
          <w:color w:val="000000"/>
          <w:szCs w:val="18"/>
        </w:rPr>
        <w:t>Versão</w:t>
      </w:r>
    </w:p>
    <w:p w:rsidR="009E4FDD" w:rsidRPr="004B208C" w:rsidRDefault="009E4FDD" w:rsidP="005427B6">
      <w:pPr>
        <w:ind w:left="720"/>
        <w:rPr>
          <w:rFonts w:cs="Tahoma"/>
        </w:rPr>
      </w:pPr>
      <w:r w:rsidRPr="004B208C">
        <w:rPr>
          <w:rFonts w:cs="Tahoma"/>
          <w:color w:val="000000"/>
          <w:szCs w:val="18"/>
        </w:rPr>
        <w:t>O Forefront Identity Manager 2010 R2 é a próxima versão do Forefront Identity Manager 2010.</w:t>
      </w:r>
    </w:p>
    <w:p w:rsidR="005427B6" w:rsidRPr="004B208C" w:rsidRDefault="005427B6" w:rsidP="005427B6">
      <w:pPr>
        <w:rPr>
          <w:rFonts w:cs="Tahoma"/>
        </w:rPr>
      </w:pPr>
    </w:p>
    <w:p w:rsidR="005427B6" w:rsidRPr="004B208C" w:rsidRDefault="005427B6" w:rsidP="005427B6">
      <w:pPr>
        <w:rPr>
          <w:rFonts w:cs="Tahoma"/>
        </w:rPr>
      </w:pPr>
    </w:p>
    <w:p w:rsidR="00936C19" w:rsidRPr="004B208C" w:rsidRDefault="00A560B6" w:rsidP="005427B6">
      <w:pPr>
        <w:pStyle w:val="Heading2"/>
        <w:ind w:left="0"/>
        <w:rPr>
          <w:rFonts w:ascii="Tahoma" w:hAnsi="Tahoma" w:cs="Tahoma"/>
        </w:rPr>
      </w:pPr>
      <w:bookmarkStart w:id="1263" w:name="_55_Forefront_Identity"/>
      <w:bookmarkStart w:id="1264" w:name="_61_Forefront_Identity"/>
      <w:bookmarkStart w:id="1265" w:name="_Toc336338316"/>
      <w:bookmarkStart w:id="1266" w:name="Srv_54ForefrontIDMgrWinLiveEd"/>
      <w:bookmarkStart w:id="1267" w:name="Srv_46ForefrontOnlineProforExch"/>
      <w:bookmarkStart w:id="1268" w:name="_Toc370981434"/>
      <w:bookmarkEnd w:id="1263"/>
      <w:bookmarkEnd w:id="1264"/>
      <w:r w:rsidRPr="004B208C">
        <w:rPr>
          <w:rFonts w:ascii="Tahoma" w:hAnsi="Tahoma" w:cs="Tahoma"/>
          <w:caps/>
          <w:color w:val="F26200"/>
          <w:sz w:val="20"/>
          <w:vertAlign w:val="superscript"/>
        </w:rPr>
        <w:t>60</w:t>
      </w:r>
      <w:r w:rsidRPr="004B208C">
        <w:rPr>
          <w:rFonts w:ascii="Tahoma" w:hAnsi="Tahoma" w:cs="Tahoma"/>
          <w:color w:val="F26200"/>
        </w:rPr>
        <w:t xml:space="preserve"> </w:t>
      </w:r>
      <w:r w:rsidRPr="004B208C">
        <w:rPr>
          <w:rFonts w:ascii="Tahoma" w:hAnsi="Tahoma" w:cs="Tahoma"/>
          <w:color w:val="F26200"/>
          <w:sz w:val="22"/>
        </w:rPr>
        <w:t>Forefront Identity Manager 2010 – Windows Live Edition</w:t>
      </w:r>
      <w:bookmarkEnd w:id="1265"/>
      <w:bookmarkEnd w:id="1266"/>
      <w:bookmarkEnd w:id="1268"/>
    </w:p>
    <w:p w:rsidR="005427B6" w:rsidRPr="004B208C" w:rsidRDefault="005427B6" w:rsidP="005427B6">
      <w:pPr>
        <w:rPr>
          <w:rFonts w:cs="Tahoma"/>
        </w:rPr>
      </w:pPr>
    </w:p>
    <w:p w:rsidR="005D346C" w:rsidRPr="004B208C" w:rsidRDefault="005D346C" w:rsidP="005427B6">
      <w:pPr>
        <w:spacing w:after="60"/>
        <w:ind w:left="720"/>
        <w:rPr>
          <w:rFonts w:cs="Tahoma"/>
        </w:rPr>
      </w:pPr>
      <w:r w:rsidRPr="004B208C">
        <w:rPr>
          <w:rFonts w:cs="Tahoma"/>
          <w:b/>
          <w:color w:val="000000"/>
          <w:szCs w:val="18"/>
        </w:rPr>
        <w:t>Versão</w:t>
      </w:r>
    </w:p>
    <w:p w:rsidR="005D346C" w:rsidRPr="004B208C" w:rsidRDefault="005D346C" w:rsidP="00E62BC4">
      <w:pPr>
        <w:ind w:left="720"/>
        <w:rPr>
          <w:rFonts w:cs="Tahoma"/>
        </w:rPr>
      </w:pPr>
      <w:r w:rsidRPr="004B208C">
        <w:rPr>
          <w:rFonts w:cs="Tahoma"/>
          <w:color w:val="000000"/>
        </w:rPr>
        <w:t>O Forefront Identity Manager 2010 – Windows Live Edition é a próxima versão do Identity Lifecycle Manager 2007 – Windows Live Edition</w:t>
      </w:r>
    </w:p>
    <w:p w:rsidR="005D484B" w:rsidRPr="004B208C" w:rsidRDefault="005D484B" w:rsidP="003C3A72">
      <w:pPr>
        <w:rPr>
          <w:rFonts w:cs="Tahoma"/>
        </w:rPr>
      </w:pPr>
    </w:p>
    <w:p w:rsidR="007B35CE" w:rsidRPr="004B208C" w:rsidRDefault="007B35CE" w:rsidP="003C3A72">
      <w:pPr>
        <w:rPr>
          <w:rFonts w:cs="Tahoma"/>
        </w:rPr>
      </w:pPr>
    </w:p>
    <w:p w:rsidR="005D484B" w:rsidRPr="004B208C" w:rsidRDefault="00A560B6" w:rsidP="005D484B">
      <w:pPr>
        <w:pStyle w:val="Heading3"/>
        <w:rPr>
          <w:rFonts w:ascii="Tahoma" w:hAnsi="Tahoma" w:cs="Tahoma"/>
        </w:rPr>
      </w:pPr>
      <w:bookmarkStart w:id="1269" w:name="_59_Forefront_Online"/>
      <w:bookmarkStart w:id="1270" w:name="_62_Forefront_Online"/>
      <w:bookmarkStart w:id="1271" w:name="_Toc336338317"/>
      <w:bookmarkStart w:id="1272" w:name="_Toc343596542"/>
      <w:bookmarkStart w:id="1273" w:name="_Toc370981435"/>
      <w:bookmarkEnd w:id="1269"/>
      <w:bookmarkEnd w:id="1270"/>
      <w:r w:rsidRPr="004B208C">
        <w:rPr>
          <w:rFonts w:ascii="Tahoma" w:hAnsi="Tahoma" w:cs="Tahoma"/>
          <w:caps/>
          <w:color w:val="F66400"/>
          <w:sz w:val="22"/>
          <w:vertAlign w:val="superscript"/>
        </w:rPr>
        <w:t>61</w:t>
      </w:r>
      <w:r w:rsidRPr="004B208C">
        <w:rPr>
          <w:rFonts w:ascii="Tahoma" w:hAnsi="Tahoma" w:cs="Tahoma"/>
          <w:color w:val="F66400"/>
          <w:sz w:val="22"/>
        </w:rPr>
        <w:t xml:space="preserve"> Forefront Online Protection para Exchange (SL de Dispositivo e Usuário)</w:t>
      </w:r>
      <w:bookmarkEnd w:id="1271"/>
      <w:bookmarkEnd w:id="1272"/>
      <w:bookmarkEnd w:id="1273"/>
    </w:p>
    <w:p w:rsidR="005D484B" w:rsidRPr="00B77658" w:rsidRDefault="005D484B" w:rsidP="005D484B">
      <w:pPr>
        <w:pStyle w:val="EndnoteText"/>
        <w:tabs>
          <w:tab w:val="center" w:pos="5306"/>
        </w:tabs>
        <w:ind w:left="0"/>
        <w:rPr>
          <w:rFonts w:ascii="Tahoma" w:hAnsi="Tahoma" w:cs="Tahoma"/>
          <w:sz w:val="18"/>
          <w:szCs w:val="18"/>
        </w:rPr>
      </w:pPr>
    </w:p>
    <w:p w:rsidR="005D484B" w:rsidRPr="004B208C" w:rsidRDefault="005D484B" w:rsidP="005D484B">
      <w:pPr>
        <w:spacing w:after="200" w:line="276" w:lineRule="auto"/>
        <w:ind w:left="720"/>
        <w:rPr>
          <w:rFonts w:cs="Tahoma"/>
        </w:rPr>
      </w:pPr>
      <w:r w:rsidRPr="004B208C">
        <w:rPr>
          <w:rFonts w:eastAsia="Calibri" w:cs="Tahoma"/>
          <w:bCs/>
          <w:color w:val="000000"/>
          <w:szCs w:val="18"/>
        </w:rPr>
        <w:t>Para o Forefront Online Security para Exchange (anteriormente, Exchange Hosted Filtering),</w:t>
      </w:r>
      <w:r w:rsidR="00172F11">
        <w:rPr>
          <w:rFonts w:eastAsia="Calibri" w:cs="Tahoma"/>
          <w:bCs/>
          <w:color w:val="FF0000"/>
          <w:szCs w:val="18"/>
        </w:rPr>
        <w:t xml:space="preserve"> </w:t>
      </w:r>
      <w:r w:rsidRPr="004B208C">
        <w:rPr>
          <w:rFonts w:eastAsia="Calibri" w:cs="Tahoma"/>
          <w:bCs/>
          <w:color w:val="000000"/>
          <w:szCs w:val="18"/>
        </w:rPr>
        <w:t>os clientes deverão usar o mesmo registro de contrato Select, registro de contrato Enterprise ou contrato Open Value ativo para fazer pedidos subsequentes ao pedido inicial.</w:t>
      </w:r>
    </w:p>
    <w:p w:rsidR="005D484B" w:rsidRPr="004B208C" w:rsidRDefault="005D484B" w:rsidP="005D484B">
      <w:pPr>
        <w:ind w:left="720"/>
        <w:rPr>
          <w:rFonts w:cs="Tahoma"/>
        </w:rPr>
      </w:pPr>
      <w:r w:rsidRPr="004B208C">
        <w:rPr>
          <w:rFonts w:cs="Tahoma"/>
          <w:bCs/>
          <w:color w:val="000000"/>
          <w:szCs w:val="18"/>
        </w:rPr>
        <w:t>Como esse serviço online é provisionado por domínio, todos os usuários (ou dispositivos) em qualquer domínio coberto precisarão de SLs de Usuário (ou Dispositivo).</w:t>
      </w:r>
      <w:r w:rsidR="00172F11">
        <w:rPr>
          <w:rFonts w:cs="Tahoma"/>
          <w:bCs/>
          <w:color w:val="000000"/>
          <w:szCs w:val="18"/>
        </w:rPr>
        <w:t xml:space="preserve"> </w:t>
      </w:r>
      <w:r w:rsidRPr="004B208C">
        <w:rPr>
          <w:rFonts w:cs="Tahoma"/>
          <w:bCs/>
          <w:color w:val="000000"/>
          <w:szCs w:val="18"/>
        </w:rPr>
        <w:t>Os clientes que desejarem o serviço para um subconjunto de sua base de usuários (ou base de dispositivos) poderão criar subdomínios para um provisionamento mais direcionado.</w:t>
      </w:r>
      <w:r w:rsidR="00172F11">
        <w:rPr>
          <w:rFonts w:cs="Tahoma"/>
          <w:bCs/>
          <w:color w:val="000000"/>
          <w:szCs w:val="18"/>
        </w:rPr>
        <w:t xml:space="preserve"> </w:t>
      </w:r>
      <w:r w:rsidRPr="004B208C">
        <w:rPr>
          <w:rFonts w:cs="Tahoma"/>
          <w:bCs/>
          <w:color w:val="000000"/>
          <w:szCs w:val="18"/>
        </w:rPr>
        <w:t>Somente os usuários (ou dispositivos) no subdomínio coberto precisarão de SLs de Usuário (ou Dispositivo).</w:t>
      </w:r>
    </w:p>
    <w:p w:rsidR="005D484B" w:rsidRPr="00B77658" w:rsidRDefault="005D484B" w:rsidP="005D484B">
      <w:pPr>
        <w:pStyle w:val="EndnoteText"/>
        <w:ind w:left="720"/>
        <w:rPr>
          <w:rFonts w:ascii="Tahoma" w:hAnsi="Tahoma" w:cs="Tahoma"/>
          <w:sz w:val="18"/>
          <w:szCs w:val="18"/>
        </w:rPr>
      </w:pPr>
    </w:p>
    <w:p w:rsidR="005D484B" w:rsidRPr="004B208C" w:rsidRDefault="005D484B" w:rsidP="003C3A72">
      <w:pPr>
        <w:pStyle w:val="PlainText"/>
        <w:ind w:left="720"/>
        <w:rPr>
          <w:rFonts w:ascii="Tahoma" w:hAnsi="Tahoma" w:cs="Tahoma"/>
        </w:rPr>
      </w:pPr>
      <w:r w:rsidRPr="004B208C">
        <w:rPr>
          <w:rFonts w:ascii="Tahoma" w:hAnsi="Tahoma" w:cs="Tahoma"/>
          <w:bCs/>
          <w:color w:val="000000"/>
          <w:sz w:val="18"/>
          <w:szCs w:val="20"/>
        </w:rPr>
        <w:t>Consulte a</w:t>
      </w:r>
      <w:hyperlink w:anchor="_Section_10_–" w:history="1">
        <w:r w:rsidRPr="00B77658">
          <w:rPr>
            <w:rStyle w:val="Hyperlink"/>
            <w:rFonts w:ascii="Tahoma" w:hAnsi="Tahoma" w:cs="Tahoma"/>
            <w:sz w:val="18"/>
            <w:u w:val="none"/>
          </w:rPr>
          <w:t xml:space="preserve"> </w:t>
        </w:r>
        <w:r w:rsidRPr="004B208C">
          <w:rPr>
            <w:rStyle w:val="Hyperlink"/>
            <w:rFonts w:ascii="Tahoma" w:hAnsi="Tahoma" w:cs="Tahoma"/>
            <w:sz w:val="18"/>
          </w:rPr>
          <w:t>Seção 10</w:t>
        </w:r>
      </w:hyperlink>
      <w:r w:rsidRPr="004B208C">
        <w:rPr>
          <w:rFonts w:ascii="Tahoma" w:hAnsi="Tahoma" w:cs="Tahoma"/>
          <w:bCs/>
          <w:color w:val="000000"/>
          <w:sz w:val="18"/>
          <w:szCs w:val="20"/>
        </w:rPr>
        <w:t xml:space="preserve"> para obter informações sobre os termos de pagamento e preços dos serviços online. </w:t>
      </w:r>
    </w:p>
    <w:p w:rsidR="005D346C" w:rsidRPr="004B208C" w:rsidRDefault="005D346C" w:rsidP="005D346C">
      <w:pPr>
        <w:rPr>
          <w:rFonts w:cs="Tahoma"/>
        </w:rPr>
      </w:pPr>
    </w:p>
    <w:p w:rsidR="00273685" w:rsidRPr="004B208C" w:rsidRDefault="00A560B6" w:rsidP="00E35EBB">
      <w:pPr>
        <w:pStyle w:val="Heading3"/>
        <w:ind w:left="259" w:hanging="259"/>
        <w:rPr>
          <w:rFonts w:ascii="Tahoma" w:hAnsi="Tahoma" w:cs="Tahoma"/>
        </w:rPr>
      </w:pPr>
      <w:bookmarkStart w:id="1274" w:name="_54_Forefront_Protection"/>
      <w:bookmarkStart w:id="1275" w:name="_55_Forefront_Protection"/>
      <w:bookmarkStart w:id="1276" w:name="_60_Forefront_Protection"/>
      <w:bookmarkStart w:id="1277" w:name="_63_Forefront_Protection"/>
      <w:bookmarkStart w:id="1278" w:name="_Toc336338318"/>
      <w:bookmarkStart w:id="1279" w:name="Srv_44ForefrontSecforExcSharep"/>
      <w:bookmarkStart w:id="1280" w:name="Srv_45ForefrontSecforExcSharep"/>
      <w:bookmarkStart w:id="1281" w:name="Srv_48ForefrontProtectionSuite"/>
      <w:bookmarkStart w:id="1282" w:name="_Toc370981436"/>
      <w:bookmarkEnd w:id="1254"/>
      <w:bookmarkEnd w:id="1255"/>
      <w:bookmarkEnd w:id="1267"/>
      <w:bookmarkEnd w:id="1274"/>
      <w:bookmarkEnd w:id="1275"/>
      <w:bookmarkEnd w:id="1276"/>
      <w:bookmarkEnd w:id="1277"/>
      <w:r w:rsidRPr="004B208C">
        <w:rPr>
          <w:rFonts w:ascii="Tahoma" w:hAnsi="Tahoma" w:cs="Tahoma"/>
          <w:caps/>
          <w:color w:val="F66400"/>
          <w:sz w:val="22"/>
          <w:vertAlign w:val="superscript"/>
        </w:rPr>
        <w:lastRenderedPageBreak/>
        <w:t>62</w:t>
      </w:r>
      <w:r w:rsidRPr="004B208C">
        <w:rPr>
          <w:rFonts w:ascii="Tahoma" w:hAnsi="Tahoma" w:cs="Tahoma"/>
          <w:color w:val="F66400"/>
          <w:sz w:val="22"/>
        </w:rPr>
        <w:t xml:space="preserve"> Forefront Protection 2010 para Exchange Server (SL de Usuário e Dispositivo), Forefront Protection 2010 para SharePoint (SL de Usuário e Dispositivo)</w:t>
      </w:r>
      <w:bookmarkEnd w:id="1278"/>
      <w:r w:rsidRPr="004B208C">
        <w:rPr>
          <w:rFonts w:ascii="Tahoma" w:hAnsi="Tahoma" w:cs="Tahoma"/>
          <w:color w:val="F66400"/>
          <w:sz w:val="22"/>
        </w:rPr>
        <w:t xml:space="preserve"> e</w:t>
      </w:r>
      <w:r w:rsidR="00B77658">
        <w:rPr>
          <w:rFonts w:ascii="Tahoma" w:hAnsi="Tahoma" w:cs="Tahoma"/>
          <w:color w:val="F66400"/>
          <w:sz w:val="22"/>
        </w:rPr>
        <w:t> </w:t>
      </w:r>
      <w:r w:rsidRPr="004B208C">
        <w:rPr>
          <w:rFonts w:ascii="Tahoma" w:hAnsi="Tahoma" w:cs="Tahoma"/>
          <w:color w:val="F66400"/>
          <w:sz w:val="22"/>
        </w:rPr>
        <w:t>Forefront Protection 2010 para Sites de Internet (SL Complementar)</w:t>
      </w:r>
      <w:bookmarkEnd w:id="1282"/>
    </w:p>
    <w:bookmarkEnd w:id="1279"/>
    <w:bookmarkEnd w:id="1280"/>
    <w:p w:rsidR="00273685" w:rsidRPr="004B208C" w:rsidRDefault="00273685" w:rsidP="00273685">
      <w:pPr>
        <w:ind w:left="720"/>
        <w:rPr>
          <w:rFonts w:cs="Tahoma"/>
        </w:rPr>
      </w:pPr>
    </w:p>
    <w:p w:rsidR="00273685" w:rsidRPr="004B208C" w:rsidRDefault="00273685" w:rsidP="00273685">
      <w:pPr>
        <w:ind w:left="720"/>
        <w:rPr>
          <w:rFonts w:cs="Tahoma"/>
        </w:rPr>
      </w:pPr>
      <w:r w:rsidRPr="004B208C">
        <w:rPr>
          <w:rFonts w:cs="Tahoma"/>
          <w:bCs/>
          <w:color w:val="000000"/>
          <w:szCs w:val="18"/>
        </w:rPr>
        <w:t>Forefront Protection 2010 para SharePoint, Forefront Protection 2010 para Exchange Server e Forefront Protection 2010 para Sites de Internet não estarão mais disponíveis a partir de 1º de dezembro de 2012. Os</w:t>
      </w:r>
      <w:r w:rsidR="00B77658">
        <w:rPr>
          <w:rFonts w:cs="Tahoma"/>
          <w:bCs/>
          <w:color w:val="000000"/>
          <w:szCs w:val="18"/>
        </w:rPr>
        <w:t> </w:t>
      </w:r>
      <w:r w:rsidRPr="004B208C">
        <w:rPr>
          <w:rFonts w:cs="Tahoma"/>
          <w:bCs/>
          <w:color w:val="000000"/>
          <w:szCs w:val="18"/>
        </w:rPr>
        <w:t xml:space="preserve">clientes existentes com assinaturas ativas para os serviços online a partir de 30 de novembro de 2012 poderão continuar a usar os serviços online até 31 de dezembro de 2015. </w:t>
      </w:r>
      <w:r w:rsidRPr="004B208C">
        <w:rPr>
          <w:rFonts w:cs="Tahoma"/>
        </w:rPr>
        <w:t>Os clientes existentes também poderão adicionar novos usuários, conforme necessário, sem qualquer exigência de pedidos de Licenças adicionais de Assinaturas do Usuário.</w:t>
      </w:r>
      <w:r w:rsidR="00172F11">
        <w:rPr>
          <w:rFonts w:cs="Tahoma"/>
        </w:rPr>
        <w:t xml:space="preserve"> </w:t>
      </w:r>
      <w:r w:rsidRPr="004B208C">
        <w:rPr>
          <w:rFonts w:cs="Tahoma"/>
          <w:bCs/>
          <w:color w:val="000000"/>
          <w:szCs w:val="18"/>
        </w:rPr>
        <w:t>O uso contínuo dos serviços online permanece sujeito aos termos e</w:t>
      </w:r>
      <w:r w:rsidR="00B77658">
        <w:rPr>
          <w:rFonts w:cs="Tahoma"/>
          <w:bCs/>
          <w:color w:val="000000"/>
          <w:szCs w:val="18"/>
        </w:rPr>
        <w:t> </w:t>
      </w:r>
      <w:r w:rsidRPr="004B208C">
        <w:rPr>
          <w:rFonts w:cs="Tahoma"/>
          <w:bCs/>
          <w:color w:val="000000"/>
          <w:szCs w:val="18"/>
        </w:rPr>
        <w:t>às</w:t>
      </w:r>
      <w:r w:rsidR="00B77658">
        <w:rPr>
          <w:rFonts w:cs="Tahoma"/>
          <w:bCs/>
          <w:color w:val="000000"/>
          <w:szCs w:val="18"/>
        </w:rPr>
        <w:t> </w:t>
      </w:r>
      <w:r w:rsidRPr="004B208C">
        <w:rPr>
          <w:rFonts w:cs="Tahoma"/>
          <w:bCs/>
          <w:color w:val="000000"/>
          <w:szCs w:val="18"/>
        </w:rPr>
        <w:t xml:space="preserve">condições do contrato de Licenciamento por Volume do cliente, dos direitos de uso do produto do serviço online e dos termos e das condições aqui. </w:t>
      </w:r>
    </w:p>
    <w:p w:rsidR="00273685" w:rsidRPr="004B208C" w:rsidRDefault="00273685" w:rsidP="00273685">
      <w:pPr>
        <w:ind w:left="720"/>
        <w:rPr>
          <w:rFonts w:cs="Tahoma"/>
        </w:rPr>
      </w:pPr>
    </w:p>
    <w:p w:rsidR="00273685" w:rsidRPr="004B208C" w:rsidRDefault="00273685" w:rsidP="001760D6">
      <w:pPr>
        <w:keepNext/>
        <w:spacing w:after="60"/>
        <w:ind w:left="720"/>
        <w:rPr>
          <w:rFonts w:cs="Tahoma"/>
        </w:rPr>
      </w:pPr>
      <w:r w:rsidRPr="004B208C">
        <w:rPr>
          <w:rFonts w:cs="Tahoma"/>
          <w:b/>
          <w:szCs w:val="20"/>
        </w:rPr>
        <w:t>Direito de migração para o Forefront Protection 2010 for Exchange Server</w:t>
      </w:r>
    </w:p>
    <w:p w:rsidR="00273685" w:rsidRPr="004B208C" w:rsidRDefault="00273685" w:rsidP="00221A57">
      <w:pPr>
        <w:ind w:left="720"/>
        <w:rPr>
          <w:rFonts w:cs="Tahoma"/>
        </w:rPr>
      </w:pPr>
      <w:r w:rsidRPr="004B208C">
        <w:rPr>
          <w:rFonts w:cs="Tahoma"/>
          <w:color w:val="000000"/>
          <w:szCs w:val="20"/>
        </w:rPr>
        <w:t>Os clientes de Licenciamento por Volume que adquiriram uma licença para o Forefront Protection 2010 for Exchange Server estão qualificados para usar o Antigen para Exchange, o Antigen para Gateways SMTP e</w:t>
      </w:r>
      <w:r w:rsidR="00B77658">
        <w:rPr>
          <w:rFonts w:cs="Tahoma"/>
          <w:color w:val="000000"/>
          <w:szCs w:val="20"/>
        </w:rPr>
        <w:t> </w:t>
      </w:r>
      <w:r w:rsidRPr="004B208C">
        <w:rPr>
          <w:rFonts w:cs="Tahoma"/>
          <w:color w:val="000000"/>
          <w:szCs w:val="20"/>
        </w:rPr>
        <w:t>o</w:t>
      </w:r>
      <w:r w:rsidR="00B77658">
        <w:rPr>
          <w:rFonts w:cs="Tahoma"/>
          <w:color w:val="000000"/>
          <w:szCs w:val="20"/>
        </w:rPr>
        <w:t> </w:t>
      </w:r>
      <w:r w:rsidRPr="004B208C">
        <w:rPr>
          <w:rFonts w:cs="Tahoma"/>
          <w:color w:val="000000"/>
          <w:szCs w:val="20"/>
        </w:rPr>
        <w:t>Antigen Spam Manager no lugar do Forefront Protection 2010 para Exchange Server.</w:t>
      </w:r>
      <w:r w:rsidR="00172F11">
        <w:rPr>
          <w:rFonts w:cs="Tahoma"/>
          <w:color w:val="000000"/>
          <w:szCs w:val="20"/>
        </w:rPr>
        <w:t xml:space="preserve"> </w:t>
      </w:r>
      <w:r w:rsidRPr="004B208C">
        <w:rPr>
          <w:rFonts w:cs="Tahoma"/>
          <w:color w:val="000000"/>
          <w:szCs w:val="20"/>
        </w:rPr>
        <w:t>O uso do Antigen para Exchange, do Antigen para Gateways SMTP e do Antigen Spam Manager está sujeito ao respectivo contrato de licença e aos direitos de uso do Forefront Protection 2010 for Exchange Server.* Os direitos dos</w:t>
      </w:r>
      <w:r w:rsidR="00B77658">
        <w:rPr>
          <w:rFonts w:cs="Tahoma"/>
          <w:color w:val="000000"/>
          <w:szCs w:val="20"/>
        </w:rPr>
        <w:t> </w:t>
      </w:r>
      <w:r w:rsidRPr="004B208C">
        <w:rPr>
          <w:rFonts w:cs="Tahoma"/>
          <w:color w:val="000000"/>
          <w:szCs w:val="20"/>
        </w:rPr>
        <w:t>clientes de usar o Antigen para Exchange, o Antigen para Gateways SMTP e o Antigen Spam Manager expirarão quando os direitos sob a licença do Forefront Protection 2010 for Exchange Server expirarem.</w:t>
      </w:r>
    </w:p>
    <w:p w:rsidR="00273685" w:rsidRPr="004B208C" w:rsidRDefault="00273685" w:rsidP="00221A57">
      <w:pPr>
        <w:ind w:left="720"/>
        <w:rPr>
          <w:rFonts w:cs="Tahoma"/>
        </w:rPr>
      </w:pPr>
    </w:p>
    <w:p w:rsidR="00273685" w:rsidRPr="00B77658" w:rsidRDefault="00273685" w:rsidP="00221A57">
      <w:pPr>
        <w:ind w:left="720"/>
        <w:rPr>
          <w:rFonts w:cs="Tahoma"/>
          <w:spacing w:val="-2"/>
        </w:rPr>
      </w:pPr>
      <w:r w:rsidRPr="00B77658">
        <w:rPr>
          <w:rFonts w:cs="Tahoma"/>
          <w:color w:val="000000"/>
          <w:spacing w:val="-2"/>
          <w:szCs w:val="20"/>
        </w:rPr>
        <w:t>*O direito de usar o Antigen no lugar do Forefront Security não se aplica aos clientes que inicialmente adquirirem licenças para um ou mais dos serviços Antigen e migrarem para o Forefront Protection 2010 for Exchange Server.</w:t>
      </w:r>
      <w:r w:rsidR="00172F11" w:rsidRPr="00B77658">
        <w:rPr>
          <w:rFonts w:cs="Tahoma"/>
          <w:color w:val="000000"/>
          <w:spacing w:val="-2"/>
          <w:szCs w:val="20"/>
        </w:rPr>
        <w:t xml:space="preserve"> </w:t>
      </w:r>
      <w:r w:rsidRPr="00B77658">
        <w:rPr>
          <w:rFonts w:cs="Tahoma"/>
          <w:color w:val="000000"/>
          <w:spacing w:val="-2"/>
          <w:szCs w:val="20"/>
        </w:rPr>
        <w:t>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w:t>
      </w:r>
      <w:r w:rsidR="00172F11" w:rsidRPr="00B77658">
        <w:rPr>
          <w:rFonts w:cs="Tahoma"/>
          <w:color w:val="000000"/>
          <w:spacing w:val="-2"/>
          <w:szCs w:val="20"/>
        </w:rPr>
        <w:t xml:space="preserve"> </w:t>
      </w:r>
    </w:p>
    <w:p w:rsidR="00D57009" w:rsidRPr="004B208C" w:rsidRDefault="00D57009">
      <w:pPr>
        <w:rPr>
          <w:rFonts w:cs="Tahoma"/>
        </w:rPr>
      </w:pPr>
    </w:p>
    <w:p w:rsidR="00273685" w:rsidRPr="004B208C" w:rsidRDefault="00273685" w:rsidP="007B35CE">
      <w:pPr>
        <w:keepNext/>
        <w:spacing w:after="60"/>
        <w:ind w:left="720"/>
        <w:rPr>
          <w:rFonts w:cs="Tahoma"/>
        </w:rPr>
      </w:pPr>
      <w:r w:rsidRPr="004B208C">
        <w:rPr>
          <w:rFonts w:cs="Tahoma"/>
          <w:b/>
          <w:szCs w:val="20"/>
        </w:rPr>
        <w:t>Direito de downgrade do Forefront Security for SharePoint</w:t>
      </w:r>
    </w:p>
    <w:p w:rsidR="00273685" w:rsidRPr="00B77658" w:rsidRDefault="00273685" w:rsidP="00221A57">
      <w:pPr>
        <w:ind w:left="720"/>
        <w:rPr>
          <w:rFonts w:cs="Tahoma"/>
          <w:szCs w:val="18"/>
        </w:rPr>
      </w:pPr>
      <w:r w:rsidRPr="004B208C">
        <w:rPr>
          <w:rFonts w:cs="Tahoma"/>
          <w:szCs w:val="20"/>
        </w:rPr>
        <w:t>Os clientes de Licenciamento por Volume que adquiriram uma licença para o Forefront Protection 2010 para SharePoint estão qualificados para fazer downgrade para e usar o Antigen para SharePoint no lugar de suas licenças do Forefront Protection 2010 para SharePoint.</w:t>
      </w:r>
      <w:r w:rsidR="00172F11">
        <w:rPr>
          <w:rFonts w:cs="Tahoma"/>
          <w:szCs w:val="20"/>
        </w:rPr>
        <w:t xml:space="preserve"> </w:t>
      </w:r>
      <w:r w:rsidRPr="004B208C">
        <w:rPr>
          <w:rFonts w:cs="Tahoma"/>
          <w:szCs w:val="20"/>
        </w:rPr>
        <w:t xml:space="preserve">O uso do Antigen para SharePoint está sujeito ao respectivo contrato de licença e aos direitos de uso do Forefront Protection 2010 for SharePoint. Os direitos dos clientes de usar o Antigen para SharePoint expirarão quando os direitos sob a licença do Forefront </w:t>
      </w:r>
      <w:r w:rsidRPr="00B77658">
        <w:rPr>
          <w:rFonts w:cs="Tahoma"/>
          <w:szCs w:val="18"/>
        </w:rPr>
        <w:t>Protection 2010 for SharePoint expirarem.</w:t>
      </w:r>
    </w:p>
    <w:p w:rsidR="00273685" w:rsidRPr="00B77658" w:rsidRDefault="00273685" w:rsidP="00221A57">
      <w:pPr>
        <w:ind w:left="720"/>
        <w:rPr>
          <w:rFonts w:cs="Tahoma"/>
          <w:szCs w:val="18"/>
        </w:rPr>
      </w:pPr>
    </w:p>
    <w:p w:rsidR="00273685" w:rsidRPr="00B77658" w:rsidRDefault="00273685" w:rsidP="00221A57">
      <w:pPr>
        <w:ind w:left="720"/>
        <w:rPr>
          <w:rFonts w:cs="Tahoma"/>
          <w:szCs w:val="18"/>
        </w:rPr>
      </w:pPr>
      <w:r w:rsidRPr="00B77658">
        <w:rPr>
          <w:rFonts w:cs="Tahoma"/>
          <w:bCs/>
          <w:color w:val="000000"/>
          <w:szCs w:val="18"/>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Internet Sites.</w:t>
      </w:r>
    </w:p>
    <w:p w:rsidR="00273685" w:rsidRPr="00B77658" w:rsidRDefault="00273685" w:rsidP="00221A57">
      <w:pPr>
        <w:pStyle w:val="EndnoteText"/>
        <w:ind w:left="720"/>
        <w:rPr>
          <w:rFonts w:ascii="Tahoma" w:hAnsi="Tahoma" w:cs="Tahoma"/>
          <w:sz w:val="18"/>
          <w:szCs w:val="18"/>
        </w:rPr>
      </w:pPr>
    </w:p>
    <w:p w:rsidR="00023FE7" w:rsidRPr="00B77658" w:rsidRDefault="00273685" w:rsidP="00221A57">
      <w:pPr>
        <w:pStyle w:val="EndnoteText"/>
        <w:ind w:left="720"/>
        <w:rPr>
          <w:rFonts w:ascii="Tahoma" w:hAnsi="Tahoma" w:cs="Tahoma"/>
          <w:sz w:val="18"/>
          <w:szCs w:val="18"/>
        </w:rPr>
      </w:pPr>
      <w:r w:rsidRPr="00B77658">
        <w:rPr>
          <w:rFonts w:ascii="Tahoma" w:hAnsi="Tahoma" w:cs="Tahoma"/>
          <w:bCs/>
          <w:color w:val="000000"/>
          <w:sz w:val="18"/>
          <w:szCs w:val="18"/>
        </w:rPr>
        <w:t>Consulte a</w:t>
      </w:r>
      <w:hyperlink w:anchor="_Section_10_–" w:history="1">
        <w:r w:rsidRPr="00B77658">
          <w:rPr>
            <w:rStyle w:val="Hyperlink"/>
            <w:rFonts w:ascii="Tahoma" w:hAnsi="Tahoma" w:cs="Tahoma"/>
            <w:sz w:val="18"/>
            <w:szCs w:val="18"/>
            <w:u w:val="none"/>
          </w:rPr>
          <w:t xml:space="preserve"> </w:t>
        </w:r>
        <w:r w:rsidRPr="00B77658">
          <w:rPr>
            <w:rStyle w:val="Hyperlink"/>
            <w:rFonts w:ascii="Tahoma" w:hAnsi="Tahoma" w:cs="Tahoma"/>
            <w:sz w:val="18"/>
            <w:szCs w:val="18"/>
          </w:rPr>
          <w:t>Seção 10</w:t>
        </w:r>
      </w:hyperlink>
      <w:r w:rsidRPr="00B77658">
        <w:rPr>
          <w:rFonts w:ascii="Tahoma" w:hAnsi="Tahoma" w:cs="Tahoma"/>
          <w:bCs/>
          <w:color w:val="000000"/>
          <w:sz w:val="18"/>
          <w:szCs w:val="18"/>
        </w:rPr>
        <w:t xml:space="preserve"> para obter informações sobre os termos de pagamento e preços dos serviços online.</w:t>
      </w:r>
    </w:p>
    <w:p w:rsidR="00273685" w:rsidRPr="00B77658" w:rsidRDefault="00273685" w:rsidP="00273685">
      <w:pPr>
        <w:pStyle w:val="EndnoteText"/>
        <w:rPr>
          <w:rFonts w:ascii="Tahoma" w:hAnsi="Tahoma" w:cs="Tahoma"/>
          <w:sz w:val="18"/>
          <w:szCs w:val="18"/>
        </w:rPr>
      </w:pPr>
    </w:p>
    <w:p w:rsidR="00586FCE" w:rsidRPr="00B77658" w:rsidRDefault="00586FCE" w:rsidP="00273685">
      <w:pPr>
        <w:pStyle w:val="EndnoteText"/>
        <w:rPr>
          <w:rFonts w:ascii="Tahoma" w:hAnsi="Tahoma" w:cs="Tahoma"/>
          <w:sz w:val="18"/>
          <w:szCs w:val="18"/>
        </w:rPr>
      </w:pPr>
    </w:p>
    <w:p w:rsidR="00796FF5" w:rsidRPr="004B208C" w:rsidRDefault="00A560B6" w:rsidP="00796FF5">
      <w:pPr>
        <w:pStyle w:val="Heading3"/>
        <w:rPr>
          <w:rFonts w:ascii="Tahoma" w:hAnsi="Tahoma" w:cs="Tahoma"/>
        </w:rPr>
      </w:pPr>
      <w:bookmarkStart w:id="1283" w:name="_61_Forefront_Protection"/>
      <w:bookmarkStart w:id="1284" w:name="_64_Forefront_Protection"/>
      <w:bookmarkStart w:id="1285" w:name="_Toc336338319"/>
      <w:bookmarkStart w:id="1286" w:name="Srv_45ForefrontSecfoOffComm"/>
      <w:bookmarkStart w:id="1287" w:name="Srv_46ForefrontSecfoOffComm"/>
      <w:bookmarkStart w:id="1288" w:name="_Toc370981437"/>
      <w:bookmarkEnd w:id="1283"/>
      <w:bookmarkEnd w:id="1284"/>
      <w:r w:rsidRPr="004B208C">
        <w:rPr>
          <w:rFonts w:ascii="Tahoma" w:hAnsi="Tahoma" w:cs="Tahoma"/>
          <w:caps/>
          <w:color w:val="F66400"/>
          <w:sz w:val="22"/>
          <w:vertAlign w:val="superscript"/>
        </w:rPr>
        <w:t>63</w:t>
      </w:r>
      <w:r w:rsidRPr="004B208C">
        <w:rPr>
          <w:rFonts w:ascii="Tahoma" w:hAnsi="Tahoma" w:cs="Tahoma"/>
          <w:color w:val="F66400"/>
          <w:sz w:val="22"/>
        </w:rPr>
        <w:t xml:space="preserve"> Forefront Protection Suite (Dispositivo e Usuário)</w:t>
      </w:r>
      <w:bookmarkEnd w:id="1285"/>
      <w:bookmarkEnd w:id="1288"/>
    </w:p>
    <w:bookmarkEnd w:id="1281"/>
    <w:p w:rsidR="00796FF5" w:rsidRPr="004B208C" w:rsidRDefault="00796FF5" w:rsidP="00796FF5">
      <w:pPr>
        <w:rPr>
          <w:rFonts w:cs="Tahoma"/>
        </w:rPr>
      </w:pPr>
    </w:p>
    <w:p w:rsidR="009115D6" w:rsidRPr="004B208C" w:rsidRDefault="009115D6" w:rsidP="00796FF5">
      <w:pPr>
        <w:ind w:left="720"/>
        <w:rPr>
          <w:rFonts w:cs="Tahoma"/>
        </w:rPr>
      </w:pPr>
      <w:r w:rsidRPr="004B208C">
        <w:rPr>
          <w:rFonts w:cs="Tahoma"/>
          <w:bCs/>
          <w:color w:val="000000"/>
          <w:szCs w:val="18"/>
        </w:rPr>
        <w:t>O Forefront Protection Suite não estará mais disponível a partir de 1º de dezembro de 2012. Os Clientes com assinaturas ativas do serviço online a partir de 30 de novembro de 2012 podem continuar usando os serviços de componentes até o término de sua assinatura.</w:t>
      </w:r>
      <w:r w:rsidR="00172F11">
        <w:rPr>
          <w:rFonts w:cs="Tahoma"/>
          <w:bCs/>
          <w:color w:val="000000"/>
          <w:szCs w:val="18"/>
        </w:rPr>
        <w:t xml:space="preserve"> </w:t>
      </w:r>
      <w:r w:rsidRPr="004B208C">
        <w:rPr>
          <w:rFonts w:cs="Tahoma"/>
          <w:bCs/>
          <w:color w:val="000000"/>
          <w:szCs w:val="18"/>
        </w:rPr>
        <w:t xml:space="preserve">Esses clientes também podem continuar a usar os componentes do </w:t>
      </w:r>
      <w:r w:rsidRPr="004B208C">
        <w:rPr>
          <w:rFonts w:cs="Tahoma"/>
          <w:color w:val="000000"/>
          <w:szCs w:val="20"/>
        </w:rPr>
        <w:t xml:space="preserve">Forefront Security para Office Communications Server, Forefront Protection 2010 para Exchange Server, Forefront Threat Management Gateway Web Protection Service e Forefront Protection 2010 para SharePoint Server </w:t>
      </w:r>
      <w:r w:rsidRPr="004B208C">
        <w:rPr>
          <w:rFonts w:cs="Tahoma"/>
          <w:bCs/>
          <w:color w:val="000000"/>
          <w:szCs w:val="18"/>
        </w:rPr>
        <w:t xml:space="preserve">do pacote até 31 de dezembro de 2015. </w:t>
      </w:r>
      <w:r w:rsidRPr="004B208C">
        <w:rPr>
          <w:rFonts w:cs="Tahoma"/>
        </w:rPr>
        <w:t>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w:t>
      </w:r>
      <w:r w:rsidRPr="004B208C">
        <w:rPr>
          <w:rFonts w:cs="Tahoma"/>
          <w:bCs/>
          <w:szCs w:val="18"/>
        </w:rPr>
        <w:t xml:space="preserve"> </w:t>
      </w:r>
      <w:r w:rsidRPr="004B208C">
        <w:rPr>
          <w:rFonts w:cs="Tahoma"/>
          <w:bCs/>
          <w:color w:val="000000"/>
          <w:szCs w:val="18"/>
        </w:rPr>
        <w:t>O uso contínuo dos serviços online dos componentes permanece sujeito aos termos e às condições do contrato de Licenciamento por Volume do cliente, dos direitos de uso do produto dos serviços online e dos termos e das condições aqui.</w:t>
      </w:r>
    </w:p>
    <w:p w:rsidR="009115D6" w:rsidRPr="004B208C" w:rsidRDefault="009115D6" w:rsidP="00796FF5">
      <w:pPr>
        <w:ind w:left="720"/>
        <w:rPr>
          <w:rFonts w:cs="Tahoma"/>
        </w:rPr>
      </w:pPr>
    </w:p>
    <w:p w:rsidR="00796FF5" w:rsidRPr="004B208C" w:rsidRDefault="00796FF5" w:rsidP="00796FF5">
      <w:pPr>
        <w:ind w:left="720"/>
        <w:rPr>
          <w:rFonts w:cs="Tahoma"/>
        </w:rPr>
      </w:pPr>
      <w:r w:rsidRPr="004B208C">
        <w:rPr>
          <w:rFonts w:cs="Tahoma"/>
          <w:color w:val="000000"/>
          <w:szCs w:val="20"/>
        </w:rPr>
        <w:lastRenderedPageBreak/>
        <w:t xml:space="preserve">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 </w:t>
      </w:r>
    </w:p>
    <w:p w:rsidR="00796FF5" w:rsidRPr="004B208C" w:rsidRDefault="00796FF5" w:rsidP="00796FF5">
      <w:pPr>
        <w:ind w:left="720"/>
        <w:rPr>
          <w:rFonts w:cs="Tahoma"/>
        </w:rPr>
      </w:pPr>
    </w:p>
    <w:p w:rsidR="006E5A58" w:rsidRPr="004B208C" w:rsidRDefault="00796FF5" w:rsidP="00221A57">
      <w:pPr>
        <w:ind w:left="720"/>
        <w:rPr>
          <w:rFonts w:cs="Tahoma"/>
        </w:rPr>
      </w:pPr>
      <w:r w:rsidRPr="004B208C">
        <w:rPr>
          <w:rFonts w:cs="Tahoma"/>
          <w:bCs/>
          <w:color w:val="000000"/>
          <w:szCs w:val="20"/>
        </w:rPr>
        <w:t xml:space="preserve">Consulte a </w:t>
      </w:r>
      <w:r w:rsidRPr="004B208C">
        <w:rPr>
          <w:rFonts w:cs="Tahoma"/>
        </w:rPr>
        <w:t>Seção 5</w:t>
      </w:r>
      <w:r w:rsidRPr="004B208C">
        <w:rPr>
          <w:rFonts w:cs="Tahoma"/>
          <w:bCs/>
          <w:color w:val="000000"/>
          <w:szCs w:val="20"/>
        </w:rPr>
        <w:t xml:space="preserve"> para obter informações sobre os termos de pagamento e preços dos serviços online. </w:t>
      </w:r>
    </w:p>
    <w:p w:rsidR="00796FF5" w:rsidRPr="004B208C" w:rsidRDefault="00796FF5" w:rsidP="00221A57">
      <w:pPr>
        <w:rPr>
          <w:rFonts w:cs="Tahoma"/>
        </w:rPr>
      </w:pPr>
    </w:p>
    <w:p w:rsidR="009C2B6B" w:rsidRPr="004B208C" w:rsidRDefault="009C2B6B" w:rsidP="00221A57">
      <w:pPr>
        <w:rPr>
          <w:rFonts w:cs="Tahoma"/>
        </w:rPr>
      </w:pPr>
    </w:p>
    <w:p w:rsidR="00023FE7" w:rsidRPr="004B208C" w:rsidRDefault="00A560B6" w:rsidP="00B77658">
      <w:pPr>
        <w:pStyle w:val="Heading3"/>
        <w:ind w:left="230" w:hanging="230"/>
        <w:rPr>
          <w:rFonts w:ascii="Tahoma" w:hAnsi="Tahoma" w:cs="Tahoma"/>
        </w:rPr>
      </w:pPr>
      <w:bookmarkStart w:id="1289" w:name="_65_Forefront_Security"/>
      <w:bookmarkStart w:id="1290" w:name="_64_Forefront_Security"/>
      <w:bookmarkStart w:id="1291" w:name="_Toc336338320"/>
      <w:bookmarkStart w:id="1292" w:name="Srv_49ForefrontSecfoOffComm"/>
      <w:bookmarkStart w:id="1293" w:name="_Toc370981438"/>
      <w:bookmarkEnd w:id="1289"/>
      <w:bookmarkEnd w:id="1290"/>
      <w:r w:rsidRPr="004B208C">
        <w:rPr>
          <w:rFonts w:ascii="Tahoma" w:hAnsi="Tahoma" w:cs="Tahoma"/>
          <w:caps/>
          <w:color w:val="F66400"/>
          <w:sz w:val="22"/>
          <w:vertAlign w:val="superscript"/>
        </w:rPr>
        <w:t xml:space="preserve">64 </w:t>
      </w:r>
      <w:r w:rsidRPr="004B208C">
        <w:rPr>
          <w:rFonts w:ascii="Tahoma" w:hAnsi="Tahoma" w:cs="Tahoma"/>
          <w:color w:val="F66400"/>
          <w:sz w:val="22"/>
        </w:rPr>
        <w:t>Forefront Security para Office Communications Server (SL de Usuário e</w:t>
      </w:r>
      <w:r w:rsidR="00B77658">
        <w:rPr>
          <w:rFonts w:ascii="Tahoma" w:hAnsi="Tahoma" w:cs="Tahoma"/>
          <w:color w:val="F66400"/>
          <w:sz w:val="22"/>
        </w:rPr>
        <w:t> </w:t>
      </w:r>
      <w:r w:rsidRPr="004B208C">
        <w:rPr>
          <w:rFonts w:ascii="Tahoma" w:hAnsi="Tahoma" w:cs="Tahoma"/>
          <w:color w:val="F66400"/>
          <w:sz w:val="22"/>
        </w:rPr>
        <w:t>Dispositivo)</w:t>
      </w:r>
      <w:bookmarkEnd w:id="1291"/>
      <w:bookmarkEnd w:id="1293"/>
    </w:p>
    <w:bookmarkEnd w:id="1292"/>
    <w:p w:rsidR="00023FE7" w:rsidRPr="00B77658" w:rsidRDefault="00023FE7">
      <w:pPr>
        <w:pStyle w:val="EndnoteText"/>
        <w:ind w:left="0"/>
        <w:rPr>
          <w:rFonts w:ascii="Tahoma" w:hAnsi="Tahoma" w:cs="Tahoma"/>
          <w:sz w:val="18"/>
          <w:szCs w:val="18"/>
        </w:rPr>
      </w:pPr>
    </w:p>
    <w:bookmarkEnd w:id="1286"/>
    <w:bookmarkEnd w:id="1287"/>
    <w:p w:rsidR="009115D6" w:rsidRPr="004B208C" w:rsidRDefault="009115D6" w:rsidP="009115D6">
      <w:pPr>
        <w:ind w:left="720"/>
        <w:rPr>
          <w:rFonts w:cs="Tahoma"/>
        </w:rPr>
      </w:pPr>
      <w:r w:rsidRPr="004B208C">
        <w:rPr>
          <w:rFonts w:cs="Tahoma"/>
          <w:bCs/>
          <w:color w:val="000000"/>
          <w:szCs w:val="18"/>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w:t>
      </w:r>
      <w:r w:rsidRPr="004B208C">
        <w:rPr>
          <w:rFonts w:cs="Tahoma"/>
        </w:rPr>
        <w:t>Os clientes existentes também poderão adicionar novos usuários, conforme necessário, sem qualquer exigência de pedidos de Licenças adicionais de Assinaturas do Usuário.</w:t>
      </w:r>
      <w:r w:rsidR="00172F11">
        <w:rPr>
          <w:rFonts w:cs="Tahoma"/>
        </w:rPr>
        <w:t xml:space="preserve"> </w:t>
      </w:r>
      <w:r w:rsidRPr="004B208C">
        <w:rPr>
          <w:rFonts w:cs="Tahoma"/>
          <w:bCs/>
          <w:color w:val="000000"/>
          <w:szCs w:val="18"/>
        </w:rPr>
        <w:t xml:space="preserve">O uso contínuo do serviço online permanece sujeito aos termos e às condições do contrato de Licenciamento por Volume do cliente, dos direitos de uso do produto do serviço online e dos termos e das condições aqui. </w:t>
      </w:r>
    </w:p>
    <w:p w:rsidR="009115D6" w:rsidRPr="004B208C" w:rsidRDefault="009115D6" w:rsidP="009115D6">
      <w:pPr>
        <w:ind w:left="720"/>
        <w:rPr>
          <w:rFonts w:cs="Tahoma"/>
        </w:rPr>
      </w:pPr>
    </w:p>
    <w:p w:rsidR="00023FE7" w:rsidRDefault="00023FE7" w:rsidP="00E62BC4">
      <w:pPr>
        <w:pStyle w:val="EndnoteText"/>
        <w:ind w:left="720"/>
        <w:rPr>
          <w:rFonts w:ascii="Tahoma" w:hAnsi="Tahoma" w:cs="Tahoma"/>
          <w:bCs/>
          <w:color w:val="000000"/>
          <w:sz w:val="18"/>
          <w:szCs w:val="18"/>
        </w:rPr>
      </w:pPr>
      <w:r w:rsidRPr="00B77658">
        <w:rPr>
          <w:rFonts w:ascii="Tahoma" w:hAnsi="Tahoma" w:cs="Tahoma"/>
          <w:bCs/>
          <w:color w:val="000000"/>
          <w:sz w:val="18"/>
          <w:szCs w:val="18"/>
        </w:rPr>
        <w:t>Todos os usuários (ou dispositivos) que acessarem um servidor protegido precisarão de SLs de Usuário (ou</w:t>
      </w:r>
      <w:r w:rsidR="00B77658" w:rsidRPr="00B77658">
        <w:rPr>
          <w:rFonts w:ascii="Tahoma" w:hAnsi="Tahoma" w:cs="Tahoma"/>
          <w:bCs/>
          <w:color w:val="000000"/>
          <w:sz w:val="18"/>
          <w:szCs w:val="18"/>
        </w:rPr>
        <w:t> </w:t>
      </w:r>
      <w:r w:rsidRPr="00B77658">
        <w:rPr>
          <w:rFonts w:ascii="Tahoma" w:hAnsi="Tahoma" w:cs="Tahoma"/>
          <w:bCs/>
          <w:color w:val="000000"/>
          <w:sz w:val="18"/>
          <w:szCs w:val="18"/>
        </w:rPr>
        <w:t>Dispositivo).</w:t>
      </w:r>
      <w:r w:rsidR="00172F11" w:rsidRPr="00B77658">
        <w:rPr>
          <w:rFonts w:ascii="Tahoma" w:hAnsi="Tahoma" w:cs="Tahoma"/>
          <w:bCs/>
          <w:color w:val="000000"/>
          <w:sz w:val="18"/>
          <w:szCs w:val="18"/>
        </w:rPr>
        <w:t xml:space="preserve"> </w:t>
      </w:r>
      <w:r w:rsidRPr="00B77658">
        <w:rPr>
          <w:rFonts w:ascii="Tahoma" w:hAnsi="Tahoma" w:cs="Tahoma"/>
          <w:bCs/>
          <w:color w:val="000000"/>
          <w:sz w:val="18"/>
          <w:szCs w:val="18"/>
        </w:rPr>
        <w:t>Este serviço online era conhecido como Antigen para Mensagens Instantâneas.</w:t>
      </w:r>
      <w:r w:rsidR="00172F11" w:rsidRPr="00B77658">
        <w:rPr>
          <w:rFonts w:ascii="Tahoma" w:hAnsi="Tahoma" w:cs="Tahoma"/>
          <w:bCs/>
          <w:color w:val="000000"/>
          <w:sz w:val="18"/>
          <w:szCs w:val="18"/>
        </w:rPr>
        <w:t xml:space="preserve"> </w:t>
      </w:r>
    </w:p>
    <w:p w:rsidR="00E35EBB" w:rsidRPr="00E35EBB" w:rsidRDefault="00E35EBB" w:rsidP="00E35EBB">
      <w:pPr>
        <w:rPr>
          <w:rFonts w:cs="Tahoma"/>
        </w:rPr>
      </w:pPr>
    </w:p>
    <w:p w:rsidR="00E35EBB" w:rsidRPr="00E35EBB" w:rsidRDefault="00E35EBB" w:rsidP="00E35EBB">
      <w:pPr>
        <w:rPr>
          <w:rFonts w:cs="Tahoma"/>
        </w:rPr>
      </w:pPr>
    </w:p>
    <w:p w:rsidR="0079439D" w:rsidRPr="004B208C" w:rsidRDefault="00A560B6" w:rsidP="00221A57">
      <w:pPr>
        <w:pStyle w:val="Heading3"/>
        <w:rPr>
          <w:rFonts w:ascii="Tahoma" w:hAnsi="Tahoma" w:cs="Tahoma"/>
        </w:rPr>
      </w:pPr>
      <w:bookmarkStart w:id="1294" w:name="_49_Forefront_Threat"/>
      <w:bookmarkStart w:id="1295" w:name="_50__Forefront"/>
      <w:bookmarkStart w:id="1296" w:name="_57_Forefront_Threat"/>
      <w:bookmarkStart w:id="1297" w:name="_66_Forefront_Threat"/>
      <w:bookmarkStart w:id="1298" w:name="_Toc336338321"/>
      <w:bookmarkStart w:id="1299" w:name="Srv_51ForefrontThreatMgmtGtwy2010"/>
      <w:bookmarkStart w:id="1300" w:name="Srv_52ForefrontUnifiedAccessGtwy2010"/>
      <w:bookmarkStart w:id="1301" w:name="Srv_56ForefrontUnifiedAccessGtwy2010"/>
      <w:bookmarkStart w:id="1302" w:name="_Toc370981439"/>
      <w:bookmarkEnd w:id="1294"/>
      <w:bookmarkEnd w:id="1295"/>
      <w:bookmarkEnd w:id="1296"/>
      <w:bookmarkEnd w:id="1297"/>
      <w:r w:rsidRPr="004B208C">
        <w:rPr>
          <w:rFonts w:ascii="Tahoma" w:hAnsi="Tahoma" w:cs="Tahoma"/>
          <w:caps/>
          <w:color w:val="F66400"/>
          <w:sz w:val="22"/>
          <w:vertAlign w:val="superscript"/>
        </w:rPr>
        <w:t xml:space="preserve">65 </w:t>
      </w:r>
      <w:r w:rsidRPr="004B208C">
        <w:rPr>
          <w:rFonts w:ascii="Tahoma" w:hAnsi="Tahoma" w:cs="Tahoma"/>
          <w:color w:val="F66400"/>
          <w:sz w:val="22"/>
        </w:rPr>
        <w:t xml:space="preserve">Forefront Threat Management Gateway </w:t>
      </w:r>
      <w:bookmarkEnd w:id="1298"/>
      <w:r w:rsidRPr="004B208C">
        <w:rPr>
          <w:rFonts w:ascii="Tahoma" w:hAnsi="Tahoma" w:cs="Tahoma"/>
          <w:color w:val="F66400"/>
          <w:sz w:val="22"/>
        </w:rPr>
        <w:t>Web Protection Service</w:t>
      </w:r>
      <w:bookmarkEnd w:id="1299"/>
      <w:bookmarkEnd w:id="1302"/>
    </w:p>
    <w:p w:rsidR="00221A57" w:rsidRPr="00E35EBB" w:rsidRDefault="00221A57" w:rsidP="00221A57">
      <w:pPr>
        <w:rPr>
          <w:rFonts w:cs="Tahoma"/>
          <w:szCs w:val="18"/>
        </w:rPr>
      </w:pPr>
    </w:p>
    <w:p w:rsidR="00586FCE" w:rsidRPr="004B208C" w:rsidRDefault="0079439D" w:rsidP="00221A57">
      <w:pPr>
        <w:ind w:left="720"/>
        <w:rPr>
          <w:rFonts w:cs="Tahoma"/>
        </w:rPr>
      </w:pPr>
      <w:bookmarkStart w:id="1303" w:name="_Toc336338322"/>
      <w:r w:rsidRPr="004B208C">
        <w:rPr>
          <w:rFonts w:cs="Tahoma"/>
          <w:bCs/>
          <w:color w:val="000000"/>
          <w:szCs w:val="18"/>
        </w:rPr>
        <w:t>O Forefront Threat Management Gateway Web Protection Service não estará mais disponível a partir de</w:t>
      </w:r>
      <w:r w:rsidR="00B77658">
        <w:rPr>
          <w:rFonts w:cs="Tahoma"/>
          <w:bCs/>
          <w:color w:val="000000"/>
          <w:szCs w:val="18"/>
        </w:rPr>
        <w:t> </w:t>
      </w:r>
      <w:r w:rsidRPr="004B208C">
        <w:rPr>
          <w:rFonts w:cs="Tahoma"/>
          <w:bCs/>
          <w:color w:val="000000"/>
          <w:szCs w:val="18"/>
        </w:rPr>
        <w:t>1º</w:t>
      </w:r>
      <w:r w:rsidR="00B77658">
        <w:rPr>
          <w:rFonts w:cs="Tahoma"/>
          <w:bCs/>
          <w:color w:val="000000"/>
          <w:szCs w:val="18"/>
        </w:rPr>
        <w:t> </w:t>
      </w:r>
      <w:r w:rsidRPr="004B208C">
        <w:rPr>
          <w:rFonts w:cs="Tahoma"/>
          <w:bCs/>
          <w:color w:val="000000"/>
          <w:szCs w:val="18"/>
        </w:rPr>
        <w:t xml:space="preserve">de dezembro de 2012. Os clientes com assinaturas ativas para o serviço online a partir de 30 de novembro de 2012 poderão continuar a usar o serviço online até 31 de dezembro de 2015. </w:t>
      </w:r>
      <w:r w:rsidRPr="004B208C">
        <w:rPr>
          <w:rFonts w:cs="Tahoma"/>
        </w:rPr>
        <w:t>Os clientes existentes também poderão adicionar novos usuários, conforme necessário, sem qualquer exigência de pedidos de Licenças adicionais de Assinaturas do Usuário.</w:t>
      </w:r>
      <w:r w:rsidR="00172F11">
        <w:rPr>
          <w:rFonts w:cs="Tahoma"/>
          <w:bCs/>
          <w:szCs w:val="18"/>
        </w:rPr>
        <w:t xml:space="preserve"> </w:t>
      </w:r>
      <w:r w:rsidRPr="004B208C">
        <w:rPr>
          <w:rFonts w:cs="Tahoma"/>
          <w:bCs/>
          <w:color w:val="000000"/>
          <w:szCs w:val="18"/>
        </w:rPr>
        <w:t>O uso contínuo do serviço online permanece sujeito aos termos e às condições do contrato de Licenciamento por Volume do cliente, dos direitos de uso</w:t>
      </w:r>
      <w:r w:rsidR="00E35EBB">
        <w:rPr>
          <w:rFonts w:cs="Tahoma"/>
          <w:bCs/>
          <w:color w:val="000000"/>
          <w:szCs w:val="18"/>
        </w:rPr>
        <w:t> </w:t>
      </w:r>
      <w:r w:rsidRPr="004B208C">
        <w:rPr>
          <w:rFonts w:cs="Tahoma"/>
          <w:bCs/>
          <w:color w:val="000000"/>
          <w:szCs w:val="18"/>
        </w:rPr>
        <w:t xml:space="preserve">do produto do serviço online e dos termos e das condições aqui. </w:t>
      </w:r>
    </w:p>
    <w:p w:rsidR="00221A57" w:rsidRPr="00E35EBB" w:rsidRDefault="00221A57" w:rsidP="00221A57">
      <w:pPr>
        <w:rPr>
          <w:rFonts w:cs="Tahoma"/>
          <w:szCs w:val="18"/>
        </w:rPr>
      </w:pPr>
    </w:p>
    <w:p w:rsidR="00221A57" w:rsidRPr="00E35EBB" w:rsidRDefault="00221A57" w:rsidP="00221A57">
      <w:pPr>
        <w:rPr>
          <w:rFonts w:cs="Tahoma"/>
          <w:szCs w:val="18"/>
        </w:rPr>
      </w:pPr>
    </w:p>
    <w:p w:rsidR="009E4FDD" w:rsidRPr="004B208C" w:rsidRDefault="00A560B6" w:rsidP="009E4FDD">
      <w:pPr>
        <w:pStyle w:val="Heading3"/>
        <w:rPr>
          <w:rFonts w:ascii="Tahoma" w:hAnsi="Tahoma" w:cs="Tahoma"/>
        </w:rPr>
      </w:pPr>
      <w:bookmarkStart w:id="1304" w:name="_67_Forefront_Unified"/>
      <w:bookmarkStart w:id="1305" w:name="_Toc370981440"/>
      <w:bookmarkEnd w:id="1304"/>
      <w:r w:rsidRPr="004B208C">
        <w:rPr>
          <w:rFonts w:ascii="Tahoma" w:hAnsi="Tahoma" w:cs="Tahoma"/>
          <w:caps/>
          <w:color w:val="F66400"/>
          <w:sz w:val="22"/>
          <w:vertAlign w:val="superscript"/>
        </w:rPr>
        <w:t xml:space="preserve">66 </w:t>
      </w:r>
      <w:r w:rsidRPr="004B208C">
        <w:rPr>
          <w:rFonts w:ascii="Tahoma" w:hAnsi="Tahoma" w:cs="Tahoma"/>
          <w:color w:val="F66400"/>
          <w:sz w:val="22"/>
        </w:rPr>
        <w:t>Forefront Unified Access Gateway 2010</w:t>
      </w:r>
      <w:bookmarkEnd w:id="1303"/>
      <w:bookmarkEnd w:id="1305"/>
    </w:p>
    <w:bookmarkEnd w:id="1300"/>
    <w:bookmarkEnd w:id="1301"/>
    <w:p w:rsidR="009E4FDD" w:rsidRPr="00E35EBB" w:rsidRDefault="009E4FDD" w:rsidP="009E4FDD">
      <w:pPr>
        <w:rPr>
          <w:rFonts w:cs="Tahoma"/>
          <w:szCs w:val="18"/>
        </w:rPr>
      </w:pPr>
    </w:p>
    <w:p w:rsidR="009E4FDD" w:rsidRPr="004B208C" w:rsidRDefault="009E4FDD" w:rsidP="00221A57">
      <w:pPr>
        <w:spacing w:after="60"/>
        <w:ind w:left="720"/>
        <w:rPr>
          <w:rFonts w:cs="Tahoma"/>
        </w:rPr>
      </w:pPr>
      <w:r w:rsidRPr="004B208C">
        <w:rPr>
          <w:rFonts w:cs="Tahoma"/>
          <w:b/>
          <w:color w:val="000000"/>
          <w:szCs w:val="18"/>
        </w:rPr>
        <w:t>Versão</w:t>
      </w:r>
    </w:p>
    <w:p w:rsidR="009E4FDD" w:rsidRPr="00B77658" w:rsidRDefault="009E4FDD" w:rsidP="009E4FDD">
      <w:pPr>
        <w:ind w:left="720"/>
        <w:rPr>
          <w:rFonts w:cs="Tahoma"/>
          <w:spacing w:val="-2"/>
        </w:rPr>
      </w:pPr>
      <w:r w:rsidRPr="00B77658">
        <w:rPr>
          <w:rFonts w:cs="Tahoma"/>
          <w:color w:val="000000"/>
          <w:spacing w:val="-2"/>
          <w:szCs w:val="18"/>
        </w:rPr>
        <w:t>O Forefront Unified Access Gateway 2010 é a próxima versão do Whale Intelligent Application Gateway</w:t>
      </w:r>
      <w:r w:rsidR="00B77658" w:rsidRPr="00B77658">
        <w:rPr>
          <w:rFonts w:cs="Tahoma"/>
          <w:color w:val="000000"/>
          <w:spacing w:val="-2"/>
          <w:szCs w:val="18"/>
        </w:rPr>
        <w:t> </w:t>
      </w:r>
      <w:r w:rsidRPr="00B77658">
        <w:rPr>
          <w:rFonts w:cs="Tahoma"/>
          <w:color w:val="000000"/>
          <w:spacing w:val="-2"/>
          <w:szCs w:val="18"/>
        </w:rPr>
        <w:t>2007.</w:t>
      </w:r>
    </w:p>
    <w:p w:rsidR="00EE30F1" w:rsidRPr="00E35EBB" w:rsidRDefault="00EE30F1">
      <w:pPr>
        <w:ind w:left="720"/>
        <w:rPr>
          <w:rFonts w:cs="Tahoma"/>
          <w:szCs w:val="18"/>
        </w:rPr>
      </w:pPr>
    </w:p>
    <w:p w:rsidR="001979E9" w:rsidRPr="00E35EBB" w:rsidRDefault="001979E9">
      <w:pPr>
        <w:ind w:left="720"/>
        <w:rPr>
          <w:rFonts w:cs="Tahoma"/>
          <w:szCs w:val="18"/>
        </w:rPr>
      </w:pPr>
    </w:p>
    <w:p w:rsidR="00023FE7" w:rsidRPr="004B208C" w:rsidRDefault="00A560B6" w:rsidP="00416294">
      <w:pPr>
        <w:pStyle w:val="Heading3"/>
        <w:rPr>
          <w:rFonts w:ascii="Tahoma" w:hAnsi="Tahoma" w:cs="Tahoma"/>
        </w:rPr>
      </w:pPr>
      <w:bookmarkStart w:id="1306" w:name="_51_High_Performance"/>
      <w:bookmarkStart w:id="1307" w:name="_63_61_HPC"/>
      <w:bookmarkStart w:id="1308" w:name="_68_HPC_Pack"/>
      <w:bookmarkStart w:id="1309" w:name="_67_HPC_Pack"/>
      <w:bookmarkStart w:id="1310" w:name="_Toc336338323"/>
      <w:bookmarkStart w:id="1311" w:name="Srv_48HighPerfComputingPack"/>
      <w:bookmarkStart w:id="1312" w:name="Srv_54HighPerfComputingPack"/>
      <w:bookmarkStart w:id="1313" w:name="Srv_49HighPerfComputingPack"/>
      <w:bookmarkStart w:id="1314" w:name="_Toc370981441"/>
      <w:bookmarkEnd w:id="1306"/>
      <w:bookmarkEnd w:id="1307"/>
      <w:bookmarkEnd w:id="1308"/>
      <w:bookmarkEnd w:id="1309"/>
      <w:r w:rsidRPr="004B208C">
        <w:rPr>
          <w:rFonts w:ascii="Tahoma" w:hAnsi="Tahoma" w:cs="Tahoma"/>
          <w:caps/>
          <w:color w:val="F66400"/>
          <w:sz w:val="22"/>
          <w:vertAlign w:val="superscript"/>
        </w:rPr>
        <w:t xml:space="preserve">67 </w:t>
      </w:r>
      <w:r w:rsidRPr="004B208C">
        <w:rPr>
          <w:rFonts w:ascii="Tahoma" w:hAnsi="Tahoma" w:cs="Tahoma"/>
          <w:color w:val="F66400"/>
          <w:sz w:val="22"/>
        </w:rPr>
        <w:t>HPC Pack 2008 R2 Enterprise</w:t>
      </w:r>
      <w:bookmarkEnd w:id="1310"/>
      <w:bookmarkEnd w:id="1314"/>
    </w:p>
    <w:bookmarkEnd w:id="1311"/>
    <w:bookmarkEnd w:id="1312"/>
    <w:p w:rsidR="00023FE7" w:rsidRPr="00E35EBB" w:rsidRDefault="00023FE7" w:rsidP="00416294">
      <w:pPr>
        <w:ind w:left="720"/>
        <w:rPr>
          <w:rFonts w:cs="Tahoma"/>
          <w:szCs w:val="18"/>
        </w:rPr>
      </w:pPr>
    </w:p>
    <w:bookmarkEnd w:id="1313"/>
    <w:p w:rsidR="00221A57" w:rsidRPr="004B208C" w:rsidRDefault="001978C7" w:rsidP="00221A57">
      <w:pPr>
        <w:spacing w:after="60"/>
        <w:ind w:left="720"/>
        <w:rPr>
          <w:rFonts w:cs="Tahoma"/>
        </w:rPr>
      </w:pPr>
      <w:r w:rsidRPr="004B208C">
        <w:rPr>
          <w:rFonts w:cs="Tahoma"/>
          <w:b/>
          <w:color w:val="000000"/>
        </w:rPr>
        <w:t>Outorgas de licença associadas ao término da validade do HPC Pack Enterprise</w:t>
      </w:r>
    </w:p>
    <w:p w:rsidR="00221A57" w:rsidRPr="004B208C" w:rsidRDefault="001978C7" w:rsidP="00221A57">
      <w:pPr>
        <w:ind w:left="720"/>
        <w:rPr>
          <w:rFonts w:cs="Tahoma"/>
        </w:rPr>
      </w:pPr>
      <w:r w:rsidRPr="004B208C">
        <w:rPr>
          <w:rFonts w:cs="Tahoma"/>
          <w:color w:val="000000"/>
        </w:rPr>
        <w:t>O HPC Pack 2008 R2 Enterprise será a última versão do HPC Pack Enterprise vendido em Licenciamento por</w:t>
      </w:r>
      <w:r w:rsidR="00B77658">
        <w:rPr>
          <w:rFonts w:cs="Tahoma"/>
          <w:color w:val="000000"/>
        </w:rPr>
        <w:t> </w:t>
      </w:r>
      <w:r w:rsidRPr="004B208C">
        <w:rPr>
          <w:rFonts w:cs="Tahoma"/>
          <w:color w:val="000000"/>
        </w:rPr>
        <w:t>Volume. Versões futuras estarão disponíveis como download gratuito. Os clientes de Licenciamento por</w:t>
      </w:r>
      <w:r w:rsidR="00B77658">
        <w:rPr>
          <w:rFonts w:cs="Tahoma"/>
          <w:color w:val="000000"/>
        </w:rPr>
        <w:t> </w:t>
      </w:r>
      <w:r w:rsidRPr="004B208C">
        <w:rPr>
          <w:rFonts w:cs="Tahoma"/>
          <w:color w:val="000000"/>
        </w:rPr>
        <w:t xml:space="preserve">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(“Licenças Qualificadas”) poderão </w:t>
      </w:r>
      <w:r w:rsidRPr="004B208C">
        <w:rPr>
          <w:rFonts w:eastAsia="Calibri" w:cs="Tahoma"/>
          <w:szCs w:val="18"/>
        </w:rPr>
        <w:t>usar o software Windows Server 2012 Standard. Para facilitar tal uso, para cada duas Licenças Qualificadas que o cliente possui, ele terá uma licença do processador Windows Server 2012 Standard mediante a disponibilização do Windows Server 2012.</w:t>
      </w:r>
    </w:p>
    <w:p w:rsidR="001978C7" w:rsidRDefault="001978C7" w:rsidP="00221A57">
      <w:pPr>
        <w:ind w:left="720"/>
        <w:rPr>
          <w:rFonts w:cs="Tahoma"/>
          <w:szCs w:val="18"/>
        </w:rPr>
      </w:pPr>
    </w:p>
    <w:p w:rsidR="00E35EBB" w:rsidRDefault="00E35EBB" w:rsidP="00221A57">
      <w:pPr>
        <w:ind w:left="720"/>
        <w:rPr>
          <w:rFonts w:cs="Tahoma"/>
          <w:szCs w:val="18"/>
        </w:rPr>
      </w:pPr>
    </w:p>
    <w:p w:rsidR="00E35EBB" w:rsidRDefault="00E35EBB" w:rsidP="00221A57">
      <w:pPr>
        <w:ind w:left="720"/>
        <w:rPr>
          <w:rFonts w:cs="Tahoma"/>
          <w:szCs w:val="18"/>
        </w:rPr>
      </w:pPr>
    </w:p>
    <w:p w:rsidR="00E35EBB" w:rsidRPr="00E35EBB" w:rsidRDefault="00E35EBB" w:rsidP="00221A57">
      <w:pPr>
        <w:ind w:left="720"/>
        <w:rPr>
          <w:rFonts w:cs="Tahoma"/>
          <w:szCs w:val="18"/>
        </w:rPr>
      </w:pPr>
    </w:p>
    <w:p w:rsidR="001978C7" w:rsidRPr="00B77658" w:rsidRDefault="001978C7" w:rsidP="00A1385C">
      <w:pPr>
        <w:numPr>
          <w:ilvl w:val="0"/>
          <w:numId w:val="54"/>
        </w:numPr>
        <w:tabs>
          <w:tab w:val="clear" w:pos="360"/>
          <w:tab w:val="left" w:pos="1440"/>
        </w:tabs>
        <w:spacing w:after="60"/>
        <w:ind w:left="1440"/>
        <w:rPr>
          <w:rFonts w:cs="Tahoma"/>
          <w:szCs w:val="18"/>
        </w:rPr>
      </w:pPr>
      <w:r w:rsidRPr="00B77658">
        <w:rPr>
          <w:rFonts w:cs="Tahoma"/>
          <w:color w:val="000000"/>
          <w:szCs w:val="18"/>
        </w:rPr>
        <w:lastRenderedPageBreak/>
        <w:t>Se um cliente tiver um número ímpar de licenças do HPC Pack Enterprise, o cliente precisará arredondar para cima para o próximo número par para determinar sua concessão.</w:t>
      </w:r>
      <w:r w:rsidR="00172F11" w:rsidRPr="00B77658">
        <w:rPr>
          <w:rFonts w:cs="Tahoma"/>
          <w:color w:val="000000"/>
          <w:szCs w:val="18"/>
        </w:rPr>
        <w:t xml:space="preserve"> </w:t>
      </w:r>
      <w:r w:rsidRPr="00B77658">
        <w:rPr>
          <w:rFonts w:cs="Tahoma"/>
          <w:color w:val="000000"/>
          <w:szCs w:val="18"/>
        </w:rPr>
        <w:t>Por exemplo, um cliente que tenha três licenças do HPC Pack Enterprise receberá no total duas licenças do Windows Server 2012 Standard.</w:t>
      </w:r>
    </w:p>
    <w:p w:rsidR="001978C7" w:rsidRPr="00B77658" w:rsidRDefault="001978C7" w:rsidP="00A1385C">
      <w:pPr>
        <w:pStyle w:val="ListParagraph"/>
        <w:numPr>
          <w:ilvl w:val="0"/>
          <w:numId w:val="54"/>
        </w:numPr>
        <w:tabs>
          <w:tab w:val="clear" w:pos="360"/>
          <w:tab w:val="left" w:pos="1440"/>
        </w:tabs>
        <w:spacing w:after="60"/>
        <w:ind w:left="1440"/>
        <w:contextualSpacing w:val="0"/>
        <w:rPr>
          <w:rFonts w:ascii="Tahoma" w:hAnsi="Tahoma" w:cs="Tahoma"/>
          <w:sz w:val="18"/>
          <w:szCs w:val="18"/>
        </w:rPr>
      </w:pPr>
      <w:r w:rsidRPr="00B77658">
        <w:rPr>
          <w:rFonts w:ascii="Tahoma" w:eastAsia="Calibri" w:hAnsi="Tahoma" w:cs="Tahoma"/>
          <w:sz w:val="18"/>
          <w:szCs w:val="18"/>
        </w:rPr>
        <w:t>As licenças adquiridas sob esta concessão incluirão cobertura do Software Assurance.</w:t>
      </w:r>
      <w:r w:rsidR="00172F11" w:rsidRPr="00B77658">
        <w:rPr>
          <w:rFonts w:ascii="Tahoma" w:eastAsia="Calibri" w:hAnsi="Tahoma" w:cs="Tahoma"/>
          <w:sz w:val="18"/>
          <w:szCs w:val="18"/>
        </w:rPr>
        <w:t xml:space="preserve"> </w:t>
      </w:r>
      <w:r w:rsidRPr="00B77658">
        <w:rPr>
          <w:rFonts w:ascii="Tahoma" w:eastAsia="Calibri" w:hAnsi="Tahoma" w:cs="Tahoma"/>
          <w:sz w:val="18"/>
          <w:szCs w:val="18"/>
        </w:rPr>
        <w:t>Tal cobertura expira quando a cobertura correspondente nas Licenças Qualificadas expirar.</w:t>
      </w:r>
    </w:p>
    <w:p w:rsidR="001978C7" w:rsidRPr="00B77658" w:rsidRDefault="001978C7" w:rsidP="00A1385C">
      <w:pPr>
        <w:pStyle w:val="ListParagraph"/>
        <w:numPr>
          <w:ilvl w:val="0"/>
          <w:numId w:val="54"/>
        </w:numPr>
        <w:tabs>
          <w:tab w:val="clear" w:pos="360"/>
          <w:tab w:val="left" w:pos="1440"/>
        </w:tabs>
        <w:spacing w:after="60"/>
        <w:ind w:left="1440"/>
        <w:contextualSpacing w:val="0"/>
        <w:rPr>
          <w:rFonts w:ascii="Tahoma" w:hAnsi="Tahoma" w:cs="Tahoma"/>
          <w:sz w:val="18"/>
          <w:szCs w:val="18"/>
        </w:rPr>
      </w:pPr>
      <w:r w:rsidRPr="00B77658">
        <w:rPr>
          <w:rFonts w:ascii="Tahoma" w:eastAsia="Calibri" w:hAnsi="Tahoma" w:cs="Tahoma"/>
          <w:sz w:val="18"/>
          <w:szCs w:val="18"/>
        </w:rPr>
        <w:t>Se os clientes adquiriram direitos perpétuos para usar o software sob as Licenças Qualificadas, as</w:t>
      </w:r>
      <w:r w:rsidR="00B77658">
        <w:rPr>
          <w:rFonts w:ascii="Tahoma" w:eastAsia="Calibri" w:hAnsi="Tahoma" w:cs="Tahoma"/>
          <w:sz w:val="18"/>
          <w:szCs w:val="18"/>
        </w:rPr>
        <w:t> </w:t>
      </w:r>
      <w:r w:rsidRPr="00B77658">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1978C7" w:rsidRPr="00B77658" w:rsidRDefault="001978C7" w:rsidP="00A1385C">
      <w:pPr>
        <w:numPr>
          <w:ilvl w:val="0"/>
          <w:numId w:val="54"/>
        </w:numPr>
        <w:tabs>
          <w:tab w:val="clear" w:pos="360"/>
          <w:tab w:val="left" w:pos="1440"/>
          <w:tab w:val="left" w:pos="2160"/>
        </w:tabs>
        <w:spacing w:after="60"/>
        <w:ind w:left="1440"/>
        <w:rPr>
          <w:rFonts w:cs="Tahoma"/>
          <w:szCs w:val="18"/>
        </w:rPr>
      </w:pPr>
      <w:r w:rsidRPr="00B77658">
        <w:rPr>
          <w:rFonts w:eastAsia="Calibri" w:cs="Tahoma"/>
          <w:szCs w:val="18"/>
        </w:rPr>
        <w:t xml:space="preserve">Na atualização para o Windows Server 2012 Standard sob essa concessão, as licenças existentes </w:t>
      </w:r>
      <w:r w:rsidRPr="00B77658">
        <w:rPr>
          <w:rFonts w:cs="Tahoma"/>
          <w:color w:val="000000"/>
          <w:szCs w:val="18"/>
        </w:rPr>
        <w:t>do HPC Pack Enterprise</w:t>
      </w:r>
      <w:r w:rsidRPr="00B77658">
        <w:rPr>
          <w:rFonts w:eastAsia="Calibri" w:cs="Tahoma"/>
          <w:szCs w:val="18"/>
        </w:rPr>
        <w:t xml:space="preserve"> do cliente permanecerão válidas.</w:t>
      </w:r>
    </w:p>
    <w:p w:rsidR="001978C7" w:rsidRPr="00B77658" w:rsidRDefault="001978C7" w:rsidP="00A1385C">
      <w:pPr>
        <w:numPr>
          <w:ilvl w:val="0"/>
          <w:numId w:val="54"/>
        </w:numPr>
        <w:tabs>
          <w:tab w:val="clear" w:pos="360"/>
          <w:tab w:val="left" w:pos="1440"/>
          <w:tab w:val="left" w:pos="2160"/>
        </w:tabs>
        <w:spacing w:after="60"/>
        <w:ind w:left="1440"/>
        <w:rPr>
          <w:rFonts w:cs="Tahoma"/>
          <w:szCs w:val="18"/>
        </w:rPr>
      </w:pPr>
      <w:r w:rsidRPr="00B77658">
        <w:rPr>
          <w:rFonts w:cs="Tahoma"/>
          <w:color w:val="000000"/>
          <w:szCs w:val="18"/>
        </w:rPr>
        <w:t xml:space="preserve">As licenças do HPC Pack 2008 R2 Enterprise </w:t>
      </w:r>
      <w:r w:rsidRPr="00B77658">
        <w:rPr>
          <w:rFonts w:cs="Tahoma"/>
          <w:bCs/>
          <w:color w:val="000000"/>
          <w:szCs w:val="18"/>
        </w:rPr>
        <w:t>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w:t>
      </w:r>
    </w:p>
    <w:p w:rsidR="001978C7" w:rsidRPr="00B77658" w:rsidRDefault="001978C7" w:rsidP="00A1385C">
      <w:pPr>
        <w:numPr>
          <w:ilvl w:val="0"/>
          <w:numId w:val="54"/>
        </w:numPr>
        <w:tabs>
          <w:tab w:val="clear" w:pos="360"/>
          <w:tab w:val="left" w:pos="1440"/>
          <w:tab w:val="left" w:pos="2160"/>
        </w:tabs>
        <w:spacing w:after="60"/>
        <w:ind w:left="1440"/>
        <w:rPr>
          <w:rFonts w:cs="Tahoma"/>
          <w:szCs w:val="18"/>
        </w:rPr>
      </w:pPr>
      <w:r w:rsidRPr="00B77658">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221A57" w:rsidRPr="00E35EBB" w:rsidRDefault="00221A57" w:rsidP="00221A57">
      <w:pPr>
        <w:tabs>
          <w:tab w:val="left" w:pos="1440"/>
          <w:tab w:val="left" w:pos="2160"/>
        </w:tabs>
        <w:ind w:left="1080"/>
        <w:contextualSpacing/>
        <w:rPr>
          <w:rFonts w:cs="Tahoma"/>
          <w:szCs w:val="18"/>
        </w:rPr>
      </w:pPr>
    </w:p>
    <w:p w:rsidR="00221A57" w:rsidRPr="00B77658" w:rsidRDefault="001978C7" w:rsidP="00B1475C">
      <w:pPr>
        <w:spacing w:after="60"/>
        <w:ind w:left="720"/>
        <w:rPr>
          <w:rFonts w:cs="Tahoma"/>
        </w:rPr>
      </w:pPr>
      <w:r w:rsidRPr="00B77658">
        <w:rPr>
          <w:rFonts w:cs="Tahoma"/>
          <w:b/>
          <w:color w:val="000000"/>
        </w:rPr>
        <w:t>Informações adicionais sobre o uso do Windows Server 2012 para High Performance Computing (HPC)</w:t>
      </w:r>
    </w:p>
    <w:p w:rsidR="00E62BC4" w:rsidRDefault="001978C7" w:rsidP="00B1475C">
      <w:pPr>
        <w:ind w:left="720"/>
        <w:rPr>
          <w:rFonts w:cs="Tahoma"/>
          <w:color w:val="000000"/>
        </w:rPr>
      </w:pPr>
      <w:r w:rsidRPr="004B208C">
        <w:rPr>
          <w:rFonts w:cs="Tahoma"/>
          <w:color w:val="000000"/>
        </w:rPr>
        <w:t>Quando o Windows Server 2012 Standard ou Datacenter é usado para High Performance Computing, você</w:t>
      </w:r>
      <w:r w:rsidR="00B77658">
        <w:rPr>
          <w:rFonts w:cs="Tahoma"/>
          <w:color w:val="000000"/>
        </w:rPr>
        <w:t> </w:t>
      </w:r>
      <w:r w:rsidRPr="004B208C">
        <w:rPr>
          <w:rFonts w:cs="Tahoma"/>
          <w:color w:val="000000"/>
        </w:rPr>
        <w:t>não precisa de CALs para acessar o software. Uma “Carga de Trabalho High Performance Computing (“HPC”)” significa uma carga de trabalho na qual o software para servidores é usado para executar um Nó</w:t>
      </w:r>
      <w:r w:rsidR="00B77658">
        <w:rPr>
          <w:rFonts w:cs="Tahoma"/>
          <w:color w:val="000000"/>
        </w:rPr>
        <w:t> </w:t>
      </w:r>
      <w:r w:rsidRPr="004B208C">
        <w:rPr>
          <w:rFonts w:cs="Tahoma"/>
          <w:color w:val="000000"/>
        </w:rPr>
        <w:t>de Cluster e é usado em conjunto com outro software somente conforme necessário para permitir o</w:t>
      </w:r>
      <w:r w:rsidR="00B77658">
        <w:rPr>
          <w:rFonts w:cs="Tahoma"/>
          <w:color w:val="000000"/>
        </w:rPr>
        <w:t> </w:t>
      </w:r>
      <w:r w:rsidRPr="004B208C">
        <w:rPr>
          <w:rFonts w:cs="Tahoma"/>
          <w:color w:val="000000"/>
        </w:rPr>
        <w:t>gerenciamento de sistemas, a segurança, o armazenamento e a melhoria do desempenho de qualquer dispositivo do nó de cluster com o propósito de oferecer suporte aos Aplicativos HPC agrupados. Consulte os</w:t>
      </w:r>
      <w:r w:rsidR="00B77658">
        <w:rPr>
          <w:rFonts w:cs="Tahoma"/>
          <w:color w:val="000000"/>
        </w:rPr>
        <w:t> </w:t>
      </w:r>
      <w:r w:rsidRPr="004B208C">
        <w:rPr>
          <w:rFonts w:cs="Tahoma"/>
          <w:color w:val="000000"/>
        </w:rPr>
        <w:t>Direitos de Uso de Produto para obter detalhes adicionais.</w:t>
      </w:r>
    </w:p>
    <w:p w:rsidR="00E35EBB" w:rsidRPr="00E35EBB" w:rsidRDefault="00E35EBB" w:rsidP="00E35EBB">
      <w:pPr>
        <w:rPr>
          <w:rFonts w:cs="Tahoma"/>
        </w:rPr>
      </w:pPr>
    </w:p>
    <w:p w:rsidR="00E35EBB" w:rsidRPr="004B208C" w:rsidRDefault="00E35EBB" w:rsidP="00E35EBB">
      <w:pPr>
        <w:rPr>
          <w:rFonts w:cs="Tahoma"/>
        </w:rPr>
      </w:pPr>
    </w:p>
    <w:p w:rsidR="00F42FD5" w:rsidRPr="004B208C" w:rsidRDefault="0085774C" w:rsidP="00416294">
      <w:pPr>
        <w:pStyle w:val="Heading2"/>
        <w:ind w:left="0"/>
        <w:rPr>
          <w:rFonts w:ascii="Tahoma" w:hAnsi="Tahoma" w:cs="Tahoma"/>
        </w:rPr>
      </w:pPr>
      <w:bookmarkStart w:id="1315" w:name="_58_Learning_Solutions"/>
      <w:bookmarkStart w:id="1316" w:name="_54_Learning_Solutions"/>
      <w:bookmarkStart w:id="1317" w:name="_64_62_Learning"/>
      <w:bookmarkStart w:id="1318" w:name="_69_Learning_Solutions"/>
      <w:bookmarkStart w:id="1319" w:name="_65_63_Lync"/>
      <w:bookmarkStart w:id="1320" w:name="_70_Lync_Online"/>
      <w:bookmarkStart w:id="1321" w:name="_68_Lync_Online"/>
      <w:bookmarkStart w:id="1322" w:name="_Toc336338325"/>
      <w:bookmarkStart w:id="1323" w:name="Srv_65LyncOnlinePlan1and2"/>
      <w:bookmarkStart w:id="1324" w:name="_Toc370981442"/>
      <w:bookmarkEnd w:id="1315"/>
      <w:bookmarkEnd w:id="1316"/>
      <w:bookmarkEnd w:id="1317"/>
      <w:bookmarkEnd w:id="1318"/>
      <w:bookmarkEnd w:id="1319"/>
      <w:bookmarkEnd w:id="1320"/>
      <w:bookmarkEnd w:id="1321"/>
      <w:r w:rsidRPr="004B208C">
        <w:rPr>
          <w:rFonts w:ascii="Tahoma" w:hAnsi="Tahoma" w:cs="Tahoma"/>
          <w:caps/>
          <w:color w:val="FF6600"/>
          <w:sz w:val="22"/>
          <w:vertAlign w:val="superscript"/>
        </w:rPr>
        <w:t>68</w:t>
      </w:r>
      <w:r w:rsidRPr="004B208C">
        <w:rPr>
          <w:rFonts w:ascii="Tahoma" w:hAnsi="Tahoma" w:cs="Tahoma"/>
          <w:color w:val="FF6600"/>
        </w:rPr>
        <w:t xml:space="preserve"> </w:t>
      </w:r>
      <w:r w:rsidRPr="004B208C">
        <w:rPr>
          <w:rFonts w:ascii="Tahoma" w:hAnsi="Tahoma" w:cs="Tahoma"/>
          <w:color w:val="FF6600"/>
          <w:sz w:val="22"/>
        </w:rPr>
        <w:t>Lync Online Planos 1, 2 e 3</w:t>
      </w:r>
      <w:bookmarkEnd w:id="1322"/>
      <w:bookmarkEnd w:id="1324"/>
    </w:p>
    <w:bookmarkEnd w:id="1323"/>
    <w:p w:rsidR="00F42FD5" w:rsidRPr="004B208C" w:rsidRDefault="00F42FD5" w:rsidP="00F42FD5">
      <w:pPr>
        <w:rPr>
          <w:rFonts w:cs="Tahoma"/>
        </w:rPr>
      </w:pPr>
    </w:p>
    <w:p w:rsidR="00693524" w:rsidRPr="004B208C" w:rsidRDefault="00194DAF" w:rsidP="00693524">
      <w:pPr>
        <w:ind w:left="720"/>
        <w:rPr>
          <w:rFonts w:cs="Tahoma"/>
        </w:rPr>
      </w:pPr>
      <w:r w:rsidRPr="004B208C">
        <w:rPr>
          <w:rFonts w:cs="Tahoma"/>
          <w:color w:val="000000"/>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7F341A">
        <w:rPr>
          <w:rFonts w:cs="Tahoma"/>
          <w:color w:val="000000"/>
        </w:rPr>
        <w:t> </w:t>
      </w:r>
      <w:r w:rsidRPr="004B208C">
        <w:rPr>
          <w:rFonts w:cs="Tahoma"/>
          <w:color w:val="000000"/>
        </w:rPr>
        <w:t>Lync for Mac 2011 a nenhum custo com cada licença de assinatura de teste ou paga do Lync Online. O</w:t>
      </w:r>
      <w:r w:rsidR="007F341A">
        <w:rPr>
          <w:rFonts w:cs="Tahoma"/>
          <w:color w:val="000000"/>
        </w:rPr>
        <w:t> </w:t>
      </w:r>
      <w:r w:rsidRPr="004B208C">
        <w:rPr>
          <w:rFonts w:cs="Tahoma"/>
          <w:color w:val="000000"/>
        </w:rPr>
        <w:t>software só poderá ser usado com o Lync Online, e todos os direitos de uso do software se encerrarão ao</w:t>
      </w:r>
      <w:r w:rsidR="007F341A">
        <w:rPr>
          <w:rFonts w:cs="Tahoma"/>
          <w:color w:val="000000"/>
        </w:rPr>
        <w:t> </w:t>
      </w:r>
      <w:r w:rsidRPr="004B208C">
        <w:rPr>
          <w:rFonts w:cs="Tahoma"/>
          <w:color w:val="000000"/>
        </w:rPr>
        <w:t>término da licença de assinatura básica ou da migração para a próxima nova versão principal do Lync Online, o que ocorrer primeiro.</w:t>
      </w:r>
      <w:r w:rsidR="00172F11">
        <w:rPr>
          <w:rFonts w:cs="Tahoma"/>
          <w:color w:val="000000"/>
        </w:rPr>
        <w:t xml:space="preserve"> </w:t>
      </w:r>
      <w:r w:rsidRPr="004B208C">
        <w:rPr>
          <w:rFonts w:cs="Tahoma"/>
          <w:color w:val="000000"/>
        </w:rPr>
        <w:t xml:space="preserve">Os clientes podem usar o cliente gratuito Lync Basic 2013 para seus usuários finais com base em Windows. </w:t>
      </w:r>
    </w:p>
    <w:p w:rsidR="006D33A5" w:rsidRPr="004B208C" w:rsidRDefault="006D33A5" w:rsidP="007B35CE">
      <w:pPr>
        <w:rPr>
          <w:rFonts w:cs="Tahoma"/>
        </w:rPr>
      </w:pPr>
    </w:p>
    <w:p w:rsidR="006D33A5" w:rsidRPr="004B208C" w:rsidRDefault="006D33A5" w:rsidP="003D0252">
      <w:pPr>
        <w:spacing w:after="60"/>
        <w:ind w:left="720"/>
        <w:rPr>
          <w:rFonts w:cs="Tahoma"/>
        </w:rPr>
      </w:pPr>
      <w:r w:rsidRPr="004B208C">
        <w:rPr>
          <w:rFonts w:eastAsia="Calibri" w:cs="Tahoma"/>
          <w:b/>
          <w:color w:val="000000"/>
          <w:szCs w:val="18"/>
        </w:rPr>
        <w:t>Nuvem da Comunidade do Governo (Apenas para os Estados Unidos)</w:t>
      </w:r>
    </w:p>
    <w:p w:rsidR="006D33A5" w:rsidRPr="004B208C" w:rsidRDefault="006D33A5" w:rsidP="006D33A5">
      <w:pPr>
        <w:ind w:left="720"/>
        <w:rPr>
          <w:rFonts w:cs="Tahoma"/>
        </w:rPr>
      </w:pPr>
      <w:r w:rsidRPr="004B208C">
        <w:rPr>
          <w:rFonts w:eastAsia="Calibri" w:cs="Tahoma"/>
          <w:color w:val="000000"/>
          <w:szCs w:val="18"/>
        </w:rPr>
        <w:t>Alguns serviços online na família de produtos do Office 365 (incluindo Lync Online Planos 1, 2 e 3) são oferecidos como serviços de nuvem da comunidade do governo e serviços de nuvem da comunidade não governamental.</w:t>
      </w:r>
      <w:r w:rsidR="00172F11">
        <w:rPr>
          <w:rFonts w:eastAsia="Calibri" w:cs="Tahoma"/>
          <w:color w:val="000000"/>
          <w:szCs w:val="18"/>
        </w:rPr>
        <w:t xml:space="preserve"> </w:t>
      </w:r>
      <w:r w:rsidRPr="004B208C">
        <w:rPr>
          <w:rFonts w:eastAsia="Calibri" w:cs="Tahoma"/>
          <w:color w:val="000000"/>
          <w:szCs w:val="18"/>
        </w:rPr>
        <w:t>Os clientes podem ser provisionados como um ou outro, mas não com uma mistura dos dois.</w:t>
      </w:r>
      <w:r w:rsidR="00172F11">
        <w:rPr>
          <w:rFonts w:eastAsia="Calibri" w:cs="Tahoma"/>
          <w:color w:val="000000"/>
          <w:szCs w:val="18"/>
        </w:rPr>
        <w:t xml:space="preserve"> </w:t>
      </w:r>
      <w:r w:rsidRPr="004B208C">
        <w:rPr>
          <w:rFonts w:eastAsia="Calibri" w:cs="Tahoma"/>
          <w:color w:val="000000"/>
          <w:szCs w:val="18"/>
        </w:rPr>
        <w:t>Os Serviços Online projetados como nuvem de comunidade do governo não podem ser implantados no mesmo domínio que os serviços de nuvem da comunidade não governamental específicos.</w:t>
      </w:r>
      <w:r w:rsidR="00172F11">
        <w:rPr>
          <w:rFonts w:eastAsia="Calibri" w:cs="Tahoma"/>
          <w:color w:val="000000"/>
          <w:szCs w:val="18"/>
        </w:rPr>
        <w:t xml:space="preserve"> </w:t>
      </w:r>
      <w:r w:rsidRPr="004B208C">
        <w:rPr>
          <w:rFonts w:eastAsia="Calibri" w:cs="Tahoma"/>
          <w:color w:val="000000"/>
          <w:szCs w:val="18"/>
        </w:rPr>
        <w:t>Esta limitação se estende a qualquer serviço online que faça parte da família de produtos do Office 365, incluindo Exchange Online, SharePoint Online e Lync Online.</w:t>
      </w:r>
      <w:r w:rsidR="00172F11">
        <w:rPr>
          <w:rFonts w:eastAsia="Calibri" w:cs="Tahoma"/>
          <w:color w:val="000000"/>
          <w:szCs w:val="18"/>
        </w:rPr>
        <w:t xml:space="preserve"> </w:t>
      </w:r>
    </w:p>
    <w:p w:rsidR="006D33A5" w:rsidRPr="004B208C" w:rsidRDefault="006D33A5" w:rsidP="006D33A5">
      <w:pPr>
        <w:ind w:left="720"/>
        <w:rPr>
          <w:rFonts w:cs="Tahoma"/>
        </w:rPr>
      </w:pPr>
    </w:p>
    <w:p w:rsidR="006D33A5" w:rsidRPr="004B208C" w:rsidRDefault="006D33A5" w:rsidP="006D33A5">
      <w:pPr>
        <w:ind w:left="720"/>
        <w:rPr>
          <w:rFonts w:cs="Tahoma"/>
        </w:rPr>
      </w:pPr>
      <w:r w:rsidRPr="004B208C">
        <w:rPr>
          <w:rFonts w:eastAsia="Calibri" w:cs="Tahoma"/>
          <w:color w:val="000000"/>
          <w:szCs w:val="18"/>
        </w:rPr>
        <w:t>Assim que um serviço online é provisionado na nuvem de comunidade do governo, ele permanecerá lá pela duração da vigência da assinatura.</w:t>
      </w:r>
      <w:r w:rsidR="00172F11">
        <w:rPr>
          <w:rFonts w:eastAsia="Calibri" w:cs="Tahoma"/>
          <w:color w:val="000000"/>
          <w:szCs w:val="18"/>
        </w:rPr>
        <w:t xml:space="preserve"> </w:t>
      </w:r>
      <w:r w:rsidRPr="004B208C">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172F11">
        <w:rPr>
          <w:rFonts w:eastAsia="Calibri" w:cs="Tahoma"/>
          <w:color w:val="000000"/>
          <w:szCs w:val="18"/>
        </w:rPr>
        <w:t xml:space="preserve"> </w:t>
      </w:r>
      <w:r w:rsidRPr="004B208C">
        <w:rPr>
          <w:rFonts w:eastAsia="Calibri" w:cs="Tahoma"/>
          <w:color w:val="000000"/>
          <w:szCs w:val="18"/>
        </w:rPr>
        <w:t>Os Direitos de Uso para serviços de nuvem da comunidade do governo são equivalentes àqueles dos seus diversos locatários padrão.</w:t>
      </w:r>
      <w:r w:rsidR="00172F11">
        <w:rPr>
          <w:rFonts w:eastAsia="Calibri" w:cs="Tahoma"/>
          <w:color w:val="000000"/>
          <w:szCs w:val="18"/>
        </w:rPr>
        <w:t xml:space="preserve"> </w:t>
      </w:r>
    </w:p>
    <w:p w:rsidR="004E0852" w:rsidRPr="004B208C" w:rsidRDefault="00D629A3" w:rsidP="004E0852">
      <w:pPr>
        <w:pStyle w:val="Heading2"/>
        <w:ind w:left="0"/>
        <w:rPr>
          <w:rFonts w:ascii="Tahoma" w:hAnsi="Tahoma" w:cs="Tahoma"/>
        </w:rPr>
      </w:pPr>
      <w:bookmarkStart w:id="1325" w:name="_62_Lync_Server"/>
      <w:bookmarkStart w:id="1326" w:name="_71_Lync_Server"/>
      <w:bookmarkStart w:id="1327" w:name="_Toc336338326"/>
      <w:bookmarkStart w:id="1328" w:name="Srv_62LyncServer2010StandEnt"/>
      <w:bookmarkStart w:id="1329" w:name="_Toc370981443"/>
      <w:bookmarkEnd w:id="1325"/>
      <w:bookmarkEnd w:id="1326"/>
      <w:r w:rsidRPr="004B208C">
        <w:rPr>
          <w:rFonts w:ascii="Tahoma" w:hAnsi="Tahoma" w:cs="Tahoma"/>
          <w:caps/>
          <w:color w:val="FA6500"/>
          <w:sz w:val="22"/>
          <w:vertAlign w:val="superscript"/>
        </w:rPr>
        <w:lastRenderedPageBreak/>
        <w:t xml:space="preserve">69 </w:t>
      </w:r>
      <w:r w:rsidRPr="004B208C">
        <w:rPr>
          <w:rFonts w:ascii="Tahoma" w:hAnsi="Tahoma" w:cs="Tahoma"/>
          <w:color w:val="FA6500"/>
          <w:sz w:val="22"/>
        </w:rPr>
        <w:t>Lync Server 2013</w:t>
      </w:r>
      <w:bookmarkEnd w:id="1329"/>
      <w:r w:rsidRPr="004B208C">
        <w:rPr>
          <w:rFonts w:ascii="Tahoma" w:hAnsi="Tahoma" w:cs="Tahoma"/>
          <w:color w:val="FA6500"/>
          <w:sz w:val="22"/>
        </w:rPr>
        <w:t xml:space="preserve"> </w:t>
      </w:r>
    </w:p>
    <w:p w:rsidR="004E0852" w:rsidRPr="004B208C" w:rsidRDefault="004E0852" w:rsidP="004E0852">
      <w:pPr>
        <w:ind w:left="720"/>
        <w:rPr>
          <w:rFonts w:cs="Tahoma"/>
        </w:rPr>
      </w:pPr>
    </w:p>
    <w:p w:rsidR="004E0852" w:rsidRPr="004B208C" w:rsidRDefault="004E0852" w:rsidP="004E0852">
      <w:pPr>
        <w:ind w:left="720"/>
        <w:rPr>
          <w:rFonts w:cs="Tahoma"/>
        </w:rPr>
      </w:pPr>
      <w:r w:rsidRPr="004B208C">
        <w:rPr>
          <w:rFonts w:cs="Tahoma"/>
          <w:color w:val="000000"/>
          <w:szCs w:val="18"/>
        </w:rPr>
        <w:t>O Lync Server 2013 é a versão mais recente do Lync Server.</w:t>
      </w:r>
      <w:r w:rsidR="00172F11">
        <w:rPr>
          <w:rFonts w:cs="Tahoma"/>
          <w:color w:val="000000"/>
          <w:szCs w:val="18"/>
        </w:rPr>
        <w:t xml:space="preserve"> </w:t>
      </w:r>
      <w:r w:rsidRPr="004B208C">
        <w:rPr>
          <w:rFonts w:cs="Tahoma"/>
          <w:color w:val="000000"/>
          <w:szCs w:val="18"/>
        </w:rPr>
        <w:t xml:space="preserve">Os clientes com Software Assurance ativo para Lync Server 2010 Standard ou Enterprise </w:t>
      </w:r>
      <w:bookmarkEnd w:id="1327"/>
      <w:r w:rsidRPr="004B208C">
        <w:rPr>
          <w:rFonts w:cs="Tahoma"/>
          <w:color w:val="000000"/>
          <w:szCs w:val="18"/>
        </w:rPr>
        <w:t>em 1º de outubro de 2012 poderão atualizar para e usar o Lync Server 2013 em vez de suas cópias licenciadas correspondentes do Lync Server 2010.</w:t>
      </w:r>
    </w:p>
    <w:bookmarkEnd w:id="1328"/>
    <w:p w:rsidR="00CD0D74" w:rsidRPr="004B208C" w:rsidRDefault="00CD0D74" w:rsidP="00CD0D74">
      <w:pPr>
        <w:ind w:left="720"/>
        <w:rPr>
          <w:rFonts w:cs="Tahoma"/>
        </w:rPr>
      </w:pPr>
    </w:p>
    <w:p w:rsidR="00CD0D74" w:rsidRPr="004B208C" w:rsidRDefault="00CD0D74" w:rsidP="00CD0D74">
      <w:pPr>
        <w:ind w:left="720"/>
        <w:rPr>
          <w:rFonts w:cs="Tahoma"/>
        </w:rPr>
      </w:pPr>
      <w:r w:rsidRPr="004B208C">
        <w:rPr>
          <w:rFonts w:cs="Tahoma"/>
          <w:color w:val="000000"/>
          <w:szCs w:val="18"/>
        </w:rPr>
        <w:t>As CALs do Lync Server 2013 são as CALs sucessoras para as CALs do Lync Server 2010.</w:t>
      </w:r>
      <w:r w:rsidR="00172F11">
        <w:rPr>
          <w:rFonts w:cs="Tahoma"/>
          <w:color w:val="000000"/>
          <w:szCs w:val="18"/>
        </w:rPr>
        <w:t xml:space="preserve"> </w:t>
      </w:r>
    </w:p>
    <w:p w:rsidR="00CD0D74" w:rsidRPr="004B208C" w:rsidRDefault="00CD0D74" w:rsidP="00CD0D74">
      <w:pPr>
        <w:ind w:left="720"/>
        <w:rPr>
          <w:rFonts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4B208C" w:rsidTr="0057135E">
        <w:trPr>
          <w:trHeight w:val="332"/>
        </w:trPr>
        <w:tc>
          <w:tcPr>
            <w:tcW w:w="4500" w:type="dxa"/>
            <w:shd w:val="clear" w:color="auto" w:fill="FABF8F"/>
          </w:tcPr>
          <w:p w:rsidR="00CD0D74" w:rsidRPr="004B208C" w:rsidRDefault="00CD0D74" w:rsidP="0057135E">
            <w:pPr>
              <w:rPr>
                <w:rFonts w:cs="Tahoma"/>
                <w:b/>
                <w:color w:val="000000"/>
                <w:szCs w:val="18"/>
              </w:rPr>
            </w:pPr>
            <w:r w:rsidRPr="004B208C">
              <w:rPr>
                <w:rFonts w:cs="Tahoma"/>
                <w:b/>
                <w:color w:val="000000"/>
                <w:szCs w:val="18"/>
              </w:rPr>
              <w:t>CAL do Lync Server 2010</w:t>
            </w:r>
          </w:p>
        </w:tc>
        <w:tc>
          <w:tcPr>
            <w:tcW w:w="3600" w:type="dxa"/>
            <w:shd w:val="clear" w:color="auto" w:fill="FABF8F"/>
          </w:tcPr>
          <w:p w:rsidR="00CD0D74" w:rsidRPr="004B208C" w:rsidRDefault="00CD0D74" w:rsidP="0057135E">
            <w:pPr>
              <w:rPr>
                <w:rFonts w:cs="Tahoma"/>
                <w:b/>
                <w:color w:val="000000"/>
                <w:szCs w:val="18"/>
              </w:rPr>
            </w:pPr>
            <w:r w:rsidRPr="004B208C">
              <w:rPr>
                <w:rFonts w:cs="Tahoma"/>
                <w:b/>
                <w:color w:val="000000"/>
                <w:szCs w:val="18"/>
              </w:rPr>
              <w:t>Versão Sucessora</w:t>
            </w:r>
          </w:p>
        </w:tc>
      </w:tr>
      <w:tr w:rsidR="00CD0D74" w:rsidRPr="004B208C" w:rsidTr="0057135E">
        <w:trPr>
          <w:trHeight w:val="70"/>
        </w:trPr>
        <w:tc>
          <w:tcPr>
            <w:tcW w:w="4500" w:type="dxa"/>
            <w:shd w:val="clear" w:color="auto" w:fill="auto"/>
          </w:tcPr>
          <w:p w:rsidR="00CD0D74" w:rsidRPr="004B208C" w:rsidRDefault="00CD0D74" w:rsidP="0057135E">
            <w:pPr>
              <w:rPr>
                <w:rFonts w:cs="Tahoma"/>
                <w:color w:val="000000"/>
                <w:szCs w:val="18"/>
              </w:rPr>
            </w:pPr>
            <w:r w:rsidRPr="004B208C">
              <w:rPr>
                <w:rFonts w:cs="Tahoma"/>
                <w:color w:val="000000"/>
                <w:szCs w:val="18"/>
              </w:rPr>
              <w:t xml:space="preserve">CAL do Lync Server 2010 Plus </w:t>
            </w:r>
          </w:p>
        </w:tc>
        <w:tc>
          <w:tcPr>
            <w:tcW w:w="3600" w:type="dxa"/>
            <w:shd w:val="clear" w:color="auto" w:fill="auto"/>
          </w:tcPr>
          <w:p w:rsidR="00CD0D74" w:rsidRPr="004B208C" w:rsidRDefault="00CD0D74" w:rsidP="0057135E">
            <w:pPr>
              <w:rPr>
                <w:rFonts w:cs="Tahoma"/>
                <w:color w:val="000000"/>
                <w:szCs w:val="18"/>
              </w:rPr>
            </w:pPr>
            <w:r w:rsidRPr="004B208C">
              <w:rPr>
                <w:rFonts w:cs="Tahoma"/>
                <w:color w:val="000000"/>
                <w:szCs w:val="18"/>
              </w:rPr>
              <w:t>CAL do Lync Server 2013 Plus</w:t>
            </w:r>
          </w:p>
        </w:tc>
      </w:tr>
      <w:tr w:rsidR="00CD0D74" w:rsidRPr="004B208C" w:rsidTr="0057135E">
        <w:trPr>
          <w:trHeight w:val="70"/>
        </w:trPr>
        <w:tc>
          <w:tcPr>
            <w:tcW w:w="4500" w:type="dxa"/>
            <w:shd w:val="clear" w:color="auto" w:fill="auto"/>
          </w:tcPr>
          <w:p w:rsidR="00CD0D74" w:rsidRPr="004B208C" w:rsidRDefault="00CD0D74" w:rsidP="0057135E">
            <w:pPr>
              <w:rPr>
                <w:rFonts w:cs="Tahoma"/>
                <w:color w:val="000000"/>
                <w:szCs w:val="18"/>
              </w:rPr>
            </w:pPr>
            <w:r w:rsidRPr="004B208C">
              <w:rPr>
                <w:rFonts w:cs="Tahoma"/>
                <w:color w:val="000000"/>
                <w:szCs w:val="18"/>
              </w:rPr>
              <w:t xml:space="preserve">CAL Empresarial do Lync Server 2010 </w:t>
            </w:r>
          </w:p>
        </w:tc>
        <w:tc>
          <w:tcPr>
            <w:tcW w:w="3600" w:type="dxa"/>
            <w:shd w:val="clear" w:color="auto" w:fill="auto"/>
          </w:tcPr>
          <w:p w:rsidR="00CD0D74" w:rsidRPr="004B208C" w:rsidRDefault="00CD0D74" w:rsidP="0057135E">
            <w:pPr>
              <w:rPr>
                <w:rFonts w:cs="Tahoma"/>
                <w:color w:val="000000"/>
                <w:szCs w:val="18"/>
              </w:rPr>
            </w:pPr>
            <w:r w:rsidRPr="004B208C">
              <w:rPr>
                <w:rFonts w:cs="Tahoma"/>
                <w:color w:val="000000"/>
                <w:szCs w:val="18"/>
              </w:rPr>
              <w:t>CAL do Lync Server 2013 Enterprise</w:t>
            </w:r>
          </w:p>
        </w:tc>
      </w:tr>
      <w:tr w:rsidR="00CD0D74" w:rsidRPr="004B208C" w:rsidTr="0057135E">
        <w:trPr>
          <w:trHeight w:val="70"/>
        </w:trPr>
        <w:tc>
          <w:tcPr>
            <w:tcW w:w="4500" w:type="dxa"/>
            <w:shd w:val="clear" w:color="auto" w:fill="auto"/>
          </w:tcPr>
          <w:p w:rsidR="00CD0D74" w:rsidRPr="004B208C" w:rsidRDefault="00CD0D74" w:rsidP="0057135E">
            <w:pPr>
              <w:rPr>
                <w:rFonts w:cs="Tahoma"/>
                <w:color w:val="000000"/>
                <w:szCs w:val="18"/>
              </w:rPr>
            </w:pPr>
            <w:r w:rsidRPr="004B208C">
              <w:rPr>
                <w:rFonts w:cs="Tahoma"/>
                <w:color w:val="000000"/>
                <w:szCs w:val="18"/>
              </w:rPr>
              <w:t xml:space="preserve">CAL Padrão do Lync Server 2010 </w:t>
            </w:r>
          </w:p>
        </w:tc>
        <w:tc>
          <w:tcPr>
            <w:tcW w:w="3600" w:type="dxa"/>
            <w:shd w:val="clear" w:color="auto" w:fill="auto"/>
          </w:tcPr>
          <w:p w:rsidR="00CD0D74" w:rsidRPr="004B208C" w:rsidRDefault="00CD0D74" w:rsidP="0057135E">
            <w:pPr>
              <w:rPr>
                <w:rFonts w:cs="Tahoma"/>
                <w:color w:val="000000"/>
                <w:szCs w:val="18"/>
              </w:rPr>
            </w:pPr>
            <w:r w:rsidRPr="004B208C">
              <w:rPr>
                <w:rFonts w:cs="Tahoma"/>
                <w:color w:val="000000"/>
                <w:szCs w:val="18"/>
              </w:rPr>
              <w:t>CAL do Lync Server 2013 Standard</w:t>
            </w:r>
          </w:p>
        </w:tc>
      </w:tr>
    </w:tbl>
    <w:p w:rsidR="004E0852" w:rsidRPr="004B208C" w:rsidRDefault="004E0852" w:rsidP="003D0252">
      <w:pPr>
        <w:rPr>
          <w:rFonts w:cs="Tahoma"/>
        </w:rPr>
      </w:pPr>
    </w:p>
    <w:p w:rsidR="004E0852" w:rsidRPr="004B208C" w:rsidRDefault="004E0852" w:rsidP="0080323A">
      <w:pPr>
        <w:spacing w:after="60"/>
        <w:ind w:left="720"/>
        <w:rPr>
          <w:rFonts w:cs="Tahoma"/>
        </w:rPr>
      </w:pPr>
      <w:r w:rsidRPr="004B208C">
        <w:rPr>
          <w:rFonts w:cs="Tahoma"/>
          <w:b/>
          <w:color w:val="000000"/>
          <w:szCs w:val="18"/>
        </w:rPr>
        <w:t>Outorga de Licença para Clientes do Conector Externo do Lync Server 2010 Enterprise, Conector Externo do Lync Server 2010 Plus e Clientes do Conector Externo do Lync Server 2010</w:t>
      </w:r>
      <w:r w:rsidR="007F341A">
        <w:rPr>
          <w:rFonts w:cs="Tahoma"/>
          <w:b/>
          <w:color w:val="000000"/>
          <w:szCs w:val="18"/>
        </w:rPr>
        <w:t> </w:t>
      </w:r>
      <w:r w:rsidRPr="004B208C">
        <w:rPr>
          <w:rFonts w:cs="Tahoma"/>
          <w:b/>
          <w:color w:val="000000"/>
          <w:szCs w:val="18"/>
        </w:rPr>
        <w:t>Standard</w:t>
      </w:r>
    </w:p>
    <w:p w:rsidR="00D57009" w:rsidRPr="004B208C" w:rsidRDefault="004E0852" w:rsidP="003C3A72">
      <w:pPr>
        <w:ind w:left="720"/>
        <w:rPr>
          <w:rFonts w:cs="Tahoma"/>
        </w:rPr>
      </w:pPr>
      <w:r w:rsidRPr="004B208C">
        <w:rPr>
          <w:rFonts w:cs="Tahoma"/>
          <w:color w:val="000000"/>
          <w:szCs w:val="18"/>
        </w:rPr>
        <w:t>A versão 2010 do Conector Externo do Lync Server 2010 Enterprise, Conector Externo do Lync Server 2010 Plus e Clientes do Conector Externo do Lync Server 2010 Standard é a versão final destas licenças.</w:t>
      </w:r>
      <w:r w:rsidR="00172F11">
        <w:rPr>
          <w:rFonts w:cs="Tahoma"/>
          <w:color w:val="000000"/>
          <w:szCs w:val="18"/>
        </w:rPr>
        <w:t xml:space="preserve"> </w:t>
      </w:r>
      <w:r w:rsidRPr="004B208C">
        <w:rPr>
          <w:rFonts w:cs="Tahoma"/>
          <w:color w:val="000000"/>
          <w:szCs w:val="18"/>
        </w:rPr>
        <w:t>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outubro de 2012 estarão qualificados para a outorga de licença a seguir.</w:t>
      </w:r>
    </w:p>
    <w:p w:rsidR="007F341A" w:rsidRPr="004B208C" w:rsidRDefault="007F341A"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4B208C" w:rsidTr="00BD1A6A">
        <w:trPr>
          <w:trHeight w:val="332"/>
        </w:trPr>
        <w:tc>
          <w:tcPr>
            <w:tcW w:w="4500" w:type="dxa"/>
            <w:shd w:val="clear" w:color="auto" w:fill="FABF8F"/>
          </w:tcPr>
          <w:p w:rsidR="00BD1A6A" w:rsidRPr="004B208C" w:rsidRDefault="00BD1A6A" w:rsidP="007B35CE">
            <w:pPr>
              <w:keepNext/>
              <w:rPr>
                <w:rFonts w:cs="Tahoma"/>
                <w:b/>
                <w:color w:val="000000"/>
                <w:szCs w:val="18"/>
              </w:rPr>
            </w:pPr>
            <w:r w:rsidRPr="004B208C">
              <w:rPr>
                <w:rFonts w:cs="Tahoma"/>
                <w:b/>
                <w:color w:val="000000"/>
                <w:szCs w:val="18"/>
              </w:rPr>
              <w:t>Licença Qualificada</w:t>
            </w:r>
          </w:p>
        </w:tc>
        <w:tc>
          <w:tcPr>
            <w:tcW w:w="3600" w:type="dxa"/>
            <w:shd w:val="clear" w:color="auto" w:fill="FABF8F"/>
          </w:tcPr>
          <w:p w:rsidR="00BD1A6A" w:rsidRPr="004B208C" w:rsidRDefault="00BD1A6A" w:rsidP="002C3AB1">
            <w:pPr>
              <w:rPr>
                <w:rFonts w:cs="Tahoma"/>
                <w:b/>
                <w:color w:val="000000"/>
                <w:szCs w:val="18"/>
              </w:rPr>
            </w:pPr>
            <w:r w:rsidRPr="004B208C">
              <w:rPr>
                <w:rFonts w:cs="Tahoma"/>
                <w:b/>
                <w:color w:val="000000"/>
                <w:szCs w:val="18"/>
              </w:rPr>
              <w:t>Licença Complementar e Benefícios</w:t>
            </w:r>
          </w:p>
        </w:tc>
      </w:tr>
      <w:tr w:rsidR="00BD1A6A" w:rsidRPr="004B208C" w:rsidTr="00BD1A6A">
        <w:trPr>
          <w:trHeight w:val="70"/>
        </w:trPr>
        <w:tc>
          <w:tcPr>
            <w:tcW w:w="4500" w:type="dxa"/>
            <w:shd w:val="clear" w:color="auto" w:fill="auto"/>
          </w:tcPr>
          <w:p w:rsidR="00BD1A6A" w:rsidRPr="004B208C" w:rsidRDefault="00BD1A6A" w:rsidP="007F341A">
            <w:pPr>
              <w:keepNext/>
              <w:rPr>
                <w:rFonts w:cs="Tahoma"/>
                <w:color w:val="000000"/>
                <w:szCs w:val="18"/>
              </w:rPr>
            </w:pPr>
            <w:r w:rsidRPr="004B208C">
              <w:rPr>
                <w:rFonts w:cs="Tahoma"/>
                <w:color w:val="000000"/>
                <w:szCs w:val="18"/>
              </w:rPr>
              <w:t>Conector Externo do Lync Server 2010 Enterprise com Software Assurance ativo em 1º de outubro de</w:t>
            </w:r>
            <w:r w:rsidR="007F341A">
              <w:rPr>
                <w:rFonts w:cs="Tahoma"/>
                <w:color w:val="000000"/>
                <w:szCs w:val="18"/>
              </w:rPr>
              <w:t> </w:t>
            </w:r>
            <w:r w:rsidRPr="004B208C">
              <w:rPr>
                <w:rFonts w:cs="Tahoma"/>
                <w:color w:val="000000"/>
                <w:szCs w:val="18"/>
              </w:rPr>
              <w:t>2012</w:t>
            </w:r>
          </w:p>
        </w:tc>
        <w:tc>
          <w:tcPr>
            <w:tcW w:w="3600" w:type="dxa"/>
            <w:shd w:val="clear" w:color="auto" w:fill="auto"/>
          </w:tcPr>
          <w:p w:rsidR="00BD1A6A" w:rsidRPr="004B208C" w:rsidRDefault="00BD1A6A" w:rsidP="002C3AB1">
            <w:pPr>
              <w:rPr>
                <w:rFonts w:cs="Tahoma"/>
                <w:color w:val="000000"/>
                <w:szCs w:val="18"/>
              </w:rPr>
            </w:pPr>
            <w:r w:rsidRPr="004B208C">
              <w:rPr>
                <w:rFonts w:cs="Tahoma"/>
                <w:color w:val="000000"/>
                <w:szCs w:val="18"/>
              </w:rPr>
              <w:t>Licença do Lync Server 2013</w:t>
            </w:r>
          </w:p>
        </w:tc>
      </w:tr>
      <w:tr w:rsidR="00BD1A6A" w:rsidRPr="004B208C" w:rsidTr="00BD1A6A">
        <w:trPr>
          <w:trHeight w:val="70"/>
        </w:trPr>
        <w:tc>
          <w:tcPr>
            <w:tcW w:w="4500" w:type="dxa"/>
            <w:shd w:val="clear" w:color="auto" w:fill="auto"/>
          </w:tcPr>
          <w:p w:rsidR="00BD1A6A" w:rsidRPr="004B208C" w:rsidRDefault="00BD1A6A" w:rsidP="003678D7">
            <w:pPr>
              <w:rPr>
                <w:rFonts w:cs="Tahoma"/>
                <w:color w:val="000000"/>
                <w:szCs w:val="18"/>
              </w:rPr>
            </w:pPr>
            <w:r w:rsidRPr="004B208C">
              <w:rPr>
                <w:rFonts w:cs="Tahoma"/>
                <w:color w:val="000000"/>
                <w:szCs w:val="18"/>
              </w:rPr>
              <w:t>Conector Externo do Lync Server 2010 Plus com Software Assurance ativo em 1º de outubro de 2012</w:t>
            </w:r>
          </w:p>
        </w:tc>
        <w:tc>
          <w:tcPr>
            <w:tcW w:w="3600" w:type="dxa"/>
            <w:shd w:val="clear" w:color="auto" w:fill="auto"/>
          </w:tcPr>
          <w:p w:rsidR="00BD1A6A" w:rsidRPr="004B208C" w:rsidRDefault="00BD1A6A" w:rsidP="002C3AB1">
            <w:pPr>
              <w:rPr>
                <w:rFonts w:cs="Tahoma"/>
                <w:color w:val="000000"/>
                <w:szCs w:val="18"/>
              </w:rPr>
            </w:pPr>
            <w:r w:rsidRPr="004B208C">
              <w:rPr>
                <w:rFonts w:cs="Tahoma"/>
                <w:color w:val="000000"/>
                <w:szCs w:val="18"/>
              </w:rPr>
              <w:t>Licença do Lync Server 2013</w:t>
            </w:r>
          </w:p>
        </w:tc>
      </w:tr>
      <w:tr w:rsidR="00BD1A6A" w:rsidRPr="004B208C" w:rsidTr="00BD1A6A">
        <w:trPr>
          <w:trHeight w:val="70"/>
        </w:trPr>
        <w:tc>
          <w:tcPr>
            <w:tcW w:w="4500" w:type="dxa"/>
            <w:shd w:val="clear" w:color="auto" w:fill="auto"/>
          </w:tcPr>
          <w:p w:rsidR="00BD1A6A" w:rsidRPr="004B208C" w:rsidRDefault="00BD1A6A" w:rsidP="003678D7">
            <w:pPr>
              <w:rPr>
                <w:rFonts w:cs="Tahoma"/>
                <w:color w:val="000000"/>
                <w:szCs w:val="18"/>
              </w:rPr>
            </w:pPr>
            <w:r w:rsidRPr="004B208C">
              <w:rPr>
                <w:rFonts w:cs="Tahoma"/>
                <w:color w:val="000000"/>
                <w:szCs w:val="18"/>
              </w:rPr>
              <w:t>Conector Externo do Lync Server 2010 Standard com Software Assurance ativo em 1º de outubro de 2012</w:t>
            </w:r>
          </w:p>
        </w:tc>
        <w:tc>
          <w:tcPr>
            <w:tcW w:w="3600" w:type="dxa"/>
            <w:shd w:val="clear" w:color="auto" w:fill="auto"/>
          </w:tcPr>
          <w:p w:rsidR="00BD1A6A" w:rsidRPr="004B208C" w:rsidRDefault="00BD1A6A" w:rsidP="002C3AB1">
            <w:pPr>
              <w:rPr>
                <w:rFonts w:cs="Tahoma"/>
                <w:color w:val="000000"/>
                <w:szCs w:val="18"/>
              </w:rPr>
            </w:pPr>
            <w:r w:rsidRPr="004B208C">
              <w:rPr>
                <w:rFonts w:cs="Tahoma"/>
                <w:color w:val="000000"/>
                <w:szCs w:val="18"/>
              </w:rPr>
              <w:t>Licença do Lync Server 2013</w:t>
            </w:r>
          </w:p>
        </w:tc>
      </w:tr>
    </w:tbl>
    <w:p w:rsidR="004E0852" w:rsidRPr="004B208C" w:rsidRDefault="004E0852" w:rsidP="004E0852">
      <w:pPr>
        <w:ind w:left="720"/>
        <w:jc w:val="both"/>
        <w:rPr>
          <w:rFonts w:cs="Tahoma"/>
        </w:rPr>
      </w:pPr>
    </w:p>
    <w:p w:rsidR="004E0852" w:rsidRPr="004B208C" w:rsidRDefault="004E0852" w:rsidP="004E0852">
      <w:pPr>
        <w:ind w:left="720"/>
        <w:rPr>
          <w:rFonts w:cs="Tahoma"/>
        </w:rPr>
      </w:pPr>
      <w:r w:rsidRPr="004B208C">
        <w:rPr>
          <w:rFonts w:cs="Tahoma"/>
          <w:color w:val="000000"/>
          <w:szCs w:val="18"/>
        </w:rPr>
        <w:t>Os termos e as condições a seguir se aplicam às outorgas de licença acima.</w:t>
      </w:r>
    </w:p>
    <w:p w:rsidR="004E0852" w:rsidRPr="004B208C" w:rsidRDefault="004E0852" w:rsidP="004E0852">
      <w:pPr>
        <w:ind w:left="720"/>
        <w:rPr>
          <w:rFonts w:cs="Tahoma"/>
        </w:rPr>
      </w:pPr>
    </w:p>
    <w:p w:rsidR="004E0852" w:rsidRPr="004B208C" w:rsidRDefault="004E0852" w:rsidP="00A1385C">
      <w:pPr>
        <w:numPr>
          <w:ilvl w:val="0"/>
          <w:numId w:val="96"/>
        </w:numPr>
        <w:spacing w:after="60"/>
        <w:ind w:left="1440"/>
        <w:rPr>
          <w:rFonts w:cs="Tahoma"/>
        </w:rPr>
      </w:pPr>
      <w:r w:rsidRPr="004B208C">
        <w:rPr>
          <w:rFonts w:cs="Tahoma"/>
          <w:bCs/>
          <w:color w:val="000000"/>
          <w:szCs w:val="18"/>
          <w:u w:val="single"/>
        </w:rPr>
        <w:t>Caminho de Migração</w:t>
      </w:r>
      <w:r w:rsidRPr="00D84BD0">
        <w:rPr>
          <w:rFonts w:cs="Tahoma"/>
          <w:color w:val="000000"/>
          <w:szCs w:val="18"/>
        </w:rPr>
        <w:t>:</w:t>
      </w:r>
      <w:r w:rsidRPr="004B208C">
        <w:rPr>
          <w:rFonts w:cs="Tahoma"/>
          <w:color w:val="000000"/>
          <w:szCs w:val="18"/>
        </w:rPr>
        <w:t xml:space="preserve"> os clientes com cobertura do Software Assurance ativa para uma determinada Licença Qualificada a partir de 1º de outubro de 2012 e mediante o lançamento do</w:t>
      </w:r>
      <w:r w:rsidR="00D84BD0">
        <w:rPr>
          <w:rFonts w:cs="Tahoma"/>
          <w:color w:val="000000"/>
          <w:szCs w:val="18"/>
        </w:rPr>
        <w:t> </w:t>
      </w:r>
      <w:r w:rsidRPr="004B208C">
        <w:rPr>
          <w:rFonts w:cs="Tahoma"/>
          <w:color w:val="000000"/>
          <w:szCs w:val="18"/>
        </w:rPr>
        <w:t>Lync Server 2013 estão qualificados para atualizar e usar o software Lync Server 2013 sob a</w:t>
      </w:r>
      <w:r w:rsidR="00D84BD0">
        <w:rPr>
          <w:rFonts w:cs="Tahoma"/>
          <w:color w:val="000000"/>
          <w:szCs w:val="18"/>
        </w:rPr>
        <w:t> </w:t>
      </w:r>
      <w:r w:rsidRPr="004B208C">
        <w:rPr>
          <w:rFonts w:cs="Tahoma"/>
          <w:color w:val="000000"/>
          <w:szCs w:val="18"/>
        </w:rPr>
        <w:t>Licença Complementar em vez do software Lync Server 2010 sob a Licença Qualificada do</w:t>
      </w:r>
      <w:r w:rsidR="00D84BD0">
        <w:rPr>
          <w:rFonts w:cs="Tahoma"/>
          <w:color w:val="000000"/>
          <w:szCs w:val="18"/>
        </w:rPr>
        <w:t> </w:t>
      </w:r>
      <w:r w:rsidRPr="004B208C">
        <w:rPr>
          <w:rFonts w:cs="Tahoma"/>
          <w:color w:val="000000"/>
          <w:szCs w:val="18"/>
        </w:rPr>
        <w:t>Conector Externo correspondente.</w:t>
      </w:r>
      <w:r w:rsidR="00172F11">
        <w:rPr>
          <w:rFonts w:cs="Tahoma"/>
          <w:color w:val="000000"/>
          <w:szCs w:val="18"/>
        </w:rPr>
        <w:t xml:space="preserve"> </w:t>
      </w:r>
    </w:p>
    <w:p w:rsidR="004E0852" w:rsidRPr="004B208C" w:rsidRDefault="004E0852" w:rsidP="00A1385C">
      <w:pPr>
        <w:numPr>
          <w:ilvl w:val="0"/>
          <w:numId w:val="96"/>
        </w:numPr>
        <w:spacing w:after="60"/>
        <w:ind w:left="1440"/>
        <w:rPr>
          <w:rFonts w:cs="Tahoma"/>
        </w:rPr>
      </w:pPr>
      <w:r w:rsidRPr="004B208C">
        <w:rPr>
          <w:rFonts w:cs="Tahoma"/>
          <w:color w:val="000000"/>
          <w:szCs w:val="18"/>
          <w:u w:val="single"/>
        </w:rPr>
        <w:t>Direitos de uso</w:t>
      </w:r>
      <w:r w:rsidRPr="004B208C">
        <w:rPr>
          <w:rFonts w:cs="Tahoma"/>
          <w:color w:val="000000"/>
          <w:szCs w:val="18"/>
        </w:rPr>
        <w:t>: O direito de usar o software sob as Licenças Complementares nessa oferta expirará quando o direito de usar o software sob as Licenças Qualificadas expirar.</w:t>
      </w:r>
      <w:r w:rsidR="00172F11">
        <w:rPr>
          <w:rFonts w:cs="Tahoma"/>
          <w:color w:val="000000"/>
          <w:szCs w:val="18"/>
        </w:rPr>
        <w:t xml:space="preserve"> </w:t>
      </w:r>
      <w:r w:rsidRPr="004B208C">
        <w:rPr>
          <w:rFonts w:cs="Tahoma"/>
          <w:color w:val="000000"/>
          <w:szCs w:val="18"/>
        </w:rPr>
        <w:t>O uso desse software é regido pelos direitos de uso do software e pelos termos e condições do contrato de Licenciamento por Volume do cliente.</w:t>
      </w:r>
      <w:r w:rsidR="00172F11">
        <w:rPr>
          <w:rFonts w:cs="Tahoma"/>
          <w:color w:val="000000"/>
          <w:szCs w:val="18"/>
        </w:rPr>
        <w:t xml:space="preserve"> </w:t>
      </w:r>
      <w:r w:rsidRPr="004B208C">
        <w:rPr>
          <w:rFonts w:cs="Tahoma"/>
          <w:color w:val="000000"/>
          <w:szCs w:val="18"/>
        </w:rPr>
        <w:t>Essa nota de condição do produto e a evidência do cliente da</w:t>
      </w:r>
      <w:r w:rsidR="00D84BD0">
        <w:rPr>
          <w:rFonts w:cs="Tahoma"/>
          <w:color w:val="000000"/>
          <w:szCs w:val="18"/>
        </w:rPr>
        <w:t> </w:t>
      </w:r>
      <w:r w:rsidRPr="004B208C">
        <w:rPr>
          <w:rFonts w:cs="Tahoma"/>
          <w:color w:val="000000"/>
          <w:szCs w:val="18"/>
        </w:rPr>
        <w:t>Licença Qualificada e do Software Assurance do cliente juntas comprovam o direito de usar o</w:t>
      </w:r>
      <w:r w:rsidR="00D84BD0">
        <w:rPr>
          <w:rFonts w:cs="Tahoma"/>
          <w:color w:val="000000"/>
          <w:szCs w:val="18"/>
        </w:rPr>
        <w:t> </w:t>
      </w:r>
      <w:r w:rsidRPr="004B208C">
        <w:rPr>
          <w:rFonts w:cs="Tahoma"/>
          <w:color w:val="000000"/>
          <w:szCs w:val="18"/>
        </w:rPr>
        <w:t xml:space="preserve">software sob a Licença Complementar nessa oferta. </w:t>
      </w:r>
    </w:p>
    <w:p w:rsidR="004E0852" w:rsidRPr="004B208C" w:rsidRDefault="004E0852" w:rsidP="003D0252">
      <w:pPr>
        <w:numPr>
          <w:ilvl w:val="0"/>
          <w:numId w:val="8"/>
        </w:numPr>
        <w:spacing w:after="60"/>
        <w:ind w:left="1440"/>
        <w:rPr>
          <w:rFonts w:cs="Tahoma"/>
        </w:rPr>
      </w:pPr>
      <w:r w:rsidRPr="004B208C">
        <w:rPr>
          <w:rFonts w:cs="Tahoma"/>
          <w:color w:val="000000"/>
          <w:szCs w:val="18"/>
          <w:u w:val="single"/>
        </w:rPr>
        <w:t>Licença e Software Assurance (L&amp;SA)</w:t>
      </w:r>
      <w:r w:rsidRPr="004B208C">
        <w:rPr>
          <w:rFonts w:cs="Tahoma"/>
          <w:color w:val="000000"/>
          <w:szCs w:val="18"/>
        </w:rPr>
        <w:t>: A Licença Complementar inclui a cobertura do Software Assurance.</w:t>
      </w:r>
      <w:r w:rsidR="00172F11">
        <w:rPr>
          <w:rFonts w:cs="Tahoma"/>
          <w:color w:val="000000"/>
          <w:szCs w:val="18"/>
        </w:rPr>
        <w:t xml:space="preserve"> </w:t>
      </w:r>
      <w:r w:rsidRPr="004B208C">
        <w:rPr>
          <w:rFonts w:cs="Tahoma"/>
          <w:color w:val="000000"/>
          <w:szCs w:val="18"/>
        </w:rPr>
        <w:t>A cobertura do Software Assurance sobre a Licença Complementar expirará quando a</w:t>
      </w:r>
      <w:r w:rsidR="00E513C6">
        <w:rPr>
          <w:rFonts w:cs="Tahoma"/>
          <w:color w:val="000000"/>
          <w:szCs w:val="18"/>
        </w:rPr>
        <w:t> </w:t>
      </w:r>
      <w:r w:rsidRPr="004B208C">
        <w:rPr>
          <w:rFonts w:cs="Tahoma"/>
          <w:color w:val="000000"/>
          <w:szCs w:val="18"/>
        </w:rPr>
        <w:t>cobertura da Licença Qualificada expirar.</w:t>
      </w:r>
      <w:r w:rsidR="00172F11">
        <w:rPr>
          <w:rFonts w:cs="Tahoma"/>
          <w:color w:val="000000"/>
          <w:szCs w:val="18"/>
        </w:rPr>
        <w:t xml:space="preserve"> </w:t>
      </w:r>
      <w:r w:rsidRPr="004B208C">
        <w:rPr>
          <w:rFonts w:cs="Tahoma"/>
          <w:color w:val="000000"/>
          <w:szCs w:val="18"/>
        </w:rPr>
        <w:t>No término da cobertura do Software Assurance para a</w:t>
      </w:r>
      <w:r w:rsidR="00E513C6">
        <w:rPr>
          <w:rFonts w:cs="Tahoma"/>
          <w:color w:val="000000"/>
          <w:szCs w:val="18"/>
        </w:rPr>
        <w:t> </w:t>
      </w:r>
      <w:r w:rsidRPr="004B208C">
        <w:rPr>
          <w:rFonts w:cs="Tahoma"/>
          <w:color w:val="000000"/>
          <w:szCs w:val="18"/>
        </w:rPr>
        <w:t>Licença Qualificada, o cliente poderá renovar o Software Assurance para a Licença Complementar sem precisar adquirir uma nova licença separadamente.</w:t>
      </w:r>
    </w:p>
    <w:p w:rsidR="004E0852" w:rsidRPr="004B208C" w:rsidRDefault="004E0852" w:rsidP="00A1385C">
      <w:pPr>
        <w:numPr>
          <w:ilvl w:val="0"/>
          <w:numId w:val="97"/>
        </w:numPr>
        <w:spacing w:after="60"/>
        <w:ind w:left="1440"/>
        <w:rPr>
          <w:rFonts w:cs="Tahoma"/>
        </w:rPr>
      </w:pPr>
      <w:r w:rsidRPr="004B208C">
        <w:rPr>
          <w:rFonts w:eastAsia="Calibri" w:cs="Tahoma"/>
          <w:color w:val="000000"/>
          <w:szCs w:val="18"/>
          <w:u w:val="single"/>
        </w:rPr>
        <w:t>Adequações (“true-ups”)</w:t>
      </w:r>
      <w:r w:rsidRPr="00E513C6">
        <w:rPr>
          <w:rFonts w:eastAsia="Calibri" w:cs="Tahoma"/>
          <w:color w:val="000000"/>
          <w:szCs w:val="18"/>
        </w:rPr>
        <w:t>:</w:t>
      </w:r>
      <w:r w:rsidR="00172F11">
        <w:rPr>
          <w:rFonts w:eastAsia="Calibri" w:cs="Tahoma"/>
          <w:color w:val="000000"/>
          <w:szCs w:val="18"/>
        </w:rPr>
        <w:t xml:space="preserve"> </w:t>
      </w:r>
      <w:r w:rsidRPr="004B208C">
        <w:rPr>
          <w:rFonts w:eastAsia="Calibri" w:cs="Tahoma"/>
          <w:color w:val="000000"/>
          <w:szCs w:val="18"/>
        </w:rPr>
        <w:t xml:space="preserve">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w:t>
      </w:r>
      <w:r w:rsidRPr="004B208C">
        <w:rPr>
          <w:rFonts w:cs="Tahoma"/>
          <w:color w:val="000000"/>
          <w:szCs w:val="18"/>
        </w:rPr>
        <w:t xml:space="preserve">anuais do cliente também são Licenças Qualificadas. </w:t>
      </w:r>
    </w:p>
    <w:p w:rsidR="004E0852" w:rsidRPr="00E513C6" w:rsidRDefault="003D0252" w:rsidP="00A1385C">
      <w:pPr>
        <w:numPr>
          <w:ilvl w:val="0"/>
          <w:numId w:val="97"/>
        </w:numPr>
        <w:spacing w:after="60"/>
        <w:ind w:left="1440"/>
        <w:rPr>
          <w:rFonts w:cs="Tahoma"/>
          <w:szCs w:val="18"/>
        </w:rPr>
      </w:pPr>
      <w:r w:rsidRPr="00E513C6">
        <w:rPr>
          <w:rFonts w:cs="Tahoma"/>
          <w:color w:val="000000"/>
          <w:szCs w:val="18"/>
          <w:u w:val="single"/>
        </w:rPr>
        <w:lastRenderedPageBreak/>
        <w:t>Contratos Subscription</w:t>
      </w:r>
      <w:r w:rsidRPr="00E513C6">
        <w:rPr>
          <w:rFonts w:cs="Tahoma"/>
          <w:color w:val="000000"/>
          <w:szCs w:val="18"/>
        </w:rPr>
        <w:t>:</w:t>
      </w:r>
      <w:r w:rsidR="00172F11" w:rsidRPr="00E513C6">
        <w:rPr>
          <w:rFonts w:cs="Tahoma"/>
          <w:color w:val="000000"/>
          <w:szCs w:val="18"/>
        </w:rPr>
        <w:t xml:space="preserve"> </w:t>
      </w:r>
      <w:r w:rsidRPr="00E513C6">
        <w:rPr>
          <w:rFonts w:cs="Tahoma"/>
          <w:color w:val="000000"/>
          <w:szCs w:val="18"/>
        </w:rPr>
        <w:t xml:space="preserve">Para Enterprise Subscription, </w:t>
      </w:r>
      <w:r w:rsidRPr="00E513C6">
        <w:rPr>
          <w:rFonts w:cs="Tahoma"/>
          <w:szCs w:val="18"/>
        </w:rPr>
        <w:t>Open Value Subscription, Campus e School, Enrollment for Education Solutions e Open Value Subscription – Education Solutions, os mesmos direitos serão outorgados temporariamente sob as mesmas condições</w:t>
      </w:r>
      <w:r w:rsidRPr="00E513C6">
        <w:rPr>
          <w:rFonts w:cs="Tahoma"/>
          <w:color w:val="000000"/>
          <w:szCs w:val="18"/>
        </w:rPr>
        <w:t xml:space="preserve"> até o final do prazo do registro atual (ou prazo do contrato no caso do Open Value).</w:t>
      </w:r>
      <w:r w:rsidR="00172F11" w:rsidRPr="00E513C6">
        <w:rPr>
          <w:rFonts w:cs="Tahoma"/>
          <w:color w:val="000000"/>
          <w:szCs w:val="18"/>
        </w:rPr>
        <w:t xml:space="preserve"> </w:t>
      </w:r>
      <w:r w:rsidRPr="00E513C6">
        <w:rPr>
          <w:rFonts w:cs="Tahoma"/>
          <w:color w:val="000000"/>
          <w:szCs w:val="18"/>
        </w:rPr>
        <w:t>O cliente deverá manter uma cobertura contínua da assinatura.</w:t>
      </w:r>
      <w:r w:rsidR="00172F11" w:rsidRPr="00E513C6">
        <w:rPr>
          <w:rFonts w:cs="Tahoma"/>
          <w:color w:val="000000"/>
          <w:szCs w:val="18"/>
        </w:rPr>
        <w:t xml:space="preserve"> </w:t>
      </w:r>
      <w:r w:rsidRPr="00E513C6">
        <w:rPr>
          <w:rFonts w:cs="Tahoma"/>
          <w:color w:val="000000"/>
          <w:szCs w:val="18"/>
        </w:rPr>
        <w:t>Esses direitos só se tornarão permanentes se a opção de compra</w:t>
      </w:r>
      <w:r w:rsidR="00E513C6" w:rsidRPr="00E513C6">
        <w:rPr>
          <w:rFonts w:cs="Tahoma"/>
          <w:color w:val="000000"/>
          <w:szCs w:val="18"/>
        </w:rPr>
        <w:t> </w:t>
      </w:r>
      <w:r w:rsidRPr="00E513C6">
        <w:rPr>
          <w:rFonts w:cs="Tahoma"/>
          <w:color w:val="000000"/>
          <w:szCs w:val="18"/>
        </w:rPr>
        <w:t>(“buy-out”) for exercida e continuarão sujeitos a todos os termos e condições do contrato de licença do cliente.</w:t>
      </w:r>
    </w:p>
    <w:p w:rsidR="004E0852" w:rsidRPr="004B208C" w:rsidRDefault="004E0852" w:rsidP="00A1385C">
      <w:pPr>
        <w:numPr>
          <w:ilvl w:val="0"/>
          <w:numId w:val="98"/>
        </w:numPr>
        <w:spacing w:after="60"/>
        <w:ind w:left="1440"/>
        <w:rPr>
          <w:rFonts w:cs="Tahoma"/>
        </w:rPr>
      </w:pPr>
      <w:r w:rsidRPr="004B208C">
        <w:rPr>
          <w:rFonts w:cs="Tahoma"/>
          <w:szCs w:val="18"/>
          <w:u w:val="single"/>
        </w:rPr>
        <w:t>Transições do Contrato Campus e School</w:t>
      </w:r>
      <w:r w:rsidRPr="00E513C6">
        <w:rPr>
          <w:rFonts w:cs="Tahoma"/>
          <w:szCs w:val="18"/>
        </w:rPr>
        <w:t>:</w:t>
      </w:r>
      <w:r w:rsidRPr="004B208C">
        <w:rPr>
          <w:rFonts w:cs="Tahoma"/>
          <w:szCs w:val="18"/>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rsidR="004E0852" w:rsidRPr="00E513C6" w:rsidRDefault="004E0852" w:rsidP="00A1385C">
      <w:pPr>
        <w:pStyle w:val="ListParagraph"/>
        <w:numPr>
          <w:ilvl w:val="0"/>
          <w:numId w:val="82"/>
        </w:numPr>
        <w:spacing w:after="60"/>
        <w:ind w:left="1980"/>
        <w:contextualSpacing w:val="0"/>
        <w:rPr>
          <w:rFonts w:ascii="Tahoma" w:hAnsi="Tahoma" w:cs="Tahoma"/>
          <w:sz w:val="18"/>
          <w:szCs w:val="18"/>
        </w:rPr>
      </w:pPr>
      <w:r w:rsidRPr="00E513C6">
        <w:rPr>
          <w:rFonts w:ascii="Tahoma" w:hAnsi="Tahoma" w:cs="Tahoma"/>
          <w:sz w:val="18"/>
          <w:szCs w:val="18"/>
        </w:rPr>
        <w:t>Os mesmos direitos serão concedidos temporariamente sob as mesmas condições até o</w:t>
      </w:r>
      <w:r w:rsidR="009803C5">
        <w:rPr>
          <w:rFonts w:ascii="Tahoma" w:hAnsi="Tahoma" w:cs="Tahoma"/>
          <w:sz w:val="18"/>
          <w:szCs w:val="18"/>
        </w:rPr>
        <w:t> </w:t>
      </w:r>
      <w:r w:rsidRPr="00E513C6">
        <w:rPr>
          <w:rFonts w:ascii="Tahoma" w:hAnsi="Tahoma" w:cs="Tahoma"/>
          <w:sz w:val="18"/>
          <w:szCs w:val="18"/>
        </w:rPr>
        <w:t>final</w:t>
      </w:r>
      <w:r w:rsidR="009803C5">
        <w:rPr>
          <w:rFonts w:ascii="Tahoma" w:hAnsi="Tahoma" w:cs="Tahoma"/>
          <w:sz w:val="18"/>
          <w:szCs w:val="18"/>
        </w:rPr>
        <w:t> </w:t>
      </w:r>
      <w:r w:rsidRPr="00E513C6">
        <w:rPr>
          <w:rFonts w:ascii="Tahoma" w:hAnsi="Tahoma" w:cs="Tahoma"/>
          <w:sz w:val="18"/>
          <w:szCs w:val="18"/>
        </w:rPr>
        <w:t xml:space="preserve">dos seus contratos Enrollment for Education Solutions ou Open Value Subscription – Education Solutions, respectivamente. </w:t>
      </w:r>
    </w:p>
    <w:p w:rsidR="00BA1490" w:rsidRPr="00E513C6" w:rsidRDefault="004E0852" w:rsidP="00A1385C">
      <w:pPr>
        <w:pStyle w:val="ListParagraph"/>
        <w:numPr>
          <w:ilvl w:val="0"/>
          <w:numId w:val="82"/>
        </w:numPr>
        <w:spacing w:after="60"/>
        <w:ind w:left="1980"/>
        <w:contextualSpacing w:val="0"/>
        <w:rPr>
          <w:rFonts w:ascii="Tahoma" w:hAnsi="Tahoma" w:cs="Tahoma"/>
          <w:sz w:val="18"/>
          <w:szCs w:val="18"/>
        </w:rPr>
      </w:pPr>
      <w:r w:rsidRPr="00E513C6">
        <w:rPr>
          <w:rFonts w:ascii="Tahoma" w:hAnsi="Tahoma" w:cs="Tahoma"/>
          <w:sz w:val="18"/>
          <w:szCs w:val="18"/>
        </w:rPr>
        <w:t>Esses direitos só se tornarão permanentes se a opção de compra (“buy-out”) for exercida e</w:t>
      </w:r>
      <w:r w:rsidR="004E1496">
        <w:rPr>
          <w:rFonts w:ascii="Tahoma" w:hAnsi="Tahoma" w:cs="Tahoma"/>
          <w:sz w:val="18"/>
          <w:szCs w:val="18"/>
        </w:rPr>
        <w:t> </w:t>
      </w:r>
      <w:r w:rsidRPr="00E513C6">
        <w:rPr>
          <w:rFonts w:ascii="Tahoma" w:hAnsi="Tahoma" w:cs="Tahoma"/>
          <w:sz w:val="18"/>
          <w:szCs w:val="18"/>
        </w:rPr>
        <w:t>continuarão sujeitos a todos os termos e condições do contrato de licença do cliente.</w:t>
      </w:r>
      <w:bookmarkStart w:id="1330" w:name="_66_Lync_Server"/>
      <w:bookmarkStart w:id="1331" w:name="_Toc336338327"/>
      <w:bookmarkStart w:id="1332" w:name="Srv_57OfficeCommSvrOnlineStd"/>
      <w:bookmarkEnd w:id="1330"/>
    </w:p>
    <w:p w:rsidR="00E513C6" w:rsidRDefault="00E513C6">
      <w:pPr>
        <w:rPr>
          <w:rFonts w:cs="Tahoma"/>
        </w:rPr>
      </w:pPr>
      <w:bookmarkStart w:id="1333" w:name="Srv_56MicrosoftDynamicsCRM2011"/>
      <w:bookmarkStart w:id="1334" w:name="Srv_67MicrosoftDynamicsCRM2011"/>
    </w:p>
    <w:p w:rsidR="00E513C6" w:rsidRPr="004B208C" w:rsidRDefault="00E513C6">
      <w:pPr>
        <w:rPr>
          <w:rFonts w:cs="Tahoma"/>
        </w:rPr>
      </w:pPr>
    </w:p>
    <w:p w:rsidR="00253288" w:rsidRPr="004B208C" w:rsidRDefault="00A560B6" w:rsidP="00D47417">
      <w:pPr>
        <w:pStyle w:val="Heading3"/>
        <w:rPr>
          <w:rFonts w:ascii="Tahoma" w:hAnsi="Tahoma" w:cs="Tahoma"/>
        </w:rPr>
      </w:pPr>
      <w:bookmarkStart w:id="1335" w:name="_72_Microsoft_Dynamics"/>
      <w:bookmarkStart w:id="1336" w:name="_Toc370981444"/>
      <w:bookmarkEnd w:id="1335"/>
      <w:r w:rsidRPr="004B208C">
        <w:rPr>
          <w:rFonts w:ascii="Tahoma" w:hAnsi="Tahoma" w:cs="Tahoma"/>
          <w:color w:val="F66400"/>
          <w:sz w:val="22"/>
          <w:vertAlign w:val="superscript"/>
        </w:rPr>
        <w:t>70</w:t>
      </w:r>
      <w:r w:rsidRPr="004B208C">
        <w:rPr>
          <w:rFonts w:ascii="Tahoma" w:hAnsi="Tahoma" w:cs="Tahoma"/>
          <w:color w:val="F66400"/>
          <w:sz w:val="22"/>
        </w:rPr>
        <w:t xml:space="preserve"> Microsoft Dynamics AX 2012</w:t>
      </w:r>
      <w:bookmarkEnd w:id="1331"/>
      <w:r w:rsidRPr="004B208C">
        <w:rPr>
          <w:rFonts w:ascii="Tahoma" w:hAnsi="Tahoma" w:cs="Tahoma"/>
          <w:color w:val="F66400"/>
          <w:sz w:val="22"/>
        </w:rPr>
        <w:t xml:space="preserve"> R2</w:t>
      </w:r>
      <w:bookmarkEnd w:id="1336"/>
    </w:p>
    <w:p w:rsidR="003D0252" w:rsidRPr="004B208C" w:rsidRDefault="003D0252" w:rsidP="003D0252">
      <w:pPr>
        <w:rPr>
          <w:rFonts w:cs="Tahoma"/>
        </w:rPr>
      </w:pPr>
    </w:p>
    <w:p w:rsidR="00047874" w:rsidRPr="004B208C" w:rsidRDefault="00860CF0" w:rsidP="007B699C">
      <w:pPr>
        <w:spacing w:after="60"/>
        <w:ind w:left="734" w:hanging="14"/>
        <w:rPr>
          <w:rFonts w:cs="Tahoma"/>
        </w:rPr>
      </w:pPr>
      <w:r w:rsidRPr="004B208C">
        <w:rPr>
          <w:rFonts w:cs="Tahoma"/>
          <w:b/>
          <w:bCs/>
          <w:szCs w:val="20"/>
        </w:rPr>
        <w:t>Localizações e Traduções</w:t>
      </w:r>
    </w:p>
    <w:p w:rsidR="00253288" w:rsidRPr="004B208C" w:rsidRDefault="00047874" w:rsidP="00737831">
      <w:pPr>
        <w:ind w:left="734" w:hanging="14"/>
        <w:rPr>
          <w:rFonts w:cs="Tahoma"/>
        </w:rPr>
      </w:pPr>
      <w:r w:rsidRPr="004B208C">
        <w:rPr>
          <w:rFonts w:cs="Tahoma"/>
          <w:color w:val="000000"/>
          <w:szCs w:val="20"/>
        </w:rPr>
        <w:t>O Microsoft Dynamics AX está localizado, traduzido e recebe suporte da Microsoft e ele geralmente está disponível em idiomas e países selecionados. Consulte http://www.microsoft.com/en-us/dynamics/erp-buy-ax-software.aspx para saber sobre a disponibilidade das localizações e traduções da Microsoft.</w:t>
      </w:r>
    </w:p>
    <w:p w:rsidR="00860CF0" w:rsidRPr="004B208C" w:rsidRDefault="00860CF0" w:rsidP="00737831">
      <w:pPr>
        <w:ind w:left="720"/>
        <w:rPr>
          <w:rFonts w:cs="Tahoma"/>
        </w:rPr>
      </w:pPr>
    </w:p>
    <w:p w:rsidR="00860CF0" w:rsidRPr="004B208C" w:rsidRDefault="00860CF0" w:rsidP="00737831">
      <w:pPr>
        <w:pStyle w:val="PURBody-Indented"/>
        <w:spacing w:after="0"/>
        <w:ind w:left="720"/>
        <w:rPr>
          <w:rFonts w:ascii="Tahoma" w:hAnsi="Tahoma" w:cs="Tahoma"/>
        </w:rPr>
      </w:pPr>
      <w:r w:rsidRPr="004B208C">
        <w:rPr>
          <w:rFonts w:ascii="Tahoma" w:hAnsi="Tahoma" w:cs="Tahoma"/>
          <w:color w:val="000000"/>
          <w:sz w:val="18"/>
        </w:rPr>
        <w:t>A Microsoft compreende que, em algumas ocasiões, você quer usar determinados módulos ou recursos que foram localizados e/ou traduzidos para uma região específica e usá-los fora da região geográfica para a qual foram criados.</w:t>
      </w:r>
      <w:r w:rsidR="00172F11">
        <w:rPr>
          <w:rFonts w:ascii="Tahoma" w:hAnsi="Tahoma" w:cs="Tahoma"/>
          <w:color w:val="000000"/>
          <w:sz w:val="18"/>
        </w:rPr>
        <w:t xml:space="preserve"> </w:t>
      </w:r>
      <w:r w:rsidRPr="004B208C">
        <w:rPr>
          <w:rFonts w:ascii="Tahoma" w:hAnsi="Tahoma" w:cs="Tahoma"/>
          <w:color w:val="000000"/>
          <w:sz w:val="18"/>
        </w:rPr>
        <w:t>Como as leis e os regulamentos variam de uma região para outra, as diferenças nas leis ou nos regulamentos podem afetar o uso da funcionalidade desejada nas regiões para as quais ela não foi criada.</w:t>
      </w:r>
      <w:r w:rsidR="00172F11">
        <w:rPr>
          <w:rFonts w:ascii="Tahoma" w:hAnsi="Tahoma" w:cs="Tahoma"/>
          <w:color w:val="000000"/>
          <w:sz w:val="18"/>
        </w:rPr>
        <w:t xml:space="preserve"> </w:t>
      </w:r>
      <w:r w:rsidRPr="004B208C">
        <w:rPr>
          <w:rFonts w:ascii="Tahoma" w:hAnsi="Tahoma" w:cs="Tahoma"/>
          <w:color w:val="000000"/>
          <w:sz w:val="18"/>
        </w:rPr>
        <w:t>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w:t>
      </w:r>
      <w:r w:rsidR="00172F11">
        <w:rPr>
          <w:rFonts w:ascii="Tahoma" w:hAnsi="Tahoma" w:cs="Tahoma"/>
          <w:color w:val="000000"/>
          <w:sz w:val="18"/>
        </w:rPr>
        <w:t xml:space="preserve"> </w:t>
      </w:r>
      <w:r w:rsidRPr="004B208C">
        <w:rPr>
          <w:rFonts w:ascii="Tahoma" w:hAnsi="Tahoma" w:cs="Tahoma"/>
          <w:color w:val="000000"/>
          <w:sz w:val="18"/>
        </w:rPr>
        <w:t>Consulte um especialista em tributos da região geográfica onde você pretende usar este software a fim de determinar se os recursos são adequados ao uso nessa região.</w:t>
      </w:r>
    </w:p>
    <w:p w:rsidR="00047874" w:rsidRPr="004B208C" w:rsidRDefault="00047874" w:rsidP="00E62BC4">
      <w:pPr>
        <w:ind w:left="720" w:hanging="180"/>
        <w:rPr>
          <w:rFonts w:cs="Tahoma"/>
        </w:rPr>
      </w:pPr>
    </w:p>
    <w:p w:rsidR="00253288" w:rsidRPr="004B208C" w:rsidRDefault="00047874" w:rsidP="007B699C">
      <w:pPr>
        <w:spacing w:after="60"/>
        <w:ind w:left="734" w:hanging="187"/>
        <w:rPr>
          <w:rFonts w:cs="Tahoma"/>
        </w:rPr>
      </w:pPr>
      <w:r w:rsidRPr="004B208C">
        <w:rPr>
          <w:rFonts w:cs="Tahoma"/>
          <w:b/>
          <w:bCs/>
          <w:szCs w:val="20"/>
        </w:rPr>
        <w:t>Direitos de Uso da CAL</w:t>
      </w:r>
    </w:p>
    <w:p w:rsidR="00047874" w:rsidRPr="004B208C" w:rsidRDefault="00047874" w:rsidP="00E62BC4">
      <w:pPr>
        <w:ind w:left="720" w:hanging="180"/>
        <w:rPr>
          <w:rFonts w:cs="Tahoma"/>
        </w:rPr>
      </w:pPr>
      <w:r w:rsidRPr="004B208C">
        <w:rPr>
          <w:rFonts w:eastAsia="Calibri" w:cs="Tahoma"/>
          <w:szCs w:val="18"/>
        </w:rPr>
        <w:t>Os usos permitidos sob as CALs diferentes do Microsoft Dynamics AX 2012 R2 estão destacados abaixo:</w:t>
      </w:r>
    </w:p>
    <w:p w:rsidR="00047874" w:rsidRPr="004B208C" w:rsidRDefault="00047874" w:rsidP="00944DAD">
      <w:pPr>
        <w:ind w:firstLine="540"/>
        <w:rPr>
          <w:rFonts w:cs="Tahoma"/>
        </w:rPr>
      </w:pPr>
    </w:p>
    <w:p w:rsidR="00047874" w:rsidRPr="004B208C" w:rsidRDefault="00047874" w:rsidP="00A1385C">
      <w:pPr>
        <w:numPr>
          <w:ilvl w:val="1"/>
          <w:numId w:val="64"/>
        </w:numPr>
        <w:tabs>
          <w:tab w:val="clear" w:pos="1440"/>
          <w:tab w:val="num" w:pos="900"/>
        </w:tabs>
        <w:autoSpaceDE w:val="0"/>
        <w:autoSpaceDN w:val="0"/>
        <w:adjustRightInd w:val="0"/>
        <w:ind w:left="900" w:right="720"/>
        <w:rPr>
          <w:rFonts w:cs="Tahoma"/>
        </w:rPr>
      </w:pPr>
      <w:r w:rsidRPr="004B208C">
        <w:rPr>
          <w:rFonts w:eastAsia="Calibri" w:cs="Tahoma"/>
          <w:b/>
          <w:szCs w:val="18"/>
        </w:rPr>
        <w:t>CAL de Autoatendimento (CAL Básica)</w:t>
      </w:r>
    </w:p>
    <w:p w:rsidR="00047874" w:rsidRPr="004B208C" w:rsidRDefault="00047874" w:rsidP="00A1385C">
      <w:pPr>
        <w:numPr>
          <w:ilvl w:val="1"/>
          <w:numId w:val="83"/>
        </w:numPr>
        <w:tabs>
          <w:tab w:val="left" w:pos="1260"/>
        </w:tabs>
        <w:autoSpaceDE w:val="0"/>
        <w:autoSpaceDN w:val="0"/>
        <w:adjustRightInd w:val="0"/>
        <w:ind w:left="1260" w:right="720" w:hanging="360"/>
        <w:rPr>
          <w:rFonts w:cs="Tahoma"/>
        </w:rPr>
      </w:pPr>
      <w:r w:rsidRPr="004B208C">
        <w:rPr>
          <w:rFonts w:eastAsia="Calibri" w:cs="Tahoma"/>
          <w:szCs w:val="18"/>
        </w:rPr>
        <w:t>Criar relatórios de despesas;</w:t>
      </w:r>
    </w:p>
    <w:p w:rsidR="00047874" w:rsidRPr="004B208C" w:rsidRDefault="00047874" w:rsidP="00A1385C">
      <w:pPr>
        <w:numPr>
          <w:ilvl w:val="1"/>
          <w:numId w:val="83"/>
        </w:numPr>
        <w:tabs>
          <w:tab w:val="left" w:pos="1260"/>
        </w:tabs>
        <w:autoSpaceDE w:val="0"/>
        <w:autoSpaceDN w:val="0"/>
        <w:adjustRightInd w:val="0"/>
        <w:ind w:left="1260" w:right="720" w:hanging="360"/>
        <w:rPr>
          <w:rFonts w:cs="Tahoma"/>
        </w:rPr>
      </w:pPr>
      <w:r w:rsidRPr="004B208C">
        <w:rPr>
          <w:rFonts w:eastAsia="Calibri" w:cs="Tahoma"/>
          <w:szCs w:val="18"/>
        </w:rPr>
        <w:t>Gerenciar dados pessoais como registros de benefícios;</w:t>
      </w:r>
    </w:p>
    <w:p w:rsidR="00047874" w:rsidRPr="004B208C" w:rsidRDefault="00047874" w:rsidP="00A1385C">
      <w:pPr>
        <w:numPr>
          <w:ilvl w:val="1"/>
          <w:numId w:val="83"/>
        </w:numPr>
        <w:tabs>
          <w:tab w:val="left" w:pos="1260"/>
        </w:tabs>
        <w:autoSpaceDE w:val="0"/>
        <w:autoSpaceDN w:val="0"/>
        <w:adjustRightInd w:val="0"/>
        <w:ind w:left="1260" w:right="720" w:hanging="360"/>
        <w:rPr>
          <w:rFonts w:cs="Tahoma"/>
        </w:rPr>
      </w:pPr>
      <w:r w:rsidRPr="004B208C">
        <w:rPr>
          <w:rFonts w:eastAsia="Calibri" w:cs="Tahoma"/>
          <w:szCs w:val="18"/>
        </w:rPr>
        <w:t>Fazer entradas de tempo e presença como registrar horas, horário de entrada e de saída;</w:t>
      </w:r>
    </w:p>
    <w:p w:rsidR="00047874" w:rsidRPr="004B208C" w:rsidRDefault="00047874" w:rsidP="00A1385C">
      <w:pPr>
        <w:numPr>
          <w:ilvl w:val="1"/>
          <w:numId w:val="83"/>
        </w:numPr>
        <w:tabs>
          <w:tab w:val="left" w:pos="1260"/>
        </w:tabs>
        <w:autoSpaceDE w:val="0"/>
        <w:autoSpaceDN w:val="0"/>
        <w:adjustRightInd w:val="0"/>
        <w:ind w:left="1260" w:right="720" w:hanging="360"/>
        <w:rPr>
          <w:rFonts w:cs="Tahoma"/>
        </w:rPr>
      </w:pPr>
      <w:r w:rsidRPr="004B208C">
        <w:rPr>
          <w:rFonts w:eastAsia="Calibri" w:cs="Tahoma"/>
          <w:szCs w:val="18"/>
        </w:rPr>
        <w:t>Inserir solicitações de serviço de funcionário;</w:t>
      </w:r>
    </w:p>
    <w:p w:rsidR="00047874" w:rsidRPr="004B208C" w:rsidRDefault="00047874" w:rsidP="00A1385C">
      <w:pPr>
        <w:numPr>
          <w:ilvl w:val="1"/>
          <w:numId w:val="83"/>
        </w:numPr>
        <w:tabs>
          <w:tab w:val="left" w:pos="1260"/>
        </w:tabs>
        <w:autoSpaceDE w:val="0"/>
        <w:autoSpaceDN w:val="0"/>
        <w:adjustRightInd w:val="0"/>
        <w:ind w:left="1260" w:right="720" w:hanging="360"/>
        <w:rPr>
          <w:rFonts w:cs="Tahoma"/>
        </w:rPr>
      </w:pPr>
      <w:r w:rsidRPr="004B208C">
        <w:rPr>
          <w:rFonts w:eastAsia="Calibri" w:cs="Tahoma"/>
          <w:szCs w:val="18"/>
        </w:rPr>
        <w:t>Preparar solicitações de compra indireta pertencentes a produtos ou serviços para o</w:t>
      </w:r>
      <w:r w:rsidR="009803C5">
        <w:rPr>
          <w:rFonts w:eastAsia="Calibri" w:cs="Tahoma"/>
          <w:szCs w:val="18"/>
        </w:rPr>
        <w:t> </w:t>
      </w:r>
      <w:r w:rsidRPr="004B208C">
        <w:rPr>
          <w:rFonts w:eastAsia="Calibri" w:cs="Tahoma"/>
          <w:szCs w:val="18"/>
        </w:rPr>
        <w:t>funcionário como viagens, equipamento para escritório, papelaria e/ou fazer solicitações para adicionar ou registrar fornecedores.</w:t>
      </w:r>
      <w:r w:rsidRPr="004B208C">
        <w:rPr>
          <w:rFonts w:eastAsia="Calibri" w:cs="Tahoma"/>
          <w:szCs w:val="18"/>
        </w:rPr>
        <w:br/>
      </w:r>
    </w:p>
    <w:p w:rsidR="00047874" w:rsidRPr="004B208C" w:rsidRDefault="00047874" w:rsidP="00A1385C">
      <w:pPr>
        <w:numPr>
          <w:ilvl w:val="0"/>
          <w:numId w:val="83"/>
        </w:numPr>
        <w:autoSpaceDE w:val="0"/>
        <w:autoSpaceDN w:val="0"/>
        <w:adjustRightInd w:val="0"/>
        <w:ind w:left="900" w:right="720"/>
        <w:rPr>
          <w:rFonts w:cs="Tahoma"/>
        </w:rPr>
      </w:pPr>
      <w:r w:rsidRPr="004B208C">
        <w:rPr>
          <w:rFonts w:eastAsia="Calibri" w:cs="Tahoma"/>
          <w:b/>
          <w:szCs w:val="18"/>
        </w:rPr>
        <w:t>CAL de Tarefa (CAL de Autoatendimento + CAL Aditiva de Tarefa)</w:t>
      </w:r>
    </w:p>
    <w:p w:rsidR="00B10F79" w:rsidRPr="004B208C" w:rsidRDefault="00B10F79" w:rsidP="00A1385C">
      <w:pPr>
        <w:numPr>
          <w:ilvl w:val="1"/>
          <w:numId w:val="83"/>
        </w:numPr>
        <w:ind w:left="1260" w:right="720" w:hanging="360"/>
        <w:rPr>
          <w:rFonts w:cs="Tahoma"/>
        </w:rPr>
      </w:pPr>
      <w:r w:rsidRPr="004B208C">
        <w:rPr>
          <w:rFonts w:eastAsia="Calibri" w:cs="Tahoma"/>
          <w:szCs w:val="18"/>
        </w:rPr>
        <w:t>Incluir direitos de uso da CAL de Autoatendimento</w:t>
      </w:r>
    </w:p>
    <w:p w:rsidR="00047874" w:rsidRPr="004B208C" w:rsidRDefault="00B10F79" w:rsidP="00A1385C">
      <w:pPr>
        <w:numPr>
          <w:ilvl w:val="1"/>
          <w:numId w:val="83"/>
        </w:numPr>
        <w:ind w:left="1260" w:right="720" w:hanging="360"/>
        <w:rPr>
          <w:rFonts w:cs="Tahoma"/>
        </w:rPr>
      </w:pPr>
      <w:r w:rsidRPr="004B208C">
        <w:rPr>
          <w:rFonts w:eastAsia="Calibri" w:cs="Tahoma"/>
          <w:szCs w:val="18"/>
        </w:rPr>
        <w:t>Inserir hora faturável;</w:t>
      </w:r>
    </w:p>
    <w:p w:rsidR="00047874" w:rsidRPr="004B208C" w:rsidRDefault="00B10F79" w:rsidP="00A1385C">
      <w:pPr>
        <w:numPr>
          <w:ilvl w:val="1"/>
          <w:numId w:val="83"/>
        </w:numPr>
        <w:ind w:left="1260" w:right="720" w:hanging="360"/>
        <w:rPr>
          <w:rFonts w:cs="Tahoma"/>
        </w:rPr>
      </w:pPr>
      <w:r w:rsidRPr="004B208C">
        <w:rPr>
          <w:rFonts w:eastAsia="Calibri" w:cs="Tahoma"/>
          <w:szCs w:val="18"/>
        </w:rPr>
        <w:t>Inserir despesas faturáveis;</w:t>
      </w:r>
    </w:p>
    <w:p w:rsidR="00047874" w:rsidRPr="004B208C" w:rsidRDefault="00B10F79" w:rsidP="00A1385C">
      <w:pPr>
        <w:numPr>
          <w:ilvl w:val="1"/>
          <w:numId w:val="83"/>
        </w:numPr>
        <w:ind w:left="1260" w:right="720" w:hanging="360"/>
        <w:rPr>
          <w:rFonts w:cs="Tahoma"/>
        </w:rPr>
      </w:pPr>
      <w:r w:rsidRPr="004B208C">
        <w:rPr>
          <w:rFonts w:eastAsia="Calibri" w:cs="Tahoma"/>
          <w:szCs w:val="18"/>
        </w:rPr>
        <w:t>Gerenciar análises de desempenho e anuais, definição de metas e competências;</w:t>
      </w:r>
    </w:p>
    <w:p w:rsidR="00047874" w:rsidRPr="004B208C" w:rsidRDefault="00B10F79" w:rsidP="00A1385C">
      <w:pPr>
        <w:numPr>
          <w:ilvl w:val="1"/>
          <w:numId w:val="83"/>
        </w:numPr>
        <w:ind w:left="1260" w:right="720" w:hanging="360"/>
        <w:rPr>
          <w:rFonts w:cs="Tahoma"/>
        </w:rPr>
      </w:pPr>
      <w:r w:rsidRPr="004B208C">
        <w:rPr>
          <w:rFonts w:eastAsia="Calibri" w:cs="Tahoma"/>
          <w:szCs w:val="18"/>
        </w:rPr>
        <w:t>Operar um ponto de varejo do dispositivo de venda;</w:t>
      </w:r>
    </w:p>
    <w:p w:rsidR="00047874" w:rsidRPr="004B208C" w:rsidRDefault="00B10F79" w:rsidP="00A1385C">
      <w:pPr>
        <w:numPr>
          <w:ilvl w:val="1"/>
          <w:numId w:val="83"/>
        </w:numPr>
        <w:ind w:left="1260" w:right="720" w:hanging="360"/>
        <w:rPr>
          <w:rFonts w:cs="Tahoma"/>
        </w:rPr>
      </w:pPr>
      <w:r w:rsidRPr="004B208C">
        <w:rPr>
          <w:rFonts w:eastAsia="Calibri" w:cs="Tahoma"/>
          <w:szCs w:val="18"/>
        </w:rPr>
        <w:t>Aprovar faturas de fornecedores relativas a compra indireta e</w:t>
      </w:r>
    </w:p>
    <w:p w:rsidR="00047874" w:rsidRPr="004B208C" w:rsidRDefault="00047874" w:rsidP="00A1385C">
      <w:pPr>
        <w:numPr>
          <w:ilvl w:val="1"/>
          <w:numId w:val="83"/>
        </w:numPr>
        <w:ind w:left="1260" w:right="720" w:hanging="360"/>
        <w:rPr>
          <w:rFonts w:cs="Tahoma"/>
        </w:rPr>
      </w:pPr>
      <w:r w:rsidRPr="004B208C">
        <w:rPr>
          <w:rFonts w:eastAsia="Calibri" w:cs="Tahoma"/>
          <w:szCs w:val="18"/>
        </w:rPr>
        <w:t>Usuários de CAL de Tarefa não podem executar aprovações do fluxo de trabalho.</w:t>
      </w:r>
      <w:r w:rsidRPr="004B208C">
        <w:rPr>
          <w:rFonts w:cs="Tahoma"/>
          <w:szCs w:val="18"/>
        </w:rPr>
        <w:t xml:space="preserve"> </w:t>
      </w:r>
    </w:p>
    <w:p w:rsidR="00047874" w:rsidRPr="004B208C" w:rsidRDefault="00047874" w:rsidP="00944DAD">
      <w:pPr>
        <w:autoSpaceDE w:val="0"/>
        <w:autoSpaceDN w:val="0"/>
        <w:adjustRightInd w:val="0"/>
        <w:ind w:left="1260" w:right="720"/>
        <w:rPr>
          <w:rFonts w:cs="Tahoma"/>
        </w:rPr>
      </w:pPr>
    </w:p>
    <w:p w:rsidR="00047874" w:rsidRPr="004B208C" w:rsidRDefault="00047874" w:rsidP="00A1385C">
      <w:pPr>
        <w:numPr>
          <w:ilvl w:val="0"/>
          <w:numId w:val="83"/>
        </w:numPr>
        <w:ind w:left="900" w:right="720"/>
        <w:rPr>
          <w:rFonts w:cs="Tahoma"/>
        </w:rPr>
      </w:pPr>
      <w:r w:rsidRPr="004B208C">
        <w:rPr>
          <w:rFonts w:eastAsia="Calibri" w:cs="Tahoma"/>
          <w:b/>
          <w:szCs w:val="18"/>
        </w:rPr>
        <w:lastRenderedPageBreak/>
        <w:t>CAL Funcional (CAL de Tarefa + CAL Aditiva Funcional)</w:t>
      </w:r>
    </w:p>
    <w:p w:rsidR="00B10F79" w:rsidRPr="004B208C" w:rsidRDefault="00B10F79" w:rsidP="00A1385C">
      <w:pPr>
        <w:numPr>
          <w:ilvl w:val="1"/>
          <w:numId w:val="83"/>
        </w:numPr>
        <w:ind w:left="1260" w:right="720" w:hanging="360"/>
        <w:rPr>
          <w:rFonts w:cs="Tahoma"/>
        </w:rPr>
      </w:pPr>
      <w:r w:rsidRPr="004B208C">
        <w:rPr>
          <w:rFonts w:eastAsia="Calibri" w:cs="Tahoma"/>
          <w:szCs w:val="18"/>
        </w:rPr>
        <w:t>Incluir direitos de uso da CAL de Tarefa</w:t>
      </w:r>
    </w:p>
    <w:p w:rsidR="00047874" w:rsidRPr="004B208C" w:rsidRDefault="00B10F79" w:rsidP="00A1385C">
      <w:pPr>
        <w:numPr>
          <w:ilvl w:val="1"/>
          <w:numId w:val="83"/>
        </w:numPr>
        <w:ind w:left="1260" w:right="720" w:hanging="360"/>
        <w:rPr>
          <w:rFonts w:cs="Tahoma"/>
        </w:rPr>
      </w:pPr>
      <w:r w:rsidRPr="004B208C">
        <w:rPr>
          <w:rFonts w:eastAsia="Calibri" w:cs="Tahoma"/>
          <w:szCs w:val="18"/>
        </w:rPr>
        <w:t>Gerenciar um chão de fábrica em um ciclo de fabricação ou produção;</w:t>
      </w:r>
    </w:p>
    <w:p w:rsidR="00047874" w:rsidRPr="004B208C" w:rsidRDefault="00B10F79" w:rsidP="00A1385C">
      <w:pPr>
        <w:numPr>
          <w:ilvl w:val="1"/>
          <w:numId w:val="83"/>
        </w:numPr>
        <w:ind w:left="1260" w:right="720" w:hanging="360"/>
        <w:rPr>
          <w:rFonts w:cs="Tahoma"/>
        </w:rPr>
      </w:pPr>
      <w:r w:rsidRPr="004B208C">
        <w:rPr>
          <w:rFonts w:eastAsia="Calibri" w:cs="Tahoma"/>
          <w:szCs w:val="18"/>
        </w:rPr>
        <w:t>Gerenciar projetos e recursos;</w:t>
      </w:r>
    </w:p>
    <w:p w:rsidR="00047874" w:rsidRPr="004B208C" w:rsidRDefault="00B10F79" w:rsidP="00A1385C">
      <w:pPr>
        <w:numPr>
          <w:ilvl w:val="1"/>
          <w:numId w:val="83"/>
        </w:numPr>
        <w:ind w:left="1260" w:right="720" w:hanging="360"/>
        <w:rPr>
          <w:rFonts w:cs="Tahoma"/>
        </w:rPr>
      </w:pPr>
      <w:r w:rsidRPr="004B208C">
        <w:rPr>
          <w:rFonts w:eastAsia="Calibri" w:cs="Tahoma"/>
          <w:szCs w:val="18"/>
        </w:rPr>
        <w:t>Gerenciar ciclos de recursos humanos;</w:t>
      </w:r>
    </w:p>
    <w:p w:rsidR="00047874" w:rsidRPr="004B208C" w:rsidRDefault="00B10F79" w:rsidP="00A1385C">
      <w:pPr>
        <w:numPr>
          <w:ilvl w:val="1"/>
          <w:numId w:val="83"/>
        </w:numPr>
        <w:ind w:left="1260" w:right="720" w:hanging="360"/>
        <w:rPr>
          <w:rFonts w:cs="Tahoma"/>
        </w:rPr>
      </w:pPr>
      <w:r w:rsidRPr="004B208C">
        <w:rPr>
          <w:rFonts w:eastAsia="Calibri" w:cs="Tahoma"/>
          <w:szCs w:val="18"/>
        </w:rPr>
        <w:t>Gerenciar transferências de orçamento e solicitações organizacionais;</w:t>
      </w:r>
    </w:p>
    <w:p w:rsidR="00047874" w:rsidRPr="004B208C" w:rsidRDefault="00B10F79" w:rsidP="00A1385C">
      <w:pPr>
        <w:numPr>
          <w:ilvl w:val="1"/>
          <w:numId w:val="83"/>
        </w:numPr>
        <w:ind w:left="1260" w:right="720" w:hanging="360"/>
        <w:rPr>
          <w:rFonts w:cs="Tahoma"/>
        </w:rPr>
      </w:pPr>
      <w:r w:rsidRPr="004B208C">
        <w:rPr>
          <w:rFonts w:eastAsia="Calibri" w:cs="Tahoma"/>
          <w:szCs w:val="18"/>
        </w:rPr>
        <w:t>Criar registros de dados mestres de candidatos ou funcionários;</w:t>
      </w:r>
    </w:p>
    <w:p w:rsidR="00047874" w:rsidRPr="004B208C" w:rsidRDefault="00B10F79" w:rsidP="00A1385C">
      <w:pPr>
        <w:numPr>
          <w:ilvl w:val="1"/>
          <w:numId w:val="83"/>
        </w:numPr>
        <w:ind w:left="1260" w:right="720" w:hanging="360"/>
        <w:rPr>
          <w:rFonts w:cs="Tahoma"/>
        </w:rPr>
      </w:pPr>
      <w:r w:rsidRPr="004B208C">
        <w:rPr>
          <w:rFonts w:eastAsia="Calibri" w:cs="Tahoma"/>
          <w:szCs w:val="18"/>
        </w:rPr>
        <w:t xml:space="preserve">Criar uma solicitação de emprego ou posição; </w:t>
      </w:r>
    </w:p>
    <w:p w:rsidR="00047874" w:rsidRPr="004B208C" w:rsidRDefault="00B10F79" w:rsidP="00A1385C">
      <w:pPr>
        <w:numPr>
          <w:ilvl w:val="1"/>
          <w:numId w:val="83"/>
        </w:numPr>
        <w:ind w:left="1260" w:right="720" w:hanging="360"/>
        <w:rPr>
          <w:rFonts w:cs="Tahoma"/>
        </w:rPr>
      </w:pPr>
      <w:r w:rsidRPr="004B208C">
        <w:rPr>
          <w:rFonts w:eastAsia="Calibri" w:cs="Tahoma"/>
          <w:szCs w:val="18"/>
        </w:rPr>
        <w:t xml:space="preserve">Escalar ou solicitar aprovação de faturas relativas a seus clientes; </w:t>
      </w:r>
    </w:p>
    <w:p w:rsidR="00047874" w:rsidRPr="004B208C" w:rsidRDefault="00B10F79" w:rsidP="00A1385C">
      <w:pPr>
        <w:numPr>
          <w:ilvl w:val="1"/>
          <w:numId w:val="83"/>
        </w:numPr>
        <w:ind w:left="1260" w:right="720" w:hanging="360"/>
        <w:rPr>
          <w:rFonts w:cs="Tahoma"/>
        </w:rPr>
      </w:pPr>
      <w:r w:rsidRPr="004B208C">
        <w:rPr>
          <w:rFonts w:eastAsia="Calibri" w:cs="Tahoma"/>
          <w:szCs w:val="18"/>
        </w:rPr>
        <w:t>Aprovar faturas de fornecedor ou vouchers para serviços prestados;</w:t>
      </w:r>
    </w:p>
    <w:p w:rsidR="00047874" w:rsidRPr="004B208C" w:rsidRDefault="00B10F79" w:rsidP="00A1385C">
      <w:pPr>
        <w:numPr>
          <w:ilvl w:val="1"/>
          <w:numId w:val="83"/>
        </w:numPr>
        <w:ind w:left="1260" w:right="720" w:hanging="360"/>
        <w:rPr>
          <w:rFonts w:cs="Tahoma"/>
        </w:rPr>
      </w:pPr>
      <w:r w:rsidRPr="004B208C">
        <w:rPr>
          <w:rFonts w:eastAsia="Calibri" w:cs="Tahoma"/>
          <w:szCs w:val="18"/>
        </w:rPr>
        <w:t>Criar e gerenciar registros de dados mestre pertencentes a clientes, fornecedores, inventário de produtos ou catálogos e/ou</w:t>
      </w:r>
    </w:p>
    <w:p w:rsidR="00047874" w:rsidRPr="004B208C" w:rsidRDefault="00B10F79" w:rsidP="00A1385C">
      <w:pPr>
        <w:numPr>
          <w:ilvl w:val="1"/>
          <w:numId w:val="83"/>
        </w:numPr>
        <w:ind w:left="1260" w:right="720" w:hanging="360"/>
        <w:rPr>
          <w:rFonts w:cs="Tahoma"/>
        </w:rPr>
      </w:pPr>
      <w:r w:rsidRPr="004B208C">
        <w:rPr>
          <w:rFonts w:eastAsia="Calibri" w:cs="Tahoma"/>
          <w:szCs w:val="18"/>
        </w:rPr>
        <w:t>Aprovar solicitações de usuários da CAL de Autoatendimento ou CAL de Tarefa.</w:t>
      </w:r>
    </w:p>
    <w:p w:rsidR="00047874" w:rsidRPr="004B208C" w:rsidRDefault="00047874" w:rsidP="00B20F02">
      <w:pPr>
        <w:autoSpaceDE w:val="0"/>
        <w:autoSpaceDN w:val="0"/>
        <w:adjustRightInd w:val="0"/>
        <w:ind w:left="1260" w:right="720" w:hanging="360"/>
        <w:rPr>
          <w:rFonts w:cs="Tahoma"/>
        </w:rPr>
      </w:pPr>
    </w:p>
    <w:p w:rsidR="00047874" w:rsidRPr="004B208C" w:rsidRDefault="00047874" w:rsidP="00A1385C">
      <w:pPr>
        <w:numPr>
          <w:ilvl w:val="0"/>
          <w:numId w:val="83"/>
        </w:numPr>
        <w:ind w:left="900" w:right="720"/>
        <w:rPr>
          <w:rFonts w:cs="Tahoma"/>
        </w:rPr>
      </w:pPr>
      <w:r w:rsidRPr="004B208C">
        <w:rPr>
          <w:rFonts w:eastAsia="Calibri" w:cs="Tahoma"/>
          <w:b/>
          <w:szCs w:val="18"/>
        </w:rPr>
        <w:t>CAL Empresarial (CAL Funcional + CAL Aditiva Empresarial)</w:t>
      </w:r>
    </w:p>
    <w:p w:rsidR="00047874" w:rsidRPr="004B208C" w:rsidRDefault="00047874" w:rsidP="00A1385C">
      <w:pPr>
        <w:numPr>
          <w:ilvl w:val="1"/>
          <w:numId w:val="83"/>
        </w:numPr>
        <w:ind w:left="1260" w:right="720" w:hanging="360"/>
        <w:rPr>
          <w:rFonts w:cs="Tahoma"/>
        </w:rPr>
      </w:pPr>
      <w:r w:rsidRPr="004B208C">
        <w:rPr>
          <w:rFonts w:eastAsia="Calibri" w:cs="Tahoma"/>
          <w:szCs w:val="18"/>
        </w:rPr>
        <w:t>Direitos Totais de Uso</w:t>
      </w:r>
    </w:p>
    <w:p w:rsidR="00047874" w:rsidRPr="004B208C" w:rsidRDefault="00047874" w:rsidP="00944DAD">
      <w:pPr>
        <w:autoSpaceDE w:val="0"/>
        <w:autoSpaceDN w:val="0"/>
        <w:adjustRightInd w:val="0"/>
        <w:ind w:left="900" w:right="720"/>
        <w:rPr>
          <w:rFonts w:cs="Tahoma"/>
        </w:rPr>
      </w:pPr>
    </w:p>
    <w:p w:rsidR="00047874" w:rsidRPr="004B208C" w:rsidRDefault="00047874" w:rsidP="00944DAD">
      <w:pPr>
        <w:autoSpaceDE w:val="0"/>
        <w:autoSpaceDN w:val="0"/>
        <w:adjustRightInd w:val="0"/>
        <w:ind w:left="720" w:right="720"/>
        <w:rPr>
          <w:rFonts w:cs="Tahoma"/>
        </w:rPr>
      </w:pPr>
      <w:r w:rsidRPr="004B208C">
        <w:rPr>
          <w:rFonts w:eastAsia="Calibri" w:cs="Tahoma"/>
          <w:szCs w:val="18"/>
        </w:rPr>
        <w:t xml:space="preserve">Para uma maior granularidade e compreensão das CALs exigidas, consulte </w:t>
      </w:r>
      <w:r w:rsidR="004E1496" w:rsidRPr="00E431D1">
        <w:rPr>
          <w:rFonts w:eastAsia="Calibri" w:cs="Tahoma"/>
          <w:szCs w:val="18"/>
        </w:rPr>
        <w:t>http://www.microsoft.com/en-us/dynamics/erp-buy-ax-software.aspx</w:t>
      </w:r>
      <w:r w:rsidRPr="004B208C">
        <w:rPr>
          <w:rFonts w:eastAsia="Calibri" w:cs="Tahoma"/>
          <w:szCs w:val="18"/>
        </w:rPr>
        <w:t>.</w:t>
      </w:r>
    </w:p>
    <w:p w:rsidR="00847624" w:rsidRPr="00847624" w:rsidRDefault="00847624" w:rsidP="00C066F9">
      <w:pPr>
        <w:spacing w:after="60"/>
        <w:ind w:left="734" w:hanging="194"/>
        <w:rPr>
          <w:rFonts w:cs="Tahoma"/>
          <w:bCs/>
        </w:rPr>
      </w:pPr>
    </w:p>
    <w:p w:rsidR="00A6185F" w:rsidRPr="004B208C" w:rsidRDefault="00A6185F" w:rsidP="00C066F9">
      <w:pPr>
        <w:spacing w:after="60"/>
        <w:ind w:left="734" w:hanging="194"/>
        <w:rPr>
          <w:rFonts w:cs="Tahoma"/>
        </w:rPr>
      </w:pPr>
      <w:r w:rsidRPr="004B208C">
        <w:rPr>
          <w:rFonts w:cs="Tahoma"/>
          <w:b/>
          <w:bCs/>
        </w:rPr>
        <w:t>Termos Complementares da Licença</w:t>
      </w:r>
    </w:p>
    <w:p w:rsidR="00A6185F" w:rsidRPr="004E1496" w:rsidRDefault="00A6185F" w:rsidP="00C066F9">
      <w:pPr>
        <w:pStyle w:val="PURBody-Indented"/>
        <w:spacing w:after="0"/>
        <w:ind w:left="547"/>
        <w:rPr>
          <w:rFonts w:ascii="Tahoma" w:hAnsi="Tahoma" w:cs="Tahoma"/>
          <w:sz w:val="18"/>
          <w:szCs w:val="18"/>
        </w:rPr>
      </w:pPr>
      <w:r w:rsidRPr="004E1496">
        <w:rPr>
          <w:rFonts w:ascii="Tahoma" w:eastAsia="Calibri" w:hAnsi="Tahoma" w:cs="Tahoma"/>
          <w:sz w:val="18"/>
          <w:szCs w:val="18"/>
        </w:rPr>
        <w:t>O uso que você faz dos Componentes de eCommerce, Componentes de Ponto de venda e de atualizações</w:t>
      </w:r>
      <w:r w:rsidR="004E1496">
        <w:rPr>
          <w:rFonts w:ascii="Tahoma" w:eastAsia="Calibri" w:hAnsi="Tahoma" w:cs="Tahoma"/>
          <w:sz w:val="18"/>
          <w:szCs w:val="18"/>
        </w:rPr>
        <w:t> </w:t>
      </w:r>
      <w:r w:rsidRPr="004E1496">
        <w:rPr>
          <w:rFonts w:ascii="Tahoma" w:eastAsia="Calibri" w:hAnsi="Tahoma" w:cs="Tahoma"/>
          <w:sz w:val="18"/>
          <w:szCs w:val="18"/>
        </w:rPr>
        <w:t>e</w:t>
      </w:r>
      <w:r w:rsidR="004E1496">
        <w:rPr>
          <w:rFonts w:ascii="Tahoma" w:eastAsia="Calibri" w:hAnsi="Tahoma" w:cs="Tahoma"/>
          <w:sz w:val="18"/>
          <w:szCs w:val="18"/>
        </w:rPr>
        <w:t> </w:t>
      </w:r>
      <w:r w:rsidRPr="004E1496">
        <w:rPr>
          <w:rFonts w:ascii="Tahoma" w:eastAsia="Calibri" w:hAnsi="Tahoma" w:cs="Tahoma"/>
          <w:sz w:val="18"/>
          <w:szCs w:val="18"/>
        </w:rPr>
        <w:t xml:space="preserve">complementos semelhantes para o Microsoft Dynamics AX 2012 R2 são regidos pelos Termos Complementares da Licença que você pode encontrar em: </w:t>
      </w:r>
      <w:hyperlink r:id="rId49" w:history="1">
        <w:r w:rsidR="004E1496" w:rsidRPr="004E1496">
          <w:rPr>
            <w:rFonts w:ascii="Tahoma" w:eastAsia="Calibri" w:hAnsi="Tahoma" w:cs="Tahoma"/>
            <w:sz w:val="18"/>
            <w:szCs w:val="18"/>
          </w:rPr>
          <w:t>http://www.microsoft.com/en-us/dynamics/erp-buy-ax-software.aspx</w:t>
        </w:r>
      </w:hyperlink>
      <w:r w:rsidRPr="004E1496">
        <w:rPr>
          <w:rFonts w:ascii="Tahoma" w:eastAsia="Calibri" w:hAnsi="Tahoma" w:cs="Tahoma"/>
          <w:sz w:val="18"/>
          <w:szCs w:val="18"/>
        </w:rPr>
        <w:t>.</w:t>
      </w:r>
    </w:p>
    <w:p w:rsidR="0085774C" w:rsidRPr="004E1496" w:rsidRDefault="0085774C" w:rsidP="00C066F9">
      <w:pPr>
        <w:pStyle w:val="PURBody-Indented"/>
        <w:spacing w:after="0"/>
        <w:ind w:left="547"/>
        <w:rPr>
          <w:rFonts w:ascii="Tahoma" w:hAnsi="Tahoma" w:cs="Tahoma"/>
          <w:sz w:val="18"/>
          <w:szCs w:val="18"/>
        </w:rPr>
      </w:pPr>
    </w:p>
    <w:p w:rsidR="0085774C" w:rsidRPr="004E1496" w:rsidRDefault="0085774C" w:rsidP="00C066F9">
      <w:pPr>
        <w:pStyle w:val="PURBody-Indented"/>
        <w:spacing w:after="0"/>
        <w:ind w:left="547"/>
        <w:rPr>
          <w:rFonts w:ascii="Tahoma" w:hAnsi="Tahoma" w:cs="Tahoma"/>
          <w:sz w:val="18"/>
          <w:szCs w:val="18"/>
        </w:rPr>
      </w:pPr>
    </w:p>
    <w:p w:rsidR="000F4095" w:rsidRPr="004B208C" w:rsidRDefault="000F4095" w:rsidP="000F4095">
      <w:pPr>
        <w:pStyle w:val="Heading3"/>
        <w:keepNext/>
        <w:rPr>
          <w:rFonts w:ascii="Tahoma" w:hAnsi="Tahoma" w:cs="Tahoma"/>
        </w:rPr>
      </w:pPr>
      <w:bookmarkStart w:id="1337" w:name="_71_Microsoft_Dynamics_1"/>
      <w:bookmarkStart w:id="1338" w:name="_Toc357763716"/>
      <w:bookmarkStart w:id="1339" w:name="_Toc370981445"/>
      <w:bookmarkEnd w:id="1337"/>
      <w:r w:rsidRPr="004B208C">
        <w:rPr>
          <w:rFonts w:ascii="Tahoma" w:hAnsi="Tahoma" w:cs="Tahoma"/>
          <w:color w:val="F66400"/>
          <w:sz w:val="22"/>
          <w:vertAlign w:val="superscript"/>
        </w:rPr>
        <w:t>71</w:t>
      </w:r>
      <w:r w:rsidRPr="004B208C">
        <w:rPr>
          <w:rFonts w:ascii="Tahoma" w:hAnsi="Tahoma" w:cs="Tahoma"/>
          <w:color w:val="F66400"/>
          <w:sz w:val="22"/>
        </w:rPr>
        <w:t xml:space="preserve"> Microsoft Dynamics CRM 201</w:t>
      </w:r>
      <w:bookmarkEnd w:id="1338"/>
      <w:r w:rsidRPr="004B208C">
        <w:rPr>
          <w:rFonts w:ascii="Tahoma" w:hAnsi="Tahoma" w:cs="Tahoma"/>
          <w:color w:val="F66400"/>
          <w:sz w:val="22"/>
        </w:rPr>
        <w:t>3</w:t>
      </w:r>
      <w:bookmarkEnd w:id="1339"/>
    </w:p>
    <w:p w:rsidR="000F4095" w:rsidRPr="004B208C" w:rsidRDefault="000F4095" w:rsidP="000F4095">
      <w:pPr>
        <w:keepNext/>
        <w:rPr>
          <w:rFonts w:cs="Tahoma"/>
        </w:rPr>
      </w:pPr>
    </w:p>
    <w:p w:rsidR="007E430D" w:rsidRPr="004B208C" w:rsidRDefault="007E430D" w:rsidP="007E430D">
      <w:pPr>
        <w:spacing w:after="60"/>
        <w:ind w:left="720"/>
        <w:rPr>
          <w:rFonts w:cs="Tahoma"/>
        </w:rPr>
      </w:pPr>
      <w:r w:rsidRPr="004B208C">
        <w:rPr>
          <w:rFonts w:cs="Tahoma"/>
          <w:b/>
          <w:bCs/>
          <w:color w:val="000000" w:themeColor="text1"/>
          <w:szCs w:val="18"/>
        </w:rPr>
        <w:t>Notificação de Disponibilidade e direitos de uso do Pré-lançamento</w:t>
      </w:r>
    </w:p>
    <w:p w:rsidR="007E430D" w:rsidRPr="004B208C" w:rsidRDefault="007E430D" w:rsidP="007E430D">
      <w:pPr>
        <w:ind w:left="720"/>
        <w:rPr>
          <w:rFonts w:cs="Tahoma"/>
        </w:rPr>
      </w:pPr>
      <w:r w:rsidRPr="004B208C">
        <w:rPr>
          <w:rFonts w:cs="Tahoma"/>
          <w:color w:val="000000" w:themeColor="text1"/>
          <w:szCs w:val="18"/>
        </w:rPr>
        <w:t>Espera-se que o Microsoft Dynamics CRM 2013 esteja disponível para download no Centro de Atendimento de Licenciamento por Volume em outubro/novembro 2013. Clientes novos e existentes com licenças válidas para Microsoft Dynamics CRM Server 2013 e Microsoft Dynamics CRM Workgroup Server 2013 poderão baixar e usar o Microsoft Dynamics CRM Server 2011 e Microsoft Dynamics CRM Workgroup Server 2011 respectivamente de acordo com seus direitos de usar versões anteriores.</w:t>
      </w:r>
    </w:p>
    <w:p w:rsidR="007E430D" w:rsidRPr="004B208C" w:rsidRDefault="007E430D" w:rsidP="007E430D">
      <w:pPr>
        <w:ind w:left="720"/>
        <w:rPr>
          <w:rFonts w:cs="Tahoma"/>
        </w:rPr>
      </w:pPr>
    </w:p>
    <w:p w:rsidR="000F4095" w:rsidRPr="004B208C" w:rsidRDefault="000F4095" w:rsidP="000F4095">
      <w:pPr>
        <w:keepNext/>
        <w:spacing w:after="60"/>
        <w:ind w:left="720"/>
        <w:rPr>
          <w:rFonts w:cs="Tahoma"/>
        </w:rPr>
      </w:pPr>
      <w:r w:rsidRPr="004B208C">
        <w:rPr>
          <w:rFonts w:cs="Tahoma"/>
          <w:b/>
          <w:bCs/>
          <w:color w:val="000000"/>
          <w:szCs w:val="20"/>
        </w:rPr>
        <w:t>Caminho de Migração do Software Assurance para Microsoft Dynamics CRM 2013</w:t>
      </w:r>
    </w:p>
    <w:p w:rsidR="000F4095" w:rsidRPr="004B208C" w:rsidRDefault="000F4095" w:rsidP="000F4095">
      <w:pPr>
        <w:ind w:left="720"/>
        <w:rPr>
          <w:rFonts w:cs="Tahoma"/>
        </w:rPr>
      </w:pPr>
      <w:r w:rsidRPr="004B208C">
        <w:rPr>
          <w:rFonts w:cs="Tahoma"/>
          <w:color w:val="000000"/>
          <w:szCs w:val="20"/>
        </w:rPr>
        <w:t>Os clientes que tiverem adquirido licenças do Microsoft Dynamics CRM 2013 e tiverem cobertura do Software Assurance ativa sobre essas licenças a partir de 1° de outubro de 2013 ou posteriormente poderão atualizar essas licenças conforme indicado abaixo:</w:t>
      </w:r>
    </w:p>
    <w:p w:rsidR="000F4095" w:rsidRPr="004B208C" w:rsidRDefault="000F4095" w:rsidP="000F4095">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4B208C" w:rsidTr="00343766">
        <w:tc>
          <w:tcPr>
            <w:tcW w:w="4248" w:type="dxa"/>
            <w:tcBorders>
              <w:top w:val="single" w:sz="4" w:space="0" w:color="000000"/>
              <w:bottom w:val="single" w:sz="6" w:space="0" w:color="000000"/>
            </w:tcBorders>
            <w:shd w:val="clear" w:color="auto" w:fill="FABF8F"/>
          </w:tcPr>
          <w:p w:rsidR="000F4095" w:rsidRPr="004B208C" w:rsidRDefault="000F4095" w:rsidP="00343766">
            <w:pPr>
              <w:jc w:val="center"/>
              <w:rPr>
                <w:rFonts w:cs="Tahoma"/>
                <w:b/>
                <w:color w:val="000000"/>
                <w:szCs w:val="20"/>
              </w:rPr>
            </w:pPr>
            <w:r w:rsidRPr="004B208C">
              <w:rPr>
                <w:rFonts w:cs="Tahoma"/>
                <w:b/>
                <w:color w:val="000000"/>
                <w:szCs w:val="20"/>
              </w:rPr>
              <w:t>Licenças do Microsoft Dynamics CRM 2011 Qualificadas</w:t>
            </w:r>
          </w:p>
        </w:tc>
        <w:tc>
          <w:tcPr>
            <w:tcW w:w="4212" w:type="dxa"/>
            <w:tcBorders>
              <w:top w:val="single" w:sz="4" w:space="0" w:color="000000"/>
              <w:bottom w:val="single" w:sz="6" w:space="0" w:color="000000"/>
            </w:tcBorders>
            <w:shd w:val="clear" w:color="auto" w:fill="FABF8F"/>
          </w:tcPr>
          <w:p w:rsidR="000F4095" w:rsidRPr="004B208C" w:rsidRDefault="000F4095" w:rsidP="00343766">
            <w:pPr>
              <w:jc w:val="center"/>
              <w:rPr>
                <w:rFonts w:cs="Tahoma"/>
                <w:b/>
                <w:color w:val="000000"/>
                <w:szCs w:val="20"/>
              </w:rPr>
            </w:pPr>
            <w:r w:rsidRPr="004B208C">
              <w:rPr>
                <w:rFonts w:cs="Tahoma"/>
                <w:b/>
                <w:color w:val="000000"/>
                <w:szCs w:val="20"/>
              </w:rPr>
              <w:t>Licenças do CRM 2013 Correspondentes</w:t>
            </w:r>
          </w:p>
        </w:tc>
      </w:tr>
      <w:tr w:rsidR="000F4095" w:rsidRPr="004B208C" w:rsidTr="00343766">
        <w:tc>
          <w:tcPr>
            <w:tcW w:w="4248" w:type="dxa"/>
            <w:tcBorders>
              <w:top w:val="single" w:sz="6" w:space="0" w:color="000000"/>
            </w:tcBorders>
            <w:shd w:val="clear" w:color="auto" w:fill="FFFFFF"/>
          </w:tcPr>
          <w:p w:rsidR="000F4095" w:rsidRPr="004B208C" w:rsidRDefault="000F4095" w:rsidP="00343766">
            <w:pPr>
              <w:rPr>
                <w:rFonts w:cs="Tahoma"/>
                <w:color w:val="000000"/>
                <w:szCs w:val="20"/>
              </w:rPr>
            </w:pPr>
            <w:r w:rsidRPr="004B208C">
              <w:rPr>
                <w:rFonts w:cs="Tahoma"/>
                <w:color w:val="000000"/>
                <w:szCs w:val="20"/>
              </w:rPr>
              <w:t>1 Microsoft Dynamics CRM 2011 Server</w:t>
            </w:r>
          </w:p>
        </w:tc>
        <w:tc>
          <w:tcPr>
            <w:tcW w:w="4212" w:type="dxa"/>
            <w:tcBorders>
              <w:top w:val="single" w:sz="6" w:space="0" w:color="000000"/>
            </w:tcBorders>
            <w:shd w:val="clear" w:color="auto" w:fill="FFFFFF"/>
          </w:tcPr>
          <w:p w:rsidR="000F4095" w:rsidRPr="004B208C" w:rsidRDefault="000F4095" w:rsidP="00343766">
            <w:pPr>
              <w:rPr>
                <w:rFonts w:cs="Tahoma"/>
                <w:color w:val="000000"/>
                <w:szCs w:val="20"/>
              </w:rPr>
            </w:pPr>
            <w:r w:rsidRPr="004B208C">
              <w:rPr>
                <w:rFonts w:cs="Tahoma"/>
                <w:color w:val="000000"/>
                <w:szCs w:val="20"/>
              </w:rPr>
              <w:t>1 Microsoft Dynamics CRM Server 2013</w:t>
            </w:r>
          </w:p>
        </w:tc>
      </w:tr>
      <w:tr w:rsidR="000F4095" w:rsidRPr="004B208C" w:rsidTr="00343766">
        <w:tc>
          <w:tcPr>
            <w:tcW w:w="4248" w:type="dxa"/>
            <w:tcBorders>
              <w:top w:val="single" w:sz="6" w:space="0" w:color="000000"/>
            </w:tcBorders>
            <w:shd w:val="clear" w:color="auto" w:fill="FFFFFF"/>
          </w:tcPr>
          <w:p w:rsidR="000F4095" w:rsidRPr="004B208C" w:rsidRDefault="000F4095" w:rsidP="004B480F">
            <w:pPr>
              <w:rPr>
                <w:rFonts w:cs="Tahoma"/>
                <w:color w:val="000000"/>
                <w:szCs w:val="20"/>
              </w:rPr>
            </w:pPr>
            <w:r w:rsidRPr="004B208C">
              <w:rPr>
                <w:rFonts w:cs="Tahoma"/>
                <w:color w:val="000000"/>
                <w:szCs w:val="20"/>
              </w:rPr>
              <w:t>1 Microsoft Dynamics CRM Workgroup Server</w:t>
            </w:r>
            <w:r w:rsidR="004B480F">
              <w:rPr>
                <w:rFonts w:cs="Tahoma"/>
                <w:color w:val="000000"/>
                <w:szCs w:val="20"/>
              </w:rPr>
              <w:t> </w:t>
            </w:r>
            <w:r w:rsidRPr="004B208C">
              <w:rPr>
                <w:rFonts w:cs="Tahoma"/>
                <w:color w:val="000000"/>
                <w:szCs w:val="20"/>
              </w:rPr>
              <w:t>2011</w:t>
            </w:r>
          </w:p>
        </w:tc>
        <w:tc>
          <w:tcPr>
            <w:tcW w:w="4212" w:type="dxa"/>
            <w:tcBorders>
              <w:top w:val="single" w:sz="6" w:space="0" w:color="000000"/>
            </w:tcBorders>
            <w:shd w:val="clear" w:color="auto" w:fill="FFFFFF"/>
          </w:tcPr>
          <w:p w:rsidR="000F4095" w:rsidRPr="004B208C" w:rsidRDefault="000F4095" w:rsidP="004B480F">
            <w:pPr>
              <w:rPr>
                <w:rFonts w:cs="Tahoma"/>
                <w:color w:val="000000"/>
                <w:szCs w:val="20"/>
              </w:rPr>
            </w:pPr>
            <w:r w:rsidRPr="004B208C">
              <w:rPr>
                <w:rFonts w:cs="Tahoma"/>
                <w:color w:val="000000"/>
                <w:szCs w:val="20"/>
              </w:rPr>
              <w:t>1 Microsoft Dynamics CRM Workgroup Server</w:t>
            </w:r>
            <w:r w:rsidR="004B480F">
              <w:rPr>
                <w:rFonts w:cs="Tahoma"/>
                <w:color w:val="000000"/>
                <w:szCs w:val="20"/>
              </w:rPr>
              <w:t> </w:t>
            </w:r>
            <w:r w:rsidRPr="004B208C">
              <w:rPr>
                <w:rFonts w:cs="Tahoma"/>
                <w:color w:val="000000"/>
                <w:szCs w:val="20"/>
              </w:rPr>
              <w:t>2013</w:t>
            </w:r>
          </w:p>
        </w:tc>
      </w:tr>
      <w:tr w:rsidR="000F4095" w:rsidRPr="004B208C" w:rsidTr="00343766">
        <w:trPr>
          <w:trHeight w:val="804"/>
        </w:trPr>
        <w:tc>
          <w:tcPr>
            <w:tcW w:w="4248" w:type="dxa"/>
            <w:tcBorders>
              <w:top w:val="single" w:sz="6" w:space="0" w:color="000000"/>
            </w:tcBorders>
            <w:shd w:val="clear" w:color="auto" w:fill="FFFFFF"/>
          </w:tcPr>
          <w:p w:rsidR="000F4095" w:rsidRPr="004B208C" w:rsidRDefault="000F4095" w:rsidP="00343766">
            <w:pPr>
              <w:rPr>
                <w:rFonts w:cs="Tahoma"/>
                <w:color w:val="000000"/>
                <w:szCs w:val="20"/>
              </w:rPr>
            </w:pPr>
            <w:r w:rsidRPr="004B208C">
              <w:rPr>
                <w:rFonts w:cs="Tahoma"/>
                <w:color w:val="000000"/>
                <w:szCs w:val="20"/>
              </w:rPr>
              <w:t>1 CAL do Microsoft Dynamics CRM 2011 Employee Self Service</w:t>
            </w:r>
          </w:p>
        </w:tc>
        <w:tc>
          <w:tcPr>
            <w:tcW w:w="4212" w:type="dxa"/>
            <w:tcBorders>
              <w:top w:val="single" w:sz="6" w:space="0" w:color="000000"/>
            </w:tcBorders>
            <w:shd w:val="clear" w:color="auto" w:fill="FFFFFF"/>
          </w:tcPr>
          <w:p w:rsidR="000F4095" w:rsidRPr="004B208C" w:rsidRDefault="000F4095" w:rsidP="00343766">
            <w:pPr>
              <w:rPr>
                <w:rFonts w:cs="Tahoma"/>
              </w:rPr>
            </w:pPr>
            <w:r w:rsidRPr="004B208C">
              <w:rPr>
                <w:rFonts w:cs="Tahoma"/>
                <w:color w:val="000000"/>
                <w:szCs w:val="20"/>
              </w:rPr>
              <w:t xml:space="preserve">1 </w:t>
            </w:r>
            <w:r w:rsidRPr="004B208C">
              <w:rPr>
                <w:rFonts w:cs="Tahoma"/>
              </w:rPr>
              <w:t>CAL do Microsoft Dynamics CRM 2013 Essential OU</w:t>
            </w:r>
          </w:p>
          <w:p w:rsidR="000F4095" w:rsidRPr="004B208C" w:rsidRDefault="000F4095" w:rsidP="00343766">
            <w:pPr>
              <w:rPr>
                <w:rFonts w:cs="Tahoma"/>
                <w:color w:val="000000"/>
                <w:szCs w:val="20"/>
              </w:rPr>
            </w:pPr>
            <w:r w:rsidRPr="004B208C">
              <w:rPr>
                <w:rFonts w:cs="Tahoma"/>
                <w:color w:val="000000"/>
                <w:szCs w:val="20"/>
              </w:rPr>
              <w:t xml:space="preserve">1 </w:t>
            </w:r>
            <w:r w:rsidRPr="004B208C">
              <w:rPr>
                <w:rFonts w:cs="Tahoma"/>
              </w:rPr>
              <w:t xml:space="preserve">CAL do Microsoft Dynamics CRM 2013 Essential </w:t>
            </w:r>
            <w:r w:rsidRPr="004B208C">
              <w:rPr>
                <w:rFonts w:cs="Tahoma"/>
                <w:color w:val="000000"/>
                <w:szCs w:val="20"/>
              </w:rPr>
              <w:t xml:space="preserve">e 1 </w:t>
            </w:r>
            <w:r w:rsidRPr="004B208C">
              <w:rPr>
                <w:rFonts w:cs="Tahoma"/>
              </w:rPr>
              <w:t>CAL Aditiva de Uso Básico do Microsoft Dynamics CRM 2013</w:t>
            </w:r>
          </w:p>
        </w:tc>
      </w:tr>
      <w:tr w:rsidR="000F4095" w:rsidRPr="004B208C" w:rsidTr="00343766">
        <w:tc>
          <w:tcPr>
            <w:tcW w:w="4248" w:type="dxa"/>
            <w:tcBorders>
              <w:top w:val="single" w:sz="6" w:space="0" w:color="000000"/>
            </w:tcBorders>
            <w:shd w:val="clear" w:color="auto" w:fill="FFFFFF"/>
          </w:tcPr>
          <w:p w:rsidR="000F4095" w:rsidRPr="004B208C" w:rsidRDefault="000F4095" w:rsidP="00343766">
            <w:pPr>
              <w:rPr>
                <w:rFonts w:cs="Tahoma"/>
                <w:color w:val="000000"/>
                <w:szCs w:val="20"/>
              </w:rPr>
            </w:pPr>
            <w:r w:rsidRPr="004B208C">
              <w:rPr>
                <w:rFonts w:cs="Tahoma"/>
                <w:color w:val="000000"/>
                <w:szCs w:val="20"/>
              </w:rPr>
              <w:t>1 CAL Aditiva de Uso Limitado do Microsoft Dynamics CRM 2011</w:t>
            </w:r>
          </w:p>
        </w:tc>
        <w:tc>
          <w:tcPr>
            <w:tcW w:w="4212" w:type="dxa"/>
            <w:tcBorders>
              <w:top w:val="single" w:sz="6" w:space="0" w:color="000000"/>
            </w:tcBorders>
            <w:shd w:val="clear" w:color="auto" w:fill="FFFFFF"/>
          </w:tcPr>
          <w:p w:rsidR="000F4095" w:rsidRPr="004B208C" w:rsidRDefault="000F4095" w:rsidP="00343766">
            <w:pPr>
              <w:rPr>
                <w:rFonts w:cs="Tahoma"/>
              </w:rPr>
            </w:pPr>
            <w:r w:rsidRPr="004B208C">
              <w:rPr>
                <w:rFonts w:cs="Tahoma"/>
                <w:color w:val="000000"/>
                <w:szCs w:val="20"/>
              </w:rPr>
              <w:t xml:space="preserve">1 </w:t>
            </w:r>
            <w:r w:rsidRPr="004B208C">
              <w:rPr>
                <w:rFonts w:cs="Tahoma"/>
              </w:rPr>
              <w:t>CAL Aditiva de Uso Básico para Microsoft Dynamics CRM 2013</w:t>
            </w:r>
          </w:p>
        </w:tc>
      </w:tr>
      <w:tr w:rsidR="000F4095" w:rsidRPr="004B208C" w:rsidTr="00343766">
        <w:trPr>
          <w:trHeight w:val="471"/>
        </w:trPr>
        <w:tc>
          <w:tcPr>
            <w:tcW w:w="4248" w:type="dxa"/>
            <w:tcBorders>
              <w:top w:val="single" w:sz="6" w:space="0" w:color="000000"/>
            </w:tcBorders>
            <w:shd w:val="clear" w:color="auto" w:fill="FFFFFF"/>
          </w:tcPr>
          <w:p w:rsidR="000F4095" w:rsidRPr="004B208C" w:rsidRDefault="000F4095" w:rsidP="00343766">
            <w:pPr>
              <w:rPr>
                <w:rFonts w:cs="Tahoma"/>
                <w:color w:val="000000"/>
                <w:szCs w:val="20"/>
              </w:rPr>
            </w:pPr>
            <w:r w:rsidRPr="004B208C">
              <w:rPr>
                <w:rFonts w:cs="Tahoma"/>
                <w:color w:val="000000"/>
                <w:szCs w:val="20"/>
              </w:rPr>
              <w:t>1 CAL Aditiva de Uso Total para Microsoft Dynamics CRM 2011</w:t>
            </w:r>
          </w:p>
        </w:tc>
        <w:tc>
          <w:tcPr>
            <w:tcW w:w="4212" w:type="dxa"/>
            <w:tcBorders>
              <w:top w:val="single" w:sz="6" w:space="0" w:color="000000"/>
            </w:tcBorders>
            <w:shd w:val="clear" w:color="auto" w:fill="FFFFFF"/>
          </w:tcPr>
          <w:p w:rsidR="000F4095" w:rsidRPr="004B208C" w:rsidRDefault="000F4095" w:rsidP="00343766">
            <w:pPr>
              <w:rPr>
                <w:rFonts w:cs="Tahoma"/>
                <w:color w:val="000000"/>
                <w:szCs w:val="20"/>
              </w:rPr>
            </w:pPr>
            <w:r w:rsidRPr="004B208C">
              <w:rPr>
                <w:rFonts w:cs="Tahoma"/>
              </w:rPr>
              <w:t>1 CAL Aditiva de Uso Profissional para Microsoft Dynamics CRM 2013</w:t>
            </w:r>
          </w:p>
        </w:tc>
      </w:tr>
      <w:tr w:rsidR="000F4095" w:rsidRPr="004B208C" w:rsidTr="00343766">
        <w:tc>
          <w:tcPr>
            <w:tcW w:w="4248" w:type="dxa"/>
            <w:tcBorders>
              <w:top w:val="single" w:sz="6" w:space="0" w:color="000000"/>
            </w:tcBorders>
            <w:shd w:val="clear" w:color="auto" w:fill="FFFFFF"/>
          </w:tcPr>
          <w:p w:rsidR="000F4095" w:rsidRPr="004B208C" w:rsidRDefault="000F4095" w:rsidP="004B480F">
            <w:pPr>
              <w:rPr>
                <w:rFonts w:cs="Tahoma"/>
                <w:color w:val="000000"/>
                <w:szCs w:val="20"/>
              </w:rPr>
            </w:pPr>
            <w:r w:rsidRPr="004B208C">
              <w:rPr>
                <w:rFonts w:cs="Tahoma"/>
                <w:color w:val="000000"/>
                <w:szCs w:val="20"/>
              </w:rPr>
              <w:t>1 Conector Externo para Microsoft Dynamics CRM</w:t>
            </w:r>
            <w:r w:rsidR="004B480F">
              <w:rPr>
                <w:rFonts w:cs="Tahoma"/>
                <w:color w:val="000000"/>
                <w:szCs w:val="20"/>
              </w:rPr>
              <w:t> </w:t>
            </w:r>
            <w:r w:rsidRPr="004B208C">
              <w:rPr>
                <w:rFonts w:cs="Tahoma"/>
                <w:color w:val="000000"/>
                <w:szCs w:val="20"/>
              </w:rPr>
              <w:t>2011</w:t>
            </w:r>
          </w:p>
        </w:tc>
        <w:tc>
          <w:tcPr>
            <w:tcW w:w="4212" w:type="dxa"/>
            <w:tcBorders>
              <w:top w:val="single" w:sz="6" w:space="0" w:color="000000"/>
            </w:tcBorders>
            <w:shd w:val="clear" w:color="auto" w:fill="FFFFFF"/>
          </w:tcPr>
          <w:p w:rsidR="000F4095" w:rsidRPr="004B208C" w:rsidRDefault="000F4095" w:rsidP="00343766">
            <w:pPr>
              <w:rPr>
                <w:rFonts w:cs="Tahoma"/>
                <w:color w:val="000000"/>
                <w:szCs w:val="20"/>
              </w:rPr>
            </w:pPr>
            <w:r w:rsidRPr="004B208C">
              <w:rPr>
                <w:rFonts w:cs="Tahoma"/>
                <w:color w:val="000000"/>
                <w:szCs w:val="20"/>
              </w:rPr>
              <w:t>Nenhum. Direitos de uso do conector externo estão incluídos na licença do CRM 2013 Server</w:t>
            </w:r>
          </w:p>
        </w:tc>
      </w:tr>
    </w:tbl>
    <w:p w:rsidR="000F4095" w:rsidRPr="004B208C" w:rsidRDefault="000F4095" w:rsidP="000F4095">
      <w:pPr>
        <w:ind w:left="720"/>
        <w:rPr>
          <w:rFonts w:cs="Tahoma"/>
        </w:rPr>
      </w:pPr>
      <w:r w:rsidRPr="004B208C">
        <w:rPr>
          <w:rFonts w:cs="Tahoma"/>
          <w:color w:val="000000"/>
          <w:szCs w:val="20"/>
        </w:rPr>
        <w:lastRenderedPageBreak/>
        <w:t>O direito de uso do software Microsoft Dynamics CRM 2013 pelos clientes é comprovado por esta nota de condição do produto e por evidências de suas licenças e seu Software Assurance correspondentes para o Microsoft Dynamics CRM 2013. O direito de uso do software Microsoft Dynamics CRM 2013 por um cliente sob esta concessão de migração está sujeito aos termos e às condições do contrato de Licenciamento por Volume.</w:t>
      </w:r>
      <w:r w:rsidR="00172F11">
        <w:rPr>
          <w:rFonts w:cs="Tahoma"/>
          <w:color w:val="000000"/>
          <w:szCs w:val="20"/>
        </w:rPr>
        <w:t xml:space="preserve"> </w:t>
      </w:r>
      <w:r w:rsidRPr="004B208C">
        <w:rPr>
          <w:rFonts w:cs="Tahoma"/>
          <w:color w:val="000000"/>
          <w:szCs w:val="20"/>
        </w:rPr>
        <w:t>Esse</w:t>
      </w:r>
      <w:r w:rsidRPr="004B208C">
        <w:rPr>
          <w:rStyle w:val="CommentReference"/>
          <w:rFonts w:cs="Tahoma"/>
          <w:szCs w:val="20"/>
        </w:rPr>
        <w:t xml:space="preserve"> </w:t>
      </w:r>
      <w:r w:rsidRPr="004B208C">
        <w:rPr>
          <w:rFonts w:cs="Tahoma"/>
          <w:color w:val="000000"/>
          <w:szCs w:val="20"/>
        </w:rPr>
        <w:t>direito cessará em caso de término ou rescisão do direito de usar o Microsoft Dynamics CRM 2011 de acordo com as licenças do Microsoft Dynamics CRM 2011 qualificadas correspondentes.</w:t>
      </w:r>
      <w:r w:rsidR="00172F11">
        <w:rPr>
          <w:rFonts w:cs="Tahoma"/>
          <w:color w:val="000000"/>
          <w:szCs w:val="20"/>
        </w:rPr>
        <w:t xml:space="preserve"> </w:t>
      </w:r>
      <w:r w:rsidRPr="004B208C">
        <w:rPr>
          <w:rFonts w:cs="Tahoma"/>
          <w:color w:val="000000"/>
          <w:szCs w:val="20"/>
        </w:rPr>
        <w:t>Ao término da cobertura do SA sobre as licenças do Microsoft Dynamics CRM 2011, o cliente poderá renovar o SA para as licenças outorgadas do Microsoft Dynamics CRM 2013.</w:t>
      </w:r>
      <w:r w:rsidR="00172F11">
        <w:rPr>
          <w:rFonts w:cs="Tahoma"/>
          <w:color w:val="000000"/>
          <w:szCs w:val="20"/>
        </w:rPr>
        <w:t xml:space="preserve"> </w:t>
      </w:r>
    </w:p>
    <w:p w:rsidR="000F4095" w:rsidRPr="004B208C" w:rsidRDefault="000F4095" w:rsidP="000F4095">
      <w:pPr>
        <w:ind w:left="720"/>
        <w:rPr>
          <w:rFonts w:cs="Tahoma"/>
        </w:rPr>
      </w:pPr>
    </w:p>
    <w:p w:rsidR="000F4095" w:rsidRPr="004B480F" w:rsidRDefault="000F4095" w:rsidP="000F4095">
      <w:pPr>
        <w:pStyle w:val="EndnoteText"/>
        <w:ind w:left="720"/>
        <w:rPr>
          <w:rFonts w:ascii="Tahoma" w:hAnsi="Tahoma" w:cs="Tahoma"/>
          <w:sz w:val="18"/>
          <w:szCs w:val="18"/>
        </w:rPr>
      </w:pPr>
      <w:r w:rsidRPr="004B480F">
        <w:rPr>
          <w:rFonts w:ascii="Tahoma" w:hAnsi="Tahoma" w:cs="Tahoma"/>
          <w:bCs/>
          <w:sz w:val="18"/>
          <w:szCs w:val="18"/>
        </w:rPr>
        <w:t>Para os clientes de Contratos Enterprise qualificados para essas licenças gratuitas e esses direitos conforme descrito acima, as licenças do Microsoft Dynamics CRM 2011 adquiridas como parte do processo anual de adequação (“true-up”) de um cliente durante o prazo do registro atual também serão licenças qualificadas.</w:t>
      </w:r>
    </w:p>
    <w:p w:rsidR="000F4095" w:rsidRPr="004B480F" w:rsidRDefault="000F4095" w:rsidP="000F4095">
      <w:pPr>
        <w:pStyle w:val="EndnoteText"/>
        <w:ind w:left="720"/>
        <w:rPr>
          <w:rFonts w:ascii="Tahoma" w:hAnsi="Tahoma" w:cs="Tahoma"/>
          <w:sz w:val="18"/>
          <w:szCs w:val="18"/>
        </w:rPr>
      </w:pPr>
    </w:p>
    <w:p w:rsidR="000F4095" w:rsidRPr="004B480F" w:rsidRDefault="000F4095" w:rsidP="000F4095">
      <w:pPr>
        <w:pStyle w:val="EndnoteText"/>
        <w:ind w:left="720"/>
        <w:rPr>
          <w:rFonts w:ascii="Tahoma" w:hAnsi="Tahoma" w:cs="Tahoma"/>
          <w:sz w:val="18"/>
          <w:szCs w:val="18"/>
          <w:highlight w:val="yellow"/>
        </w:rPr>
      </w:pPr>
      <w:r w:rsidRPr="004B480F">
        <w:rPr>
          <w:rFonts w:ascii="Tahoma" w:hAnsi="Tahoma" w:cs="Tahoma"/>
          <w:bCs/>
          <w:color w:val="000000"/>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172F11" w:rsidRPr="004B480F">
        <w:rPr>
          <w:rFonts w:ascii="Tahoma" w:hAnsi="Tahoma" w:cs="Tahoma"/>
          <w:bCs/>
          <w:color w:val="000000"/>
          <w:sz w:val="18"/>
          <w:szCs w:val="18"/>
        </w:rPr>
        <w:t xml:space="preserve"> </w:t>
      </w:r>
      <w:r w:rsidRPr="004B480F">
        <w:rPr>
          <w:rFonts w:ascii="Tahoma" w:hAnsi="Tahoma" w:cs="Tahoma"/>
          <w:bCs/>
          <w:color w:val="000000"/>
          <w:sz w:val="18"/>
          <w:szCs w:val="18"/>
        </w:rPr>
        <w:t>Esses direitos só se tornarão permanentes se a opção de compra (“buy-out”) for exercida e continuarão sujeitos a todos os termos e condições do contrato de licença do cliente.</w:t>
      </w:r>
    </w:p>
    <w:p w:rsidR="000F4095" w:rsidRPr="004B208C" w:rsidRDefault="000F4095" w:rsidP="000F4095">
      <w:pPr>
        <w:ind w:left="720"/>
        <w:rPr>
          <w:rFonts w:cs="Tahoma"/>
        </w:rPr>
      </w:pPr>
    </w:p>
    <w:p w:rsidR="000F4095" w:rsidRPr="004B208C" w:rsidRDefault="000F4095" w:rsidP="000F4095">
      <w:pPr>
        <w:spacing w:after="60"/>
        <w:ind w:left="720"/>
        <w:rPr>
          <w:rFonts w:cs="Tahoma"/>
        </w:rPr>
      </w:pPr>
      <w:r w:rsidRPr="004B208C">
        <w:rPr>
          <w:rFonts w:cs="Tahoma"/>
          <w:b/>
          <w:bCs/>
          <w:szCs w:val="20"/>
        </w:rPr>
        <w:t xml:space="preserve">Direitos de Downgrade para Microsoft Dynamics CRM 2013 </w:t>
      </w:r>
    </w:p>
    <w:p w:rsidR="000F4095" w:rsidRPr="004B208C" w:rsidRDefault="000F4095" w:rsidP="000F4095">
      <w:pPr>
        <w:ind w:left="720"/>
        <w:rPr>
          <w:rFonts w:cs="Tahoma"/>
        </w:rPr>
      </w:pPr>
      <w:r w:rsidRPr="004B208C">
        <w:rPr>
          <w:rFonts w:cs="Tahoma"/>
          <w:szCs w:val="20"/>
        </w:rPr>
        <w:t>Os clientes com licenças do Microsoft Dynamics CRM 2013 podem usar o Microsoft Dynamics CRM 2011 no</w:t>
      </w:r>
      <w:r w:rsidR="004B480F">
        <w:rPr>
          <w:rFonts w:cs="Tahoma"/>
          <w:szCs w:val="20"/>
        </w:rPr>
        <w:t> </w:t>
      </w:r>
      <w:r w:rsidRPr="004B208C">
        <w:rPr>
          <w:rFonts w:cs="Tahoma"/>
          <w:szCs w:val="20"/>
        </w:rPr>
        <w:t>lugar do Microsoft Dynamics CRM 2011. Essas licenças do Microsoft Dynamics CRM 2013 podem ser implantadas como licenças CRM 2011 da seguinte maneira:</w:t>
      </w:r>
    </w:p>
    <w:p w:rsidR="000F4095" w:rsidRPr="004B208C" w:rsidRDefault="000F4095" w:rsidP="000F4095">
      <w:pPr>
        <w:ind w:left="720"/>
        <w:rPr>
          <w:rFonts w:cs="Tahoma"/>
        </w:rPr>
      </w:pPr>
    </w:p>
    <w:p w:rsidR="000F4095" w:rsidRPr="004B480F" w:rsidRDefault="000F4095" w:rsidP="000F4095">
      <w:pPr>
        <w:ind w:left="540"/>
        <w:rPr>
          <w:rFonts w:cs="Tahoma"/>
          <w:sz w:val="4"/>
          <w:szCs w:val="20"/>
        </w:rPr>
      </w:pPr>
    </w:p>
    <w:p w:rsidR="000F4095" w:rsidRPr="004B480F" w:rsidRDefault="000F4095" w:rsidP="004B480F">
      <w:pPr>
        <w:ind w:left="540"/>
        <w:rPr>
          <w:rFonts w:cs="Tahoma"/>
          <w:sz w:val="4"/>
          <w:szCs w:val="20"/>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4B208C"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4B208C" w:rsidRDefault="000F4095" w:rsidP="00343766">
            <w:pPr>
              <w:keepNext/>
              <w:ind w:left="360"/>
              <w:rPr>
                <w:rFonts w:cs="Tahoma"/>
                <w:b/>
                <w:bCs/>
                <w:szCs w:val="20"/>
              </w:rPr>
            </w:pPr>
            <w:r w:rsidRPr="004B208C">
              <w:rPr>
                <w:rFonts w:cs="Tahoma"/>
                <w:b/>
                <w:bCs/>
                <w:szCs w:val="20"/>
              </w:rPr>
              <w:t>Licença do Microsoft Dynamics CRM 2013 Qualificada</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4B208C" w:rsidRDefault="000F4095" w:rsidP="00343766">
            <w:pPr>
              <w:ind w:left="360"/>
              <w:rPr>
                <w:rFonts w:cs="Tahoma"/>
                <w:b/>
                <w:bCs/>
                <w:szCs w:val="20"/>
              </w:rPr>
            </w:pPr>
            <w:r w:rsidRPr="004B208C">
              <w:rPr>
                <w:rFonts w:cs="Tahoma"/>
                <w:b/>
                <w:bCs/>
                <w:szCs w:val="20"/>
              </w:rPr>
              <w:t>Licenças do Microsoft Dynamics CRM 2011 Correspondentes</w:t>
            </w:r>
          </w:p>
        </w:tc>
      </w:tr>
      <w:tr w:rsidR="000F4095" w:rsidRPr="004B208C"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B208C" w:rsidRDefault="000F4095" w:rsidP="00343766">
            <w:pPr>
              <w:keepNext/>
              <w:rPr>
                <w:rFonts w:cs="Tahoma"/>
                <w:szCs w:val="20"/>
              </w:rPr>
            </w:pPr>
            <w:r w:rsidRPr="004B208C">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4B208C" w:rsidRDefault="000F4095" w:rsidP="00343766">
            <w:pPr>
              <w:pStyle w:val="ColorfulList-Accent11"/>
              <w:spacing w:line="276" w:lineRule="auto"/>
              <w:ind w:left="288" w:right="162" w:hanging="180"/>
              <w:rPr>
                <w:rFonts w:ascii="Tahoma" w:hAnsi="Tahoma" w:cs="Tahoma"/>
                <w:sz w:val="18"/>
                <w:szCs w:val="20"/>
              </w:rPr>
            </w:pPr>
            <w:r w:rsidRPr="004B208C">
              <w:rPr>
                <w:rFonts w:ascii="Tahoma" w:hAnsi="Tahoma" w:cs="Tahoma"/>
                <w:color w:val="000000"/>
                <w:sz w:val="18"/>
                <w:szCs w:val="20"/>
              </w:rPr>
              <w:t>Microsoft Dynamics CRM 2011 Server</w:t>
            </w:r>
          </w:p>
        </w:tc>
      </w:tr>
      <w:tr w:rsidR="000F4095" w:rsidRPr="004B208C"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B208C" w:rsidRDefault="000F4095" w:rsidP="00343766">
            <w:pPr>
              <w:keepNext/>
              <w:rPr>
                <w:rFonts w:cs="Tahoma"/>
                <w:szCs w:val="20"/>
              </w:rPr>
            </w:pPr>
            <w:r w:rsidRPr="004B208C">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4B208C" w:rsidRDefault="000F4095" w:rsidP="00343766">
            <w:pPr>
              <w:pStyle w:val="ColorfulList-Accent11"/>
              <w:spacing w:line="276" w:lineRule="auto"/>
              <w:ind w:left="288" w:right="162" w:hanging="180"/>
              <w:rPr>
                <w:rFonts w:ascii="Tahoma" w:hAnsi="Tahoma" w:cs="Tahoma"/>
                <w:sz w:val="18"/>
                <w:szCs w:val="20"/>
              </w:rPr>
            </w:pPr>
            <w:r w:rsidRPr="004B208C">
              <w:rPr>
                <w:rFonts w:ascii="Tahoma" w:hAnsi="Tahoma" w:cs="Tahoma"/>
                <w:color w:val="000000"/>
                <w:sz w:val="18"/>
                <w:szCs w:val="20"/>
              </w:rPr>
              <w:t>Microsoft Dynamics CRM Workgroup Server 2011</w:t>
            </w:r>
          </w:p>
        </w:tc>
      </w:tr>
      <w:tr w:rsidR="000F4095" w:rsidRPr="004B208C"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B208C" w:rsidRDefault="000F4095" w:rsidP="00343766">
            <w:pPr>
              <w:keepNext/>
              <w:rPr>
                <w:rFonts w:cs="Tahoma"/>
                <w:color w:val="000000"/>
                <w:szCs w:val="20"/>
              </w:rPr>
            </w:pPr>
            <w:r w:rsidRPr="004B208C">
              <w:rPr>
                <w:rFonts w:cs="Tahoma"/>
              </w:rPr>
              <w:t>CAL do Microsoft Dynamics CRM 2013 Essential</w:t>
            </w:r>
          </w:p>
        </w:tc>
        <w:tc>
          <w:tcPr>
            <w:tcW w:w="4242" w:type="dxa"/>
            <w:tcBorders>
              <w:top w:val="nil"/>
              <w:left w:val="nil"/>
              <w:bottom w:val="single" w:sz="8" w:space="0" w:color="000000"/>
              <w:right w:val="single" w:sz="8" w:space="0" w:color="000000"/>
            </w:tcBorders>
            <w:vAlign w:val="center"/>
          </w:tcPr>
          <w:p w:rsidR="000F4095" w:rsidRPr="004B208C" w:rsidRDefault="000F4095" w:rsidP="00343766">
            <w:pPr>
              <w:pStyle w:val="ColorfulList-Accent11"/>
              <w:spacing w:line="276" w:lineRule="auto"/>
              <w:ind w:left="288" w:right="162" w:hanging="180"/>
              <w:rPr>
                <w:rFonts w:ascii="Tahoma" w:hAnsi="Tahoma" w:cs="Tahoma"/>
                <w:sz w:val="18"/>
                <w:szCs w:val="20"/>
              </w:rPr>
            </w:pPr>
            <w:r w:rsidRPr="004B208C">
              <w:rPr>
                <w:rFonts w:ascii="Tahoma" w:hAnsi="Tahoma" w:cs="Tahoma"/>
                <w:sz w:val="18"/>
                <w:szCs w:val="22"/>
              </w:rPr>
              <w:t>CAL do Microsoft Dynamics CRM 2011 Employee Self Service</w:t>
            </w:r>
          </w:p>
        </w:tc>
      </w:tr>
      <w:tr w:rsidR="000F4095" w:rsidRPr="004B208C"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4B208C" w:rsidRDefault="000F4095" w:rsidP="00343766">
            <w:pPr>
              <w:rPr>
                <w:rFonts w:cs="Tahoma"/>
                <w:color w:val="000000"/>
                <w:szCs w:val="20"/>
              </w:rPr>
            </w:pPr>
            <w:r w:rsidRPr="004B208C">
              <w:rPr>
                <w:rFonts w:cs="Tahoma"/>
              </w:rPr>
              <w:t>CAL Aditiva de Uso Básico para Microsoft Dynamics CRM 2013</w:t>
            </w:r>
          </w:p>
        </w:tc>
        <w:tc>
          <w:tcPr>
            <w:tcW w:w="4242" w:type="dxa"/>
            <w:tcBorders>
              <w:top w:val="nil"/>
              <w:left w:val="nil"/>
              <w:bottom w:val="single" w:sz="8" w:space="0" w:color="000000"/>
              <w:right w:val="single" w:sz="8" w:space="0" w:color="000000"/>
            </w:tcBorders>
            <w:vAlign w:val="center"/>
          </w:tcPr>
          <w:p w:rsidR="000F4095" w:rsidRPr="004B208C" w:rsidRDefault="000F4095" w:rsidP="00343766">
            <w:pPr>
              <w:pStyle w:val="ColorfulList-Accent11"/>
              <w:spacing w:line="276" w:lineRule="auto"/>
              <w:ind w:left="288" w:right="162" w:hanging="180"/>
              <w:rPr>
                <w:rFonts w:ascii="Tahoma" w:hAnsi="Tahoma" w:cs="Tahoma"/>
                <w:color w:val="000000"/>
                <w:sz w:val="18"/>
                <w:szCs w:val="20"/>
              </w:rPr>
            </w:pPr>
            <w:r w:rsidRPr="004B208C">
              <w:rPr>
                <w:rFonts w:ascii="Tahoma" w:hAnsi="Tahoma" w:cs="Tahoma"/>
                <w:color w:val="000000"/>
                <w:sz w:val="18"/>
                <w:szCs w:val="20"/>
              </w:rPr>
              <w:t>CAL Aditiva de Uso Limitado para Microsoft Dynamics CRM 2011</w:t>
            </w:r>
          </w:p>
        </w:tc>
      </w:tr>
      <w:tr w:rsidR="000F4095" w:rsidRPr="004B208C"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4B208C" w:rsidRDefault="000F4095" w:rsidP="00343766">
            <w:pPr>
              <w:rPr>
                <w:rFonts w:cs="Tahoma"/>
                <w:color w:val="000000"/>
                <w:szCs w:val="20"/>
              </w:rPr>
            </w:pPr>
            <w:r w:rsidRPr="004B208C">
              <w:rPr>
                <w:rFonts w:cs="Tahoma"/>
              </w:rPr>
              <w:t>CAL Aditiva de Uso Profissional para Microsoft Dynamics CRM 2013</w:t>
            </w:r>
          </w:p>
        </w:tc>
        <w:tc>
          <w:tcPr>
            <w:tcW w:w="4242" w:type="dxa"/>
            <w:tcBorders>
              <w:top w:val="nil"/>
              <w:left w:val="nil"/>
              <w:bottom w:val="single" w:sz="8" w:space="0" w:color="000000"/>
              <w:right w:val="single" w:sz="8" w:space="0" w:color="000000"/>
            </w:tcBorders>
          </w:tcPr>
          <w:p w:rsidR="000F4095" w:rsidRPr="004B208C" w:rsidRDefault="000F4095" w:rsidP="00343766">
            <w:pPr>
              <w:pStyle w:val="ColorfulList-Accent11"/>
              <w:spacing w:line="276" w:lineRule="auto"/>
              <w:ind w:left="288" w:right="162" w:hanging="180"/>
              <w:rPr>
                <w:rFonts w:ascii="Tahoma" w:hAnsi="Tahoma" w:cs="Tahoma"/>
                <w:color w:val="000000"/>
                <w:sz w:val="18"/>
                <w:szCs w:val="20"/>
              </w:rPr>
            </w:pPr>
            <w:r w:rsidRPr="004B208C">
              <w:rPr>
                <w:rFonts w:ascii="Tahoma" w:hAnsi="Tahoma" w:cs="Tahoma"/>
                <w:color w:val="000000"/>
                <w:sz w:val="18"/>
                <w:szCs w:val="20"/>
              </w:rPr>
              <w:t>CAL Aditiva de Uso Total para Microsoft Dynamics CRM 2011</w:t>
            </w:r>
          </w:p>
        </w:tc>
      </w:tr>
    </w:tbl>
    <w:p w:rsidR="000F4095" w:rsidRPr="004B208C" w:rsidRDefault="000F4095" w:rsidP="000F4095">
      <w:pPr>
        <w:rPr>
          <w:rFonts w:cs="Tahoma"/>
        </w:rPr>
      </w:pPr>
      <w:r w:rsidRPr="004B208C">
        <w:rPr>
          <w:rFonts w:cs="Tahoma"/>
          <w:szCs w:val="20"/>
        </w:rPr>
        <w:t xml:space="preserve"> </w:t>
      </w:r>
    </w:p>
    <w:p w:rsidR="000F4095" w:rsidRPr="004B208C" w:rsidRDefault="000F4095" w:rsidP="000F4095">
      <w:pPr>
        <w:spacing w:after="60"/>
        <w:ind w:left="720"/>
        <w:rPr>
          <w:rFonts w:cs="Tahoma"/>
        </w:rPr>
      </w:pPr>
      <w:r w:rsidRPr="004B208C">
        <w:rPr>
          <w:rFonts w:cs="Tahoma"/>
          <w:b/>
          <w:bCs/>
          <w:color w:val="000000"/>
          <w:szCs w:val="20"/>
        </w:rPr>
        <w:t>Opções de Licença de Acesso para Cliente</w:t>
      </w:r>
    </w:p>
    <w:p w:rsidR="000F4095" w:rsidRPr="004B208C" w:rsidRDefault="000F4095" w:rsidP="000F4095">
      <w:pPr>
        <w:ind w:left="720"/>
        <w:rPr>
          <w:rFonts w:cs="Tahoma"/>
        </w:rPr>
      </w:pPr>
      <w:r w:rsidRPr="004B208C">
        <w:rPr>
          <w:rFonts w:cs="Tahoma"/>
          <w:color w:val="000000"/>
          <w:szCs w:val="20"/>
        </w:rPr>
        <w:t>Os usos permitidos sob as CALs diferentes do Microsoft Dynamics CRM 2013 são destacados na tabela a</w:t>
      </w:r>
      <w:r w:rsidR="004B480F">
        <w:rPr>
          <w:rFonts w:cs="Tahoma"/>
          <w:color w:val="000000"/>
          <w:szCs w:val="20"/>
        </w:rPr>
        <w:t> </w:t>
      </w:r>
      <w:r w:rsidRPr="004B208C">
        <w:rPr>
          <w:rFonts w:cs="Tahoma"/>
          <w:color w:val="000000"/>
          <w:szCs w:val="20"/>
        </w:rPr>
        <w:t>seguir.</w:t>
      </w:r>
      <w:r w:rsidR="00172F11">
        <w:rPr>
          <w:rFonts w:cs="Tahoma"/>
          <w:color w:val="000000"/>
          <w:szCs w:val="20"/>
        </w:rPr>
        <w:t xml:space="preserve"> </w:t>
      </w:r>
      <w:r w:rsidRPr="004B208C">
        <w:rPr>
          <w:rFonts w:cs="Tahoma"/>
          <w:color w:val="000000"/>
          <w:szCs w:val="20"/>
        </w:rPr>
        <w:t>A CAL Limitada e a CAL Completa são ofertas que incluem várias licenças.</w:t>
      </w:r>
    </w:p>
    <w:p w:rsidR="000F4095" w:rsidRPr="004B208C" w:rsidRDefault="000F4095" w:rsidP="000F4095">
      <w:pPr>
        <w:ind w:left="720"/>
        <w:rPr>
          <w:rFonts w:cs="Tahoma"/>
        </w:rPr>
      </w:pPr>
    </w:p>
    <w:tbl>
      <w:tblPr>
        <w:tblW w:w="725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0"/>
        <w:gridCol w:w="837"/>
        <w:gridCol w:w="594"/>
        <w:gridCol w:w="743"/>
        <w:gridCol w:w="269"/>
        <w:gridCol w:w="1292"/>
        <w:gridCol w:w="891"/>
        <w:gridCol w:w="594"/>
        <w:gridCol w:w="720"/>
      </w:tblGrid>
      <w:tr w:rsidR="00BF2FFA" w:rsidRPr="004B208C" w:rsidTr="004B480F">
        <w:trPr>
          <w:cantSplit/>
          <w:trHeight w:val="303"/>
          <w:tblHeader/>
        </w:trPr>
        <w:tc>
          <w:tcPr>
            <w:tcW w:w="13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4B208C" w:rsidRDefault="00BF2FFA" w:rsidP="004E6530">
            <w:pPr>
              <w:spacing w:before="20" w:after="20"/>
              <w:rPr>
                <w:rFonts w:eastAsia="Times New Roman" w:cs="Tahoma"/>
                <w:b/>
                <w:bCs/>
                <w:color w:val="FFFFFF" w:themeColor="background1"/>
                <w:sz w:val="14"/>
                <w:szCs w:val="16"/>
              </w:rPr>
            </w:pPr>
            <w:r w:rsidRPr="004B208C">
              <w:rPr>
                <w:rFonts w:eastAsia="Times New Roman" w:cs="Tahoma"/>
                <w:b/>
                <w:bCs/>
                <w:color w:val="FFFFFF" w:themeColor="background1"/>
                <w:sz w:val="14"/>
                <w:szCs w:val="16"/>
              </w:rPr>
              <w:t>Direito de Uso</w:t>
            </w:r>
          </w:p>
        </w:tc>
        <w:tc>
          <w:tcPr>
            <w:tcW w:w="83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B208C" w:rsidRDefault="00BF2FFA" w:rsidP="004E6530">
            <w:pPr>
              <w:spacing w:before="20" w:after="20"/>
              <w:jc w:val="center"/>
              <w:rPr>
                <w:rFonts w:eastAsia="Times New Roman" w:cs="Tahoma"/>
                <w:b/>
                <w:bCs/>
                <w:color w:val="FFFFFF" w:themeColor="background1"/>
                <w:sz w:val="10"/>
                <w:szCs w:val="10"/>
              </w:rPr>
            </w:pPr>
            <w:r w:rsidRPr="004B208C">
              <w:rPr>
                <w:rFonts w:eastAsia="Times New Roman" w:cs="Tahoma"/>
                <w:b/>
                <w:bCs/>
                <w:color w:val="FFFFFF" w:themeColor="background1"/>
                <w:sz w:val="10"/>
                <w:szCs w:val="10"/>
              </w:rPr>
              <w:t>Profissional</w:t>
            </w:r>
          </w:p>
        </w:tc>
        <w:tc>
          <w:tcPr>
            <w:tcW w:w="5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B208C" w:rsidRDefault="00BF2FFA" w:rsidP="004E6530">
            <w:pPr>
              <w:spacing w:before="20" w:after="20"/>
              <w:jc w:val="center"/>
              <w:rPr>
                <w:rFonts w:eastAsia="Times New Roman" w:cs="Tahoma"/>
                <w:b/>
                <w:bCs/>
                <w:color w:val="FFFFFF" w:themeColor="background1"/>
                <w:sz w:val="10"/>
                <w:szCs w:val="10"/>
              </w:rPr>
            </w:pPr>
            <w:r w:rsidRPr="004B208C">
              <w:rPr>
                <w:rFonts w:eastAsia="Times New Roman" w:cs="Tahoma"/>
                <w:b/>
                <w:bCs/>
                <w:color w:val="FFFFFF" w:themeColor="background1"/>
                <w:sz w:val="10"/>
                <w:szCs w:val="10"/>
              </w:rPr>
              <w:t>Básica</w:t>
            </w:r>
          </w:p>
        </w:tc>
        <w:tc>
          <w:tcPr>
            <w:tcW w:w="743"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4B208C" w:rsidRDefault="00BF2FFA" w:rsidP="004E6530">
            <w:pPr>
              <w:spacing w:before="20" w:after="20"/>
              <w:jc w:val="center"/>
              <w:rPr>
                <w:rFonts w:eastAsia="Times New Roman" w:cs="Tahoma"/>
                <w:b/>
                <w:bCs/>
                <w:color w:val="FFFFFF" w:themeColor="background1"/>
                <w:sz w:val="10"/>
                <w:szCs w:val="10"/>
              </w:rPr>
            </w:pPr>
            <w:r w:rsidRPr="004B208C">
              <w:rPr>
                <w:rFonts w:eastAsia="Times New Roman" w:cs="Tahoma"/>
                <w:b/>
                <w:bCs/>
                <w:color w:val="FFFFFF" w:themeColor="background1"/>
                <w:sz w:val="10"/>
                <w:szCs w:val="10"/>
              </w:rPr>
              <w:t>Essencial</w:t>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b/>
                <w:bCs/>
                <w:color w:val="FFFFFF" w:themeColor="background1"/>
                <w:sz w:val="14"/>
                <w:szCs w:val="16"/>
              </w:rPr>
            </w:pPr>
          </w:p>
        </w:tc>
        <w:tc>
          <w:tcPr>
            <w:tcW w:w="1292"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4B208C" w:rsidRDefault="00BF2FFA" w:rsidP="004E6530">
            <w:pPr>
              <w:spacing w:before="20" w:after="20"/>
              <w:rPr>
                <w:rFonts w:eastAsia="Times New Roman" w:cs="Tahoma"/>
                <w:b/>
                <w:bCs/>
                <w:color w:val="FFFFFF" w:themeColor="background1"/>
                <w:sz w:val="14"/>
                <w:szCs w:val="16"/>
              </w:rPr>
            </w:pPr>
            <w:r w:rsidRPr="004B208C">
              <w:rPr>
                <w:rFonts w:eastAsia="Times New Roman" w:cs="Tahoma"/>
                <w:b/>
                <w:bCs/>
                <w:color w:val="FFFFFF" w:themeColor="background1"/>
                <w:sz w:val="14"/>
                <w:szCs w:val="16"/>
              </w:rPr>
              <w:t>Direito de Uso</w:t>
            </w:r>
          </w:p>
        </w:tc>
        <w:tc>
          <w:tcPr>
            <w:tcW w:w="8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B208C" w:rsidRDefault="00BF2FFA" w:rsidP="004E6530">
            <w:pPr>
              <w:spacing w:before="20" w:after="20"/>
              <w:jc w:val="center"/>
              <w:rPr>
                <w:rFonts w:eastAsia="Times New Roman" w:cs="Tahoma"/>
                <w:b/>
                <w:bCs/>
                <w:color w:val="FFFFFF" w:themeColor="background1"/>
                <w:sz w:val="14"/>
                <w:szCs w:val="16"/>
              </w:rPr>
            </w:pPr>
            <w:r w:rsidRPr="004B208C">
              <w:rPr>
                <w:rFonts w:eastAsia="Times New Roman" w:cs="Tahoma"/>
                <w:b/>
                <w:bCs/>
                <w:color w:val="FFFFFF" w:themeColor="background1"/>
                <w:sz w:val="10"/>
                <w:szCs w:val="10"/>
              </w:rPr>
              <w:t>Profissional</w:t>
            </w:r>
          </w:p>
        </w:tc>
        <w:tc>
          <w:tcPr>
            <w:tcW w:w="5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4B208C" w:rsidRDefault="00BF2FFA" w:rsidP="004E6530">
            <w:pPr>
              <w:spacing w:before="20" w:after="20"/>
              <w:jc w:val="center"/>
              <w:rPr>
                <w:rFonts w:eastAsia="Times New Roman" w:cs="Tahoma"/>
                <w:b/>
                <w:bCs/>
                <w:color w:val="FFFFFF" w:themeColor="background1"/>
                <w:sz w:val="14"/>
                <w:szCs w:val="16"/>
              </w:rPr>
            </w:pPr>
            <w:r w:rsidRPr="004B208C">
              <w:rPr>
                <w:rFonts w:eastAsia="Times New Roman" w:cs="Tahoma"/>
                <w:b/>
                <w:bCs/>
                <w:color w:val="FFFFFF" w:themeColor="background1"/>
                <w:sz w:val="10"/>
                <w:szCs w:val="10"/>
              </w:rPr>
              <w:t>Básica</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4B208C" w:rsidRDefault="00BF2FFA" w:rsidP="004E6530">
            <w:pPr>
              <w:spacing w:before="20" w:after="20"/>
              <w:jc w:val="center"/>
              <w:rPr>
                <w:rFonts w:eastAsia="Times New Roman" w:cs="Tahoma"/>
                <w:b/>
                <w:bCs/>
                <w:color w:val="FFFFFF" w:themeColor="background1"/>
                <w:sz w:val="14"/>
                <w:szCs w:val="16"/>
              </w:rPr>
            </w:pPr>
            <w:r w:rsidRPr="004B208C">
              <w:rPr>
                <w:rFonts w:eastAsia="Times New Roman" w:cs="Tahoma"/>
                <w:b/>
                <w:bCs/>
                <w:color w:val="FFFFFF" w:themeColor="background1"/>
                <w:sz w:val="10"/>
                <w:szCs w:val="10"/>
              </w:rPr>
              <w:t>Essencial</w:t>
            </w:r>
          </w:p>
        </w:tc>
      </w:tr>
      <w:tr w:rsidR="00BF2FFA" w:rsidRPr="004B208C" w:rsidTr="004B480F">
        <w:trPr>
          <w:cantSplit/>
          <w:trHeight w:val="172"/>
        </w:trPr>
        <w:tc>
          <w:tcPr>
            <w:tcW w:w="1310"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Visualizar Anúncios</w:t>
            </w:r>
          </w:p>
        </w:tc>
        <w:tc>
          <w:tcPr>
            <w:tcW w:w="837" w:type="dxa"/>
            <w:tcBorders>
              <w:top w:val="single" w:sz="4" w:space="0" w:color="FFFFFF" w:themeColor="background1"/>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FFFFFF" w:themeColor="background1"/>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FFFFFF" w:themeColor="background1"/>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Contatos</w:t>
            </w:r>
          </w:p>
        </w:tc>
        <w:tc>
          <w:tcPr>
            <w:tcW w:w="891" w:type="dxa"/>
            <w:tcBorders>
              <w:top w:val="single" w:sz="4" w:space="0" w:color="FFFFFF" w:themeColor="background1"/>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FFFFFF" w:themeColor="background1"/>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Gerenciar exibições salvas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Pontuação, roteamento, atribuição do cliente potencial</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Usar relacionamentos entre registros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cs="Tahoma"/>
                <w:noProof/>
                <w:sz w:val="12"/>
                <w:szCs w:val="16"/>
              </w:rPr>
              <w:drawing>
                <wp:inline distT="0" distB="0" distL="0" distR="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cs="Tahoma"/>
                <w:noProof/>
                <w:sz w:val="12"/>
                <w:szCs w:val="16"/>
              </w:rPr>
              <w:drawing>
                <wp:inline distT="0" distB="0" distL="0" distR="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cs="Tahoma"/>
                <w:noProof/>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Captura do cliente potencial</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Criar exibições pessoais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cs="Tahoma"/>
                <w:noProof/>
                <w:sz w:val="12"/>
                <w:szCs w:val="16"/>
              </w:rPr>
              <w:drawing>
                <wp:inline distT="0" distB="0" distL="0" distR="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cs="Tahoma"/>
                <w:noProof/>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eastAsia="Times New Roman" w:cs="Tahoma"/>
                <w:noProof/>
                <w:color w:val="000000"/>
                <w:sz w:val="13"/>
                <w:szCs w:val="13"/>
              </w:rPr>
            </w:pPr>
            <w:r w:rsidRPr="004B208C">
              <w:rPr>
                <w:rFonts w:eastAsia="Times New Roman" w:cs="Tahoma"/>
                <w:color w:val="000000"/>
                <w:sz w:val="13"/>
                <w:szCs w:val="13"/>
              </w:rPr>
              <w:t>Adicionar ou remover um relacionamento do</w:t>
            </w:r>
            <w:r w:rsidR="004B480F">
              <w:rPr>
                <w:rFonts w:eastAsia="Times New Roman" w:cs="Tahoma"/>
                <w:color w:val="000000"/>
                <w:sz w:val="13"/>
                <w:szCs w:val="13"/>
              </w:rPr>
              <w:t> </w:t>
            </w:r>
            <w:r w:rsidRPr="004B208C">
              <w:rPr>
                <w:rFonts w:eastAsia="Times New Roman" w:cs="Tahoma"/>
                <w:color w:val="000000"/>
                <w:sz w:val="13"/>
                <w:szCs w:val="13"/>
              </w:rPr>
              <w:t>cliente em uma conta</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Pesquisa de localização avançada</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cs="Tahoma"/>
                <w:noProof/>
                <w:sz w:val="12"/>
                <w:szCs w:val="16"/>
              </w:rPr>
              <w:drawing>
                <wp:inline distT="0" distB="0" distL="0" distR="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cs="Tahoma"/>
                <w:noProof/>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eastAsia="Times New Roman" w:cs="Tahoma"/>
                <w:noProof/>
                <w:color w:val="000000"/>
                <w:sz w:val="13"/>
                <w:szCs w:val="13"/>
              </w:rPr>
            </w:pPr>
            <w:r w:rsidRPr="004B208C">
              <w:rPr>
                <w:rFonts w:eastAsia="Times New Roman" w:cs="Tahoma"/>
                <w:color w:val="000000"/>
                <w:sz w:val="13"/>
                <w:szCs w:val="13"/>
              </w:rPr>
              <w:t>Associar uma oportunidade a</w:t>
            </w:r>
            <w:r w:rsidR="004B480F">
              <w:rPr>
                <w:rFonts w:eastAsia="Times New Roman" w:cs="Tahoma"/>
                <w:color w:val="000000"/>
                <w:sz w:val="13"/>
                <w:szCs w:val="13"/>
              </w:rPr>
              <w:t> </w:t>
            </w:r>
            <w:r w:rsidRPr="004B208C">
              <w:rPr>
                <w:rFonts w:eastAsia="Times New Roman" w:cs="Tahoma"/>
                <w:color w:val="000000"/>
                <w:sz w:val="13"/>
                <w:szCs w:val="13"/>
              </w:rPr>
              <w:t>uma conta</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Pesquisa</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cs="Tahoma"/>
                <w:noProof/>
                <w:sz w:val="12"/>
                <w:szCs w:val="16"/>
              </w:rPr>
              <w:drawing>
                <wp:inline distT="0" distB="0" distL="0" distR="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cs="Tahoma"/>
                <w:noProof/>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eastAsia="Times New Roman" w:cs="Tahoma"/>
                <w:noProof/>
                <w:color w:val="000000"/>
                <w:sz w:val="13"/>
                <w:szCs w:val="13"/>
              </w:rPr>
            </w:pPr>
            <w:r w:rsidRPr="004B208C">
              <w:rPr>
                <w:rFonts w:eastAsia="Times New Roman" w:cs="Tahoma"/>
                <w:color w:val="000000"/>
                <w:sz w:val="13"/>
                <w:szCs w:val="13"/>
              </w:rPr>
              <w:t>Qualificar e converter um cliente potencial em</w:t>
            </w:r>
            <w:r w:rsidR="004B480F">
              <w:rPr>
                <w:rFonts w:eastAsia="Times New Roman" w:cs="Tahoma"/>
                <w:color w:val="000000"/>
                <w:sz w:val="13"/>
                <w:szCs w:val="13"/>
              </w:rPr>
              <w:t> </w:t>
            </w:r>
            <w:r w:rsidRPr="004B208C">
              <w:rPr>
                <w:rFonts w:eastAsia="Times New Roman" w:cs="Tahoma"/>
                <w:color w:val="000000"/>
                <w:sz w:val="13"/>
                <w:szCs w:val="13"/>
              </w:rPr>
              <w:t>uma conta</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lastRenderedPageBreak/>
              <w:t>Usar um item de fila</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cs="Tahoma"/>
                <w:noProof/>
                <w:sz w:val="12"/>
                <w:szCs w:val="16"/>
              </w:rPr>
              <w:drawing>
                <wp:inline distT="0" distB="0" distL="0" distR="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cs="Tahoma"/>
                <w:noProof/>
                <w:sz w:val="12"/>
                <w:szCs w:val="16"/>
              </w:rPr>
              <w:drawing>
                <wp:inline distT="0" distB="0" distL="0" distR="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cs="Tahoma"/>
                <w:noProof/>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Contas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Exportar dados para o Microsoft Excel</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eastAsia="Times New Roman" w:cs="Tahoma"/>
                <w:noProof/>
                <w:color w:val="000000"/>
                <w:sz w:val="13"/>
                <w:szCs w:val="13"/>
              </w:rPr>
            </w:pPr>
            <w:r w:rsidRPr="004B208C">
              <w:rPr>
                <w:rFonts w:eastAsia="Times New Roman" w:cs="Tahoma"/>
                <w:color w:val="000000"/>
                <w:sz w:val="13"/>
                <w:szCs w:val="13"/>
              </w:rPr>
              <w:t>Importar dados em</w:t>
            </w:r>
            <w:r w:rsidR="004B480F">
              <w:rPr>
                <w:rFonts w:eastAsia="Times New Roman" w:cs="Tahoma"/>
                <w:color w:val="000000"/>
                <w:sz w:val="13"/>
                <w:szCs w:val="13"/>
              </w:rPr>
              <w:t> </w:t>
            </w:r>
            <w:r w:rsidRPr="004B208C">
              <w:rPr>
                <w:rFonts w:eastAsia="Times New Roman" w:cs="Tahoma"/>
                <w:color w:val="000000"/>
                <w:sz w:val="13"/>
                <w:szCs w:val="13"/>
              </w:rPr>
              <w:t>lote</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Executar Mala Direta</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Configurar auditoria</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Iniciar diálogo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cs="Tahoma"/>
                <w:noProof/>
                <w:sz w:val="12"/>
                <w:szCs w:val="16"/>
              </w:rPr>
              <w:drawing>
                <wp:inline distT="0" distB="0" distL="0" distR="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cs="Tahoma"/>
                <w:noProof/>
                <w:sz w:val="12"/>
                <w:szCs w:val="16"/>
              </w:rPr>
              <w:drawing>
                <wp:inline distT="0" distB="0" distL="0" distR="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cs="Tahoma"/>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Configurar regras de detecção duplicadas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Executar como um processo sob demanda</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cs="Tahoma"/>
                <w:noProof/>
                <w:sz w:val="12"/>
                <w:szCs w:val="16"/>
              </w:rPr>
              <w:drawing>
                <wp:inline distT="0" distB="0" distL="0" distR="0">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cs="Tahoma"/>
                <w:noProof/>
                <w:sz w:val="12"/>
                <w:szCs w:val="16"/>
              </w:rPr>
              <w:drawing>
                <wp:inline distT="0" distB="0" distL="0" distR="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cs="Tahoma"/>
                <w:noProof/>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Definir relacionamentos entre entidades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Executar um fluxo de trabalho automatizado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sz w:val="12"/>
                <w:szCs w:val="16"/>
              </w:rPr>
            </w:pPr>
            <w:r w:rsidRPr="004B208C">
              <w:rPr>
                <w:rFonts w:eastAsia="Times New Roman" w:cs="Tahoma"/>
                <w:noProof/>
                <w:color w:val="000000"/>
                <w:sz w:val="12"/>
                <w:szCs w:val="16"/>
              </w:rPr>
              <w:drawing>
                <wp:inline distT="0" distB="0" distL="0" distR="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sz w:val="12"/>
                <w:szCs w:val="16"/>
              </w:rPr>
            </w:pPr>
            <w:r w:rsidRPr="004B208C">
              <w:rPr>
                <w:rFonts w:cs="Tahoma"/>
                <w:noProof/>
                <w:sz w:val="12"/>
                <w:szCs w:val="16"/>
              </w:rPr>
              <w:drawing>
                <wp:inline distT="0" distB="0" distL="0" distR="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cs="Tahoma"/>
                <w:noProof/>
                <w:sz w:val="12"/>
                <w:szCs w:val="16"/>
              </w:rPr>
              <w:drawing>
                <wp:inline distT="0" distB="0" distL="0" distR="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cs="Tahoma"/>
                <w:noProof/>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eastAsia="Times New Roman" w:cs="Tahoma"/>
                <w:noProof/>
                <w:color w:val="000000"/>
                <w:sz w:val="13"/>
                <w:szCs w:val="13"/>
              </w:rPr>
            </w:pPr>
            <w:r w:rsidRPr="004B208C">
              <w:rPr>
                <w:rFonts w:eastAsia="Times New Roman" w:cs="Tahoma"/>
                <w:color w:val="000000"/>
                <w:sz w:val="13"/>
                <w:szCs w:val="13"/>
              </w:rPr>
              <w:t>Definir e configurar</w:t>
            </w:r>
            <w:r w:rsidR="004B480F">
              <w:rPr>
                <w:rFonts w:eastAsia="Times New Roman" w:cs="Tahoma"/>
                <w:color w:val="000000"/>
                <w:sz w:val="13"/>
                <w:szCs w:val="13"/>
              </w:rPr>
              <w:t> </w:t>
            </w:r>
            <w:r w:rsidRPr="004B208C">
              <w:rPr>
                <w:rFonts w:eastAsia="Times New Roman" w:cs="Tahoma"/>
                <w:color w:val="000000"/>
                <w:sz w:val="13"/>
                <w:szCs w:val="13"/>
              </w:rPr>
              <w:t>filas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Ler artigos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Definir e configurar diálogos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Notas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Definir e configurar fluxos de trabalho</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B480F">
            <w:pPr>
              <w:spacing w:before="20" w:after="20"/>
              <w:rPr>
                <w:rFonts w:eastAsia="Times New Roman" w:cs="Tahoma"/>
                <w:color w:val="000000"/>
                <w:sz w:val="13"/>
                <w:szCs w:val="13"/>
              </w:rPr>
            </w:pPr>
            <w:r w:rsidRPr="004B208C">
              <w:rPr>
                <w:rFonts w:eastAsia="Times New Roman" w:cs="Tahoma"/>
                <w:color w:val="000000"/>
                <w:sz w:val="13"/>
                <w:szCs w:val="13"/>
              </w:rPr>
              <w:t>Gerenciamento de</w:t>
            </w:r>
            <w:r w:rsidR="004B480F">
              <w:rPr>
                <w:rFonts w:eastAsia="Times New Roman" w:cs="Tahoma"/>
                <w:color w:val="000000"/>
                <w:sz w:val="13"/>
                <w:szCs w:val="13"/>
              </w:rPr>
              <w:t> </w:t>
            </w:r>
            <w:r w:rsidRPr="004B208C">
              <w:rPr>
                <w:rFonts w:eastAsia="Times New Roman" w:cs="Tahoma"/>
                <w:color w:val="000000"/>
                <w:sz w:val="13"/>
                <w:szCs w:val="13"/>
              </w:rPr>
              <w:t>atividades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Relatórios do sistema, gráficos do sistema e painéis do sistema</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Colaboração do Yammer**</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Personalizar formulários e exibições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B480F">
            <w:pPr>
              <w:spacing w:before="20" w:after="20"/>
              <w:rPr>
                <w:rFonts w:eastAsia="Times New Roman" w:cs="Tahoma"/>
                <w:color w:val="000000"/>
                <w:sz w:val="13"/>
                <w:szCs w:val="13"/>
              </w:rPr>
            </w:pPr>
            <w:r w:rsidRPr="004B208C">
              <w:rPr>
                <w:rFonts w:eastAsia="Times New Roman" w:cs="Tahoma"/>
                <w:color w:val="000000"/>
                <w:sz w:val="13"/>
                <w:szCs w:val="13"/>
              </w:rPr>
              <w:t>Publicar feeds de</w:t>
            </w:r>
            <w:r w:rsidR="004B480F">
              <w:rPr>
                <w:rFonts w:eastAsia="Times New Roman" w:cs="Tahoma"/>
                <w:color w:val="000000"/>
                <w:sz w:val="13"/>
                <w:szCs w:val="13"/>
              </w:rPr>
              <w:t> </w:t>
            </w:r>
            <w:r w:rsidRPr="004B208C">
              <w:rPr>
                <w:rFonts w:eastAsia="Times New Roman" w:cs="Tahoma"/>
                <w:color w:val="000000"/>
                <w:sz w:val="13"/>
                <w:szCs w:val="13"/>
              </w:rPr>
              <w:t>atividades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Criar formulários, entidades e campos do Microsoft Dynamics CRM</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B480F">
            <w:pPr>
              <w:spacing w:before="20" w:after="20"/>
              <w:rPr>
                <w:rFonts w:eastAsia="Times New Roman" w:cs="Tahoma"/>
                <w:color w:val="000000"/>
                <w:sz w:val="13"/>
                <w:szCs w:val="13"/>
              </w:rPr>
            </w:pPr>
            <w:r w:rsidRPr="004B208C">
              <w:rPr>
                <w:rFonts w:eastAsia="Times New Roman" w:cs="Tahoma"/>
                <w:color w:val="000000"/>
                <w:sz w:val="13"/>
                <w:szCs w:val="13"/>
              </w:rPr>
              <w:t>Seguir feeds de</w:t>
            </w:r>
            <w:r w:rsidR="004B480F">
              <w:rPr>
                <w:rFonts w:eastAsia="Times New Roman" w:cs="Tahoma"/>
                <w:color w:val="000000"/>
                <w:sz w:val="13"/>
                <w:szCs w:val="13"/>
              </w:rPr>
              <w:t> </w:t>
            </w:r>
            <w:r w:rsidRPr="004B208C">
              <w:rPr>
                <w:rFonts w:eastAsia="Times New Roman" w:cs="Tahoma"/>
                <w:color w:val="000000"/>
                <w:sz w:val="13"/>
                <w:szCs w:val="13"/>
              </w:rPr>
              <w:t>atividades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Administrar CRM</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Calendário compartilhado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Modelos de artigos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Escrever registros de entidades personalizados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Criar e publicar artigos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Ler dados de aplicativos personalizados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eastAsia="Times New Roman" w:cs="Tahoma"/>
                <w:noProof/>
                <w:color w:val="000000"/>
                <w:sz w:val="13"/>
                <w:szCs w:val="13"/>
              </w:rPr>
            </w:pPr>
            <w:r w:rsidRPr="004B208C">
              <w:rPr>
                <w:rFonts w:eastAsia="Times New Roman" w:cs="Tahoma"/>
                <w:color w:val="000000"/>
                <w:sz w:val="13"/>
                <w:szCs w:val="13"/>
              </w:rPr>
              <w:t>Gerenciamento de</w:t>
            </w:r>
            <w:r w:rsidR="004B480F">
              <w:rPr>
                <w:rFonts w:eastAsia="Times New Roman" w:cs="Tahoma"/>
                <w:color w:val="000000"/>
                <w:sz w:val="13"/>
                <w:szCs w:val="13"/>
              </w:rPr>
              <w:t> </w:t>
            </w:r>
            <w:r w:rsidRPr="004B208C">
              <w:rPr>
                <w:rFonts w:eastAsia="Times New Roman" w:cs="Tahoma"/>
                <w:color w:val="000000"/>
                <w:sz w:val="13"/>
                <w:szCs w:val="13"/>
              </w:rPr>
              <w:t>metas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Microsoft Dynamics CRM Mobile Express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cs="Tahoma"/>
                <w:sz w:val="13"/>
                <w:szCs w:val="13"/>
              </w:rPr>
            </w:pPr>
            <w:r w:rsidRPr="004B208C">
              <w:rPr>
                <w:rFonts w:eastAsia="Times New Roman" w:cs="Tahoma"/>
                <w:color w:val="000000"/>
                <w:sz w:val="13"/>
                <w:szCs w:val="13"/>
              </w:rPr>
              <w:t>Modelos de contrato</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cs="Tahoma"/>
                <w:sz w:val="12"/>
                <w:szCs w:val="16"/>
              </w:rPr>
            </w:pPr>
            <w:r w:rsidRPr="004B208C">
              <w:rPr>
                <w:rFonts w:eastAsia="Times New Roman" w:cs="Tahoma"/>
                <w:noProof/>
                <w:color w:val="000000"/>
                <w:sz w:val="12"/>
                <w:szCs w:val="16"/>
              </w:rPr>
              <w:drawing>
                <wp:inline distT="0" distB="0" distL="0" distR="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Microsoft Dynamics CRM para iPad &amp; Windows 8</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cs="Tahoma"/>
                <w:noProof/>
                <w:sz w:val="13"/>
                <w:szCs w:val="13"/>
              </w:rPr>
            </w:pPr>
            <w:r w:rsidRPr="004B208C">
              <w:rPr>
                <w:rFonts w:eastAsia="Times New Roman" w:cs="Tahoma"/>
                <w:color w:val="000000"/>
                <w:sz w:val="13"/>
                <w:szCs w:val="13"/>
              </w:rPr>
              <w:t>Gerenciamento de</w:t>
            </w:r>
            <w:r w:rsidR="004B480F">
              <w:rPr>
                <w:rFonts w:eastAsia="Times New Roman" w:cs="Tahoma"/>
                <w:color w:val="000000"/>
                <w:sz w:val="13"/>
                <w:szCs w:val="13"/>
              </w:rPr>
              <w:t> </w:t>
            </w:r>
            <w:r w:rsidRPr="004B208C">
              <w:rPr>
                <w:rFonts w:eastAsia="Times New Roman" w:cs="Tahoma"/>
                <w:color w:val="000000"/>
                <w:sz w:val="13"/>
                <w:szCs w:val="13"/>
              </w:rPr>
              <w:t>contrato</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Microsoft Dynamics CRM para Outlook</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cs="Tahoma"/>
                <w:noProof/>
                <w:sz w:val="13"/>
                <w:szCs w:val="13"/>
              </w:rPr>
            </w:pPr>
            <w:r w:rsidRPr="004B208C">
              <w:rPr>
                <w:rFonts w:eastAsia="Times New Roman" w:cs="Tahoma"/>
                <w:color w:val="000000"/>
                <w:sz w:val="13"/>
                <w:szCs w:val="13"/>
              </w:rPr>
              <w:t>Gerenciamento de</w:t>
            </w:r>
            <w:r w:rsidR="004B480F">
              <w:rPr>
                <w:rFonts w:eastAsia="Times New Roman" w:cs="Tahoma"/>
                <w:color w:val="000000"/>
                <w:sz w:val="13"/>
                <w:szCs w:val="13"/>
              </w:rPr>
              <w:t> </w:t>
            </w:r>
            <w:r w:rsidRPr="004B208C">
              <w:rPr>
                <w:rFonts w:eastAsia="Times New Roman" w:cs="Tahoma"/>
                <w:color w:val="000000"/>
                <w:sz w:val="13"/>
                <w:szCs w:val="13"/>
              </w:rPr>
              <w:t>território</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4B208C" w:rsidRDefault="00BF2FFA" w:rsidP="004E6530">
            <w:pPr>
              <w:spacing w:before="20" w:after="20"/>
              <w:rPr>
                <w:rFonts w:eastAsia="Times New Roman" w:cs="Tahoma"/>
                <w:color w:val="000000"/>
                <w:sz w:val="13"/>
                <w:szCs w:val="13"/>
              </w:rPr>
            </w:pPr>
            <w:r w:rsidRPr="004B208C">
              <w:rPr>
                <w:rFonts w:eastAsia="Times New Roman" w:cs="Tahoma"/>
                <w:color w:val="000000"/>
                <w:sz w:val="13"/>
                <w:szCs w:val="13"/>
              </w:rPr>
              <w:t>Aplicativo Microsoft Dynamics CRM Web</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Literatura sobre vendas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Gerenciar relatórios do usuário, gráficos do usuário e painéis do usuário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B480F">
            <w:pPr>
              <w:spacing w:before="20" w:after="20"/>
              <w:rPr>
                <w:rFonts w:eastAsia="Times New Roman" w:cs="Tahoma"/>
                <w:noProof/>
                <w:color w:val="000000"/>
                <w:sz w:val="13"/>
                <w:szCs w:val="13"/>
              </w:rPr>
            </w:pPr>
            <w:r w:rsidRPr="004B208C">
              <w:rPr>
                <w:rFonts w:eastAsia="Times New Roman" w:cs="Tahoma"/>
                <w:color w:val="000000"/>
                <w:sz w:val="13"/>
                <w:szCs w:val="13"/>
              </w:rPr>
              <w:t>Gerenciamento de</w:t>
            </w:r>
            <w:r w:rsidR="004B480F">
              <w:rPr>
                <w:rFonts w:eastAsia="Times New Roman" w:cs="Tahoma"/>
                <w:color w:val="000000"/>
                <w:sz w:val="13"/>
                <w:szCs w:val="13"/>
              </w:rPr>
              <w:t> </w:t>
            </w:r>
            <w:r w:rsidRPr="004B208C">
              <w:rPr>
                <w:rFonts w:eastAsia="Times New Roman" w:cs="Tahoma"/>
                <w:color w:val="000000"/>
                <w:sz w:val="13"/>
                <w:szCs w:val="13"/>
              </w:rPr>
              <w:t>cotas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Executar relatórios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Listas de preços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Criar, atualizar e personalizar Relatórios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Acompanhamento de produtos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Criar e atualizar anúncios</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Gerenciamento de pedidos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Ler dados do aplicativo Microsoft Dynamics CRM</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Gerenciamento de faturas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Painéis do usuário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Acompanhamento de concorrentes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Gráficos do usuário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Qualificar e converter um cliente potencial em uma oportunidade</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sz w:val="13"/>
                <w:szCs w:val="13"/>
              </w:rPr>
              <w:t>Customer Care Accelerator (CCA) Framework</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Converter uma atividade em uma oportunidade</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lastRenderedPageBreak/>
              <w:t>Converter uma atividade em um caso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Acompanhamento da oportunidade</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cs="Tahoma"/>
                <w:sz w:val="13"/>
                <w:szCs w:val="13"/>
              </w:rPr>
            </w:pPr>
            <w:r w:rsidRPr="004B208C">
              <w:rPr>
                <w:rFonts w:eastAsia="Times New Roman" w:cs="Tahoma"/>
                <w:color w:val="000000"/>
                <w:sz w:val="13"/>
                <w:szCs w:val="13"/>
              </w:rPr>
              <w:t>Gerenciamento de caso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sz w:val="12"/>
                <w:szCs w:val="16"/>
              </w:rPr>
            </w:pPr>
            <w:r w:rsidRPr="004B208C">
              <w:rPr>
                <w:rFonts w:eastAsia="Times New Roman" w:cs="Tahoma"/>
                <w:noProof/>
                <w:color w:val="000000"/>
                <w:sz w:val="12"/>
                <w:szCs w:val="16"/>
              </w:rPr>
              <w:drawing>
                <wp:inline distT="0" distB="0" distL="0" distR="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sz w:val="12"/>
                <w:szCs w:val="16"/>
              </w:rPr>
            </w:pPr>
            <w:r w:rsidRPr="004B208C">
              <w:rPr>
                <w:rFonts w:eastAsia="Times New Roman" w:cs="Tahoma"/>
                <w:noProof/>
                <w:color w:val="000000"/>
                <w:sz w:val="12"/>
                <w:szCs w:val="16"/>
              </w:rPr>
              <w:drawing>
                <wp:inline distT="0" distB="0" distL="0" distR="0">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Listas de marketing</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Adicionar ou remover um relacionamento do cliente para um contato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Campanhas rápidas</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cs="Tahoma"/>
                <w:noProof/>
                <w:sz w:val="13"/>
                <w:szCs w:val="13"/>
              </w:rPr>
            </w:pPr>
            <w:r w:rsidRPr="004B208C">
              <w:rPr>
                <w:rFonts w:eastAsia="Times New Roman" w:cs="Tahoma"/>
                <w:color w:val="000000"/>
                <w:sz w:val="13"/>
                <w:szCs w:val="13"/>
              </w:rPr>
              <w:t>Associar uma oportunidade a um contato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cs="Tahoma"/>
                <w:noProof/>
                <w:sz w:val="12"/>
                <w:szCs w:val="16"/>
              </w:rPr>
            </w:pPr>
            <w:r w:rsidRPr="004B208C">
              <w:rPr>
                <w:rFonts w:eastAsia="Times New Roman" w:cs="Tahoma"/>
                <w:noProof/>
                <w:color w:val="000000"/>
                <w:sz w:val="12"/>
                <w:szCs w:val="16"/>
              </w:rPr>
              <w:drawing>
                <wp:inline distT="0" distB="0" distL="0" distR="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cs="Tahoma"/>
                <w:noProof/>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Campanhas de marketing</w:t>
            </w: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r w:rsidR="00BF2FFA" w:rsidRPr="004B208C" w:rsidTr="004B480F">
        <w:trPr>
          <w:cantSplit/>
          <w:trHeight w:val="303"/>
        </w:trPr>
        <w:tc>
          <w:tcPr>
            <w:tcW w:w="1310"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r w:rsidRPr="004B208C">
              <w:rPr>
                <w:rFonts w:eastAsia="Times New Roman" w:cs="Tahoma"/>
                <w:color w:val="000000"/>
                <w:sz w:val="13"/>
                <w:szCs w:val="13"/>
              </w:rPr>
              <w:t>Qualificar e converter um cliente potencial em um contato</w:t>
            </w:r>
          </w:p>
        </w:tc>
        <w:tc>
          <w:tcPr>
            <w:tcW w:w="837"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94"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center"/>
              <w:rPr>
                <w:rFonts w:eastAsia="Times New Roman" w:cs="Tahoma"/>
                <w:noProof/>
                <w:color w:val="000000"/>
                <w:sz w:val="12"/>
                <w:szCs w:val="16"/>
              </w:rPr>
            </w:pPr>
            <w:r w:rsidRPr="004B208C">
              <w:rPr>
                <w:rFonts w:eastAsia="Times New Roman" w:cs="Tahoma"/>
                <w:noProof/>
                <w:color w:val="000000"/>
                <w:sz w:val="12"/>
                <w:szCs w:val="16"/>
              </w:rPr>
              <w:drawing>
                <wp:inline distT="0" distB="0" distL="0" distR="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43"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2"/>
                <w:szCs w:val="16"/>
              </w:rPr>
            </w:pPr>
          </w:p>
        </w:tc>
        <w:tc>
          <w:tcPr>
            <w:tcW w:w="269" w:type="dxa"/>
            <w:tcBorders>
              <w:top w:val="nil"/>
              <w:left w:val="nil"/>
              <w:bottom w:val="nil"/>
              <w:right w:val="nil"/>
            </w:tcBorders>
            <w:shd w:val="clear" w:color="auto" w:fill="auto"/>
          </w:tcPr>
          <w:p w:rsidR="00BF2FFA" w:rsidRPr="004B208C" w:rsidRDefault="00BF2FFA" w:rsidP="004E6530">
            <w:pPr>
              <w:spacing w:before="20" w:after="20"/>
              <w:jc w:val="center"/>
              <w:rPr>
                <w:rFonts w:eastAsia="Times New Roman" w:cs="Tahoma"/>
                <w:noProof/>
                <w:color w:val="000000"/>
                <w:sz w:val="12"/>
                <w:szCs w:val="16"/>
              </w:rPr>
            </w:pPr>
          </w:p>
        </w:tc>
        <w:tc>
          <w:tcPr>
            <w:tcW w:w="1292"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4B208C" w:rsidRDefault="00BF2FFA" w:rsidP="004E6530">
            <w:pPr>
              <w:spacing w:before="20" w:after="20"/>
              <w:rPr>
                <w:rFonts w:eastAsia="Times New Roman" w:cs="Tahoma"/>
                <w:noProof/>
                <w:color w:val="000000"/>
                <w:sz w:val="13"/>
                <w:szCs w:val="13"/>
              </w:rPr>
            </w:pPr>
          </w:p>
        </w:tc>
        <w:tc>
          <w:tcPr>
            <w:tcW w:w="891" w:type="dxa"/>
            <w:tcBorders>
              <w:top w:val="single" w:sz="4" w:space="0" w:color="A5A5A5" w:themeColor="accent3"/>
              <w:left w:val="nil"/>
              <w:bottom w:val="single" w:sz="4" w:space="0" w:color="A5A5A5" w:themeColor="accent3"/>
              <w:right w:val="nil"/>
            </w:tcBorders>
            <w:vAlign w:val="center"/>
          </w:tcPr>
          <w:p w:rsidR="00BF2FFA" w:rsidRPr="004B208C" w:rsidRDefault="00BF2FFA" w:rsidP="004E6530">
            <w:pPr>
              <w:spacing w:before="20" w:after="20"/>
              <w:jc w:val="right"/>
              <w:rPr>
                <w:rFonts w:eastAsia="Times New Roman" w:cs="Tahoma"/>
                <w:noProof/>
                <w:color w:val="000000"/>
                <w:sz w:val="12"/>
                <w:szCs w:val="16"/>
              </w:rPr>
            </w:pPr>
          </w:p>
        </w:tc>
        <w:tc>
          <w:tcPr>
            <w:tcW w:w="594"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4B208C" w:rsidRDefault="00BF2FFA" w:rsidP="004E6530">
            <w:pPr>
              <w:spacing w:before="20" w:after="20"/>
              <w:jc w:val="center"/>
              <w:rPr>
                <w:rFonts w:eastAsia="Times New Roman" w:cs="Tahoma"/>
                <w:noProof/>
                <w:color w:val="000000"/>
                <w:sz w:val="14"/>
                <w:szCs w:val="16"/>
              </w:rPr>
            </w:pPr>
          </w:p>
        </w:tc>
      </w:tr>
    </w:tbl>
    <w:p w:rsidR="000F4095" w:rsidRPr="004B480F" w:rsidRDefault="000F4095" w:rsidP="00BF2FFA">
      <w:pPr>
        <w:spacing w:before="80"/>
        <w:ind w:left="900"/>
        <w:rPr>
          <w:rFonts w:cs="Tahoma"/>
          <w:sz w:val="12"/>
          <w:szCs w:val="12"/>
        </w:rPr>
      </w:pPr>
      <w:r w:rsidRPr="004B480F">
        <w:rPr>
          <w:rFonts w:cs="Tahoma"/>
          <w:sz w:val="12"/>
          <w:szCs w:val="12"/>
        </w:rPr>
        <w:t xml:space="preserve"> </w:t>
      </w:r>
      <w:r w:rsidRPr="004B480F">
        <w:rPr>
          <w:rFonts w:eastAsia="Times New Roman" w:cs="Tahoma"/>
          <w:color w:val="000000"/>
          <w:sz w:val="12"/>
          <w:szCs w:val="12"/>
        </w:rPr>
        <w:t>*As ações podem ser executadas somente em registros correspondentes a entidades incluídas nos direitos de uso</w:t>
      </w:r>
    </w:p>
    <w:p w:rsidR="00047874" w:rsidRDefault="000F4095" w:rsidP="00BF2FFA">
      <w:pPr>
        <w:ind w:left="900"/>
        <w:rPr>
          <w:rFonts w:eastAsia="Times New Roman" w:cs="Tahoma"/>
          <w:color w:val="000000"/>
          <w:sz w:val="12"/>
          <w:szCs w:val="12"/>
        </w:rPr>
      </w:pPr>
      <w:r w:rsidRPr="004B480F">
        <w:rPr>
          <w:rFonts w:eastAsia="Times New Roman" w:cs="Tahoma"/>
          <w:color w:val="000000"/>
          <w:sz w:val="12"/>
          <w:szCs w:val="12"/>
        </w:rPr>
        <w:t>**O uso do Yammer no aplicativo Microsoft Dynamics CRM exige uma licença do Yammer Enterprise (adquirida separadamente)</w:t>
      </w:r>
    </w:p>
    <w:p w:rsidR="009803C5" w:rsidRPr="009803C5" w:rsidRDefault="009803C5" w:rsidP="009803C5">
      <w:pPr>
        <w:rPr>
          <w:rFonts w:cs="Tahoma"/>
        </w:rPr>
      </w:pPr>
    </w:p>
    <w:p w:rsidR="009803C5" w:rsidRPr="009803C5" w:rsidRDefault="009803C5" w:rsidP="009803C5">
      <w:pPr>
        <w:rPr>
          <w:rFonts w:cs="Tahoma"/>
        </w:rPr>
      </w:pPr>
    </w:p>
    <w:p w:rsidR="0085774C" w:rsidRPr="004B208C" w:rsidRDefault="0085774C" w:rsidP="0085774C">
      <w:pPr>
        <w:pStyle w:val="Heading3"/>
        <w:keepNext/>
        <w:rPr>
          <w:rFonts w:ascii="Tahoma" w:hAnsi="Tahoma" w:cs="Tahoma"/>
        </w:rPr>
      </w:pPr>
      <w:bookmarkStart w:id="1340" w:name="_68_Microsoft_Dynamics"/>
      <w:bookmarkStart w:id="1341" w:name="_Toc336338328"/>
      <w:bookmarkStart w:id="1342" w:name="_Toc370981446"/>
      <w:bookmarkEnd w:id="1340"/>
      <w:r w:rsidRPr="004B208C">
        <w:rPr>
          <w:rFonts w:ascii="Tahoma" w:hAnsi="Tahoma" w:cs="Tahoma"/>
          <w:color w:val="F66400"/>
          <w:sz w:val="22"/>
          <w:vertAlign w:val="superscript"/>
        </w:rPr>
        <w:t>72</w:t>
      </w:r>
      <w:r w:rsidRPr="004B208C">
        <w:rPr>
          <w:rFonts w:ascii="Tahoma" w:hAnsi="Tahoma" w:cs="Tahoma"/>
          <w:color w:val="F66400"/>
          <w:sz w:val="22"/>
        </w:rPr>
        <w:t xml:space="preserve"> Microsoft Dynamics CRM 2011 External Connector</w:t>
      </w:r>
      <w:bookmarkEnd w:id="1342"/>
    </w:p>
    <w:p w:rsidR="000F4095" w:rsidRPr="004B208C" w:rsidRDefault="000F4095" w:rsidP="000F4095">
      <w:pPr>
        <w:keepNext/>
        <w:spacing w:after="60"/>
        <w:rPr>
          <w:rFonts w:cs="Tahoma"/>
        </w:rPr>
      </w:pPr>
    </w:p>
    <w:p w:rsidR="000F4095" w:rsidRPr="004B208C" w:rsidRDefault="000F4095" w:rsidP="000F4095">
      <w:pPr>
        <w:spacing w:after="60"/>
        <w:ind w:left="720"/>
        <w:rPr>
          <w:rFonts w:cs="Tahoma"/>
        </w:rPr>
      </w:pPr>
      <w:r w:rsidRPr="004B208C">
        <w:rPr>
          <w:rFonts w:cs="Tahoma"/>
          <w:b/>
          <w:color w:val="000000"/>
        </w:rPr>
        <w:t>Outorgas de licença associadas ao término da validade do Microsoft Dynamics CRM 2011 External Connector</w:t>
      </w:r>
    </w:p>
    <w:p w:rsidR="000F4095" w:rsidRPr="004B208C" w:rsidRDefault="000F4095" w:rsidP="000F4095">
      <w:pPr>
        <w:ind w:left="720"/>
        <w:rPr>
          <w:rFonts w:cs="Tahoma"/>
        </w:rPr>
      </w:pPr>
      <w:r w:rsidRPr="004B208C">
        <w:rPr>
          <w:rFonts w:cs="Tahoma"/>
          <w:color w:val="000000"/>
        </w:rPr>
        <w:t>O Microsoft Dynamics CRM 2011 External Connector será a última versão do Microsoft Dynamics CRM External Connector. Aos clientes de licenciamento por volume com Software Assurance para licença do Microsoft Dynamics CRM 2011 External Connector em 1</w:t>
      </w:r>
      <w:r w:rsidRPr="004B208C">
        <w:rPr>
          <w:rFonts w:cs="Tahoma"/>
          <w:color w:val="000000"/>
          <w:vertAlign w:val="superscript"/>
        </w:rPr>
        <w:t>o</w:t>
      </w:r>
      <w:r w:rsidRPr="004B208C">
        <w:rPr>
          <w:rFonts w:cs="Tahoma"/>
          <w:color w:val="000000"/>
        </w:rPr>
        <w:t xml:space="preserve"> de outubro de 2013 ou posterior (“Licenças de Qualificação”) será concedida uma licença para Microsoft Dynamics CRM 2013 Server para cada licença de</w:t>
      </w:r>
      <w:r w:rsidR="004B480F">
        <w:rPr>
          <w:rFonts w:cs="Tahoma"/>
          <w:color w:val="000000"/>
        </w:rPr>
        <w:t> </w:t>
      </w:r>
      <w:r w:rsidRPr="004B208C">
        <w:rPr>
          <w:rFonts w:cs="Tahoma"/>
          <w:color w:val="000000"/>
        </w:rPr>
        <w:t>qualificação do Microsoft Dynamics CRM 2011 External Connector.</w:t>
      </w:r>
    </w:p>
    <w:p w:rsidR="000F4095" w:rsidRPr="004B208C" w:rsidRDefault="000F4095" w:rsidP="000F4095">
      <w:pPr>
        <w:spacing w:after="100" w:afterAutospacing="1" w:line="276" w:lineRule="auto"/>
        <w:ind w:left="720"/>
        <w:contextualSpacing/>
        <w:rPr>
          <w:rFonts w:cs="Tahoma"/>
        </w:rPr>
      </w:pPr>
    </w:p>
    <w:p w:rsidR="000F4095" w:rsidRPr="004B208C" w:rsidRDefault="000F4095" w:rsidP="000F4095">
      <w:pPr>
        <w:ind w:left="720"/>
        <w:rPr>
          <w:rFonts w:cs="Tahoma"/>
        </w:rPr>
      </w:pPr>
      <w:r w:rsidRPr="004B208C">
        <w:rPr>
          <w:rFonts w:eastAsia="Calibri" w:cs="Tahoma"/>
          <w:szCs w:val="18"/>
        </w:rPr>
        <w:t>A cobertura do Software Assurance incluída com a concessão supracitada expira quando a cobertura correspondente nas Licenças Qualificadas expirar. Mediante a expiração da cobertura do Software Assurance para as licenças de qualificação, o cliente poderá renovar o Software Assurance nas licenças concedidas.</w:t>
      </w:r>
    </w:p>
    <w:p w:rsidR="000F4095" w:rsidRPr="004B480F" w:rsidRDefault="000F4095" w:rsidP="000F4095">
      <w:pPr>
        <w:pStyle w:val="ListParagraph"/>
        <w:contextualSpacing w:val="0"/>
        <w:rPr>
          <w:rFonts w:ascii="Tahoma" w:hAnsi="Tahoma" w:cs="Tahoma"/>
          <w:sz w:val="18"/>
          <w:szCs w:val="18"/>
        </w:rPr>
      </w:pPr>
    </w:p>
    <w:p w:rsidR="000F4095" w:rsidRPr="004B480F" w:rsidRDefault="000F4095" w:rsidP="000F4095">
      <w:pPr>
        <w:pStyle w:val="ListParagraph"/>
        <w:contextualSpacing w:val="0"/>
        <w:rPr>
          <w:rFonts w:ascii="Tahoma" w:hAnsi="Tahoma" w:cs="Tahoma"/>
          <w:sz w:val="18"/>
          <w:szCs w:val="18"/>
        </w:rPr>
      </w:pPr>
      <w:r w:rsidRPr="004B480F">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0F4095" w:rsidRPr="004B480F" w:rsidRDefault="000F4095" w:rsidP="000F4095">
      <w:pPr>
        <w:pStyle w:val="ListParagraph"/>
        <w:contextualSpacing w:val="0"/>
        <w:rPr>
          <w:rFonts w:ascii="Tahoma" w:hAnsi="Tahoma" w:cs="Tahoma"/>
          <w:sz w:val="18"/>
          <w:szCs w:val="18"/>
        </w:rPr>
      </w:pPr>
    </w:p>
    <w:p w:rsidR="000F4095" w:rsidRPr="004B480F" w:rsidRDefault="000F4095" w:rsidP="000F4095">
      <w:pPr>
        <w:pStyle w:val="ListParagraph"/>
        <w:contextualSpacing w:val="0"/>
        <w:rPr>
          <w:rFonts w:ascii="Tahoma" w:hAnsi="Tahoma" w:cs="Tahoma"/>
          <w:sz w:val="18"/>
          <w:szCs w:val="18"/>
        </w:rPr>
      </w:pPr>
      <w:r w:rsidRPr="004B480F">
        <w:rPr>
          <w:rFonts w:ascii="Tahoma" w:eastAsia="Calibri" w:hAnsi="Tahoma" w:cs="Tahoma"/>
          <w:sz w:val="18"/>
          <w:szCs w:val="18"/>
        </w:rPr>
        <w:t>Para cada Licença de Qualificação adquirida de acordo com a</w:t>
      </w:r>
      <w:r w:rsidR="00172F11" w:rsidRPr="004B480F">
        <w:rPr>
          <w:rFonts w:ascii="Tahoma" w:eastAsia="Calibri" w:hAnsi="Tahoma" w:cs="Tahoma"/>
          <w:sz w:val="18"/>
          <w:szCs w:val="18"/>
        </w:rPr>
        <w:t xml:space="preserve"> </w:t>
      </w:r>
      <w:r w:rsidRPr="004B480F">
        <w:rPr>
          <w:rFonts w:ascii="Tahoma" w:eastAsia="Calibri" w:hAnsi="Tahoma" w:cs="Tahoma"/>
          <w:sz w:val="18"/>
          <w:szCs w:val="18"/>
        </w:rPr>
        <w:t>Enterprise Subscription, Assinatura Campus e</w:t>
      </w:r>
      <w:r w:rsidR="004B480F">
        <w:rPr>
          <w:rFonts w:ascii="Tahoma" w:eastAsia="Calibri" w:hAnsi="Tahoma" w:cs="Tahoma"/>
          <w:sz w:val="18"/>
          <w:szCs w:val="18"/>
        </w:rPr>
        <w:t> </w:t>
      </w:r>
      <w:r w:rsidRPr="004B480F">
        <w:rPr>
          <w:rFonts w:ascii="Tahoma" w:eastAsia="Calibri" w:hAnsi="Tahoma" w:cs="Tahoma"/>
          <w:sz w:val="18"/>
          <w:szCs w:val="18"/>
        </w:rPr>
        <w:t>Schools e Open Value Subscription, um cliente poderá comprar uma licença do Microsoft Dynamics CRM 2013 Server, conforme cotado.</w:t>
      </w:r>
    </w:p>
    <w:p w:rsidR="000F4095" w:rsidRPr="004B480F" w:rsidRDefault="000F4095" w:rsidP="000F4095">
      <w:pPr>
        <w:ind w:left="720"/>
        <w:rPr>
          <w:rFonts w:cs="Tahoma"/>
          <w:szCs w:val="18"/>
        </w:rPr>
      </w:pPr>
    </w:p>
    <w:p w:rsidR="000F4095" w:rsidRPr="004B208C" w:rsidRDefault="000F4095" w:rsidP="000F4095">
      <w:pPr>
        <w:ind w:left="720"/>
        <w:rPr>
          <w:rFonts w:cs="Tahoma"/>
        </w:rPr>
      </w:pPr>
      <w:r w:rsidRPr="004B480F">
        <w:rPr>
          <w:rFonts w:eastAsia="Calibri" w:cs="Tahoma"/>
          <w:szCs w:val="18"/>
        </w:rPr>
        <w:t>Na atualização para as licenças do Microsoft Dynamics CRM 2013 Server fornecidas sob esta concessão, as</w:t>
      </w:r>
      <w:r w:rsidR="004B480F">
        <w:rPr>
          <w:rFonts w:eastAsia="Calibri" w:cs="Tahoma"/>
          <w:szCs w:val="18"/>
        </w:rPr>
        <w:t> </w:t>
      </w:r>
      <w:r w:rsidRPr="004B480F">
        <w:rPr>
          <w:rFonts w:eastAsia="Calibri" w:cs="Tahoma"/>
          <w:szCs w:val="18"/>
        </w:rPr>
        <w:t>Licenças de Qualificação existent</w:t>
      </w:r>
      <w:r w:rsidRPr="004B208C">
        <w:rPr>
          <w:rFonts w:eastAsia="Calibri" w:cs="Tahoma"/>
          <w:szCs w:val="18"/>
        </w:rPr>
        <w:t>es do Microsoft Dynamics CRM 2011 External Connector do cliente não</w:t>
      </w:r>
      <w:r w:rsidR="004B480F">
        <w:rPr>
          <w:rFonts w:eastAsia="Calibri" w:cs="Tahoma"/>
          <w:szCs w:val="18"/>
        </w:rPr>
        <w:t> </w:t>
      </w:r>
      <w:r w:rsidRPr="004B208C">
        <w:rPr>
          <w:rFonts w:eastAsia="Calibri" w:cs="Tahoma"/>
          <w:szCs w:val="18"/>
        </w:rPr>
        <w:t>serão mais válidas.</w:t>
      </w:r>
    </w:p>
    <w:p w:rsidR="00D57009" w:rsidRDefault="00D57009">
      <w:pPr>
        <w:rPr>
          <w:rFonts w:cs="Tahoma"/>
        </w:rPr>
      </w:pPr>
    </w:p>
    <w:p w:rsidR="004B480F" w:rsidRPr="004B208C" w:rsidRDefault="004B480F">
      <w:pPr>
        <w:rPr>
          <w:rFonts w:cs="Tahoma"/>
        </w:rPr>
      </w:pPr>
    </w:p>
    <w:p w:rsidR="0034016E" w:rsidRPr="004B208C" w:rsidRDefault="0085774C" w:rsidP="0034016E">
      <w:pPr>
        <w:pStyle w:val="Heading3"/>
        <w:rPr>
          <w:rFonts w:ascii="Tahoma" w:hAnsi="Tahoma" w:cs="Tahoma"/>
        </w:rPr>
      </w:pPr>
      <w:bookmarkStart w:id="1343" w:name="_70_Microsoft_Dynamics"/>
      <w:bookmarkStart w:id="1344" w:name="_73_Microsoft_Dynamics"/>
      <w:bookmarkStart w:id="1345" w:name="_69_Office_365"/>
      <w:bookmarkStart w:id="1346" w:name="_69_68_Office"/>
      <w:bookmarkStart w:id="1347" w:name="_71_Office_365_1"/>
      <w:bookmarkStart w:id="1348" w:name="_Toc336338329"/>
      <w:bookmarkStart w:id="1349" w:name="Srv_70Office365PlanE1"/>
      <w:bookmarkStart w:id="1350" w:name="_Toc370981447"/>
      <w:bookmarkEnd w:id="1333"/>
      <w:bookmarkEnd w:id="1334"/>
      <w:bookmarkEnd w:id="1341"/>
      <w:bookmarkEnd w:id="1343"/>
      <w:bookmarkEnd w:id="1344"/>
      <w:bookmarkEnd w:id="1345"/>
      <w:bookmarkEnd w:id="1346"/>
      <w:bookmarkEnd w:id="1347"/>
      <w:r w:rsidRPr="004B208C">
        <w:rPr>
          <w:rFonts w:ascii="Tahoma" w:hAnsi="Tahoma" w:cs="Tahoma"/>
          <w:caps/>
          <w:color w:val="F66400"/>
          <w:sz w:val="22"/>
          <w:vertAlign w:val="superscript"/>
        </w:rPr>
        <w:t>73</w:t>
      </w:r>
      <w:r w:rsidRPr="004B208C">
        <w:rPr>
          <w:rFonts w:ascii="Tahoma" w:hAnsi="Tahoma" w:cs="Tahoma"/>
          <w:color w:val="F66400"/>
          <w:sz w:val="22"/>
        </w:rPr>
        <w:t xml:space="preserve"> Microsoft Dynamics CRM Online</w:t>
      </w:r>
      <w:bookmarkEnd w:id="1350"/>
    </w:p>
    <w:p w:rsidR="0034016E" w:rsidRPr="009803C5" w:rsidRDefault="0034016E" w:rsidP="0034016E">
      <w:pPr>
        <w:pStyle w:val="Heading3"/>
        <w:rPr>
          <w:rFonts w:ascii="Tahoma" w:hAnsi="Tahoma" w:cs="Tahoma"/>
          <w:b w:val="0"/>
          <w:sz w:val="18"/>
          <w:szCs w:val="18"/>
        </w:rPr>
      </w:pPr>
    </w:p>
    <w:p w:rsidR="0034016E" w:rsidRPr="004B208C" w:rsidRDefault="0034016E" w:rsidP="0034016E">
      <w:pPr>
        <w:ind w:left="720"/>
        <w:rPr>
          <w:rFonts w:cs="Tahoma"/>
        </w:rPr>
      </w:pPr>
      <w:r w:rsidRPr="004B208C">
        <w:rPr>
          <w:rFonts w:cs="Tahoma"/>
          <w:b/>
          <w:color w:val="000000"/>
          <w:szCs w:val="18"/>
        </w:rPr>
        <w:t>Países em que o Microsoft Dynamics CRM Online está Disponível</w:t>
      </w:r>
    </w:p>
    <w:p w:rsidR="0034016E" w:rsidRPr="004B208C" w:rsidRDefault="0034016E" w:rsidP="0034016E">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4B208C" w:rsidTr="004B480F">
        <w:trPr>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4B208C" w:rsidRDefault="0034016E" w:rsidP="004B480F">
            <w:pPr>
              <w:jc w:val="center"/>
              <w:rPr>
                <w:rFonts w:cs="Tahoma"/>
                <w:b/>
                <w:bCs/>
                <w:szCs w:val="20"/>
              </w:rPr>
            </w:pPr>
            <w:r w:rsidRPr="004B208C">
              <w:rPr>
                <w:rFonts w:cs="Tahoma"/>
                <w:b/>
                <w:bCs/>
                <w:szCs w:val="20"/>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4B208C" w:rsidRDefault="0034016E" w:rsidP="004B480F">
            <w:pPr>
              <w:jc w:val="center"/>
              <w:rPr>
                <w:rFonts w:cs="Tahoma"/>
                <w:b/>
                <w:bCs/>
                <w:szCs w:val="20"/>
              </w:rPr>
            </w:pPr>
            <w:r w:rsidRPr="004B208C">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4B208C" w:rsidRDefault="0034016E" w:rsidP="004B480F">
            <w:pPr>
              <w:jc w:val="center"/>
              <w:rPr>
                <w:rFonts w:cs="Tahoma"/>
                <w:b/>
                <w:bCs/>
                <w:szCs w:val="20"/>
              </w:rPr>
            </w:pPr>
            <w:r w:rsidRPr="004B208C">
              <w:rPr>
                <w:rFonts w:cs="Tahoma"/>
                <w:b/>
                <w:bCs/>
                <w:szCs w:val="20"/>
              </w:rPr>
              <w:t>Ásia-Pacífico</w:t>
            </w:r>
          </w:p>
        </w:tc>
      </w:tr>
      <w:tr w:rsidR="0034016E" w:rsidRPr="004B208C"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color w:val="000000"/>
                <w:szCs w:val="20"/>
              </w:rPr>
            </w:pPr>
            <w:r w:rsidRPr="004B208C">
              <w:rPr>
                <w:rFonts w:cs="Tahoma"/>
              </w:rPr>
              <w:t>Brasil</w:t>
            </w:r>
          </w:p>
        </w:tc>
        <w:tc>
          <w:tcPr>
            <w:tcW w:w="2670" w:type="dxa"/>
            <w:tcBorders>
              <w:top w:val="nil"/>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Áustria</w:t>
            </w:r>
          </w:p>
        </w:tc>
        <w:tc>
          <w:tcPr>
            <w:tcW w:w="2670" w:type="dxa"/>
            <w:tcBorders>
              <w:top w:val="nil"/>
              <w:left w:val="single" w:sz="4" w:space="0" w:color="auto"/>
              <w:bottom w:val="single" w:sz="4" w:space="0" w:color="000000"/>
              <w:right w:val="single" w:sz="8" w:space="0" w:color="000000"/>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Austrália</w:t>
            </w: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color w:val="000000"/>
                <w:szCs w:val="20"/>
              </w:rPr>
            </w:pPr>
            <w:r w:rsidRPr="004B208C">
              <w:rPr>
                <w:rFonts w:cs="Tahoma"/>
              </w:rPr>
              <w:t>Canadá</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Hong Kong</w:t>
            </w: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color w:val="000000"/>
                <w:szCs w:val="20"/>
              </w:rPr>
            </w:pPr>
            <w:r w:rsidRPr="004B208C">
              <w:rPr>
                <w:rFonts w:cs="Tahoma"/>
              </w:rPr>
              <w:t>Colômbia</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Índia</w:t>
            </w: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rPr>
            </w:pPr>
            <w:r w:rsidRPr="004B208C">
              <w:rPr>
                <w:rFonts w:cs="Tahoma"/>
              </w:rPr>
              <w:t>Costa Rica</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Japão</w:t>
            </w: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rPr>
            </w:pPr>
            <w:r w:rsidRPr="004B208C">
              <w:rPr>
                <w:rFonts w:cs="Tahoma"/>
              </w:rPr>
              <w:t>Chile</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Coreia</w:t>
            </w: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rPr>
            </w:pPr>
            <w:r w:rsidRPr="004B208C">
              <w:rPr>
                <w:rFonts w:cs="Tahoma"/>
              </w:rPr>
              <w:lastRenderedPageBreak/>
              <w:t>México</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Finlândia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Malásia</w:t>
            </w: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rPr>
            </w:pPr>
            <w:r w:rsidRPr="004B208C">
              <w:rPr>
                <w:rFonts w:cs="Tahoma"/>
              </w:rPr>
              <w:t>Peru</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França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Nova Zelândia</w:t>
            </w: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rPr>
            </w:pPr>
            <w:r w:rsidRPr="004B208C">
              <w:rPr>
                <w:rFonts w:cs="Tahoma"/>
              </w:rPr>
              <w:t>Porto Rico</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Alemanha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r w:rsidRPr="004B208C">
              <w:rPr>
                <w:rFonts w:ascii="Tahoma" w:hAnsi="Tahoma" w:cs="Tahoma"/>
                <w:color w:val="000000"/>
                <w:sz w:val="18"/>
                <w:szCs w:val="20"/>
              </w:rPr>
              <w:t>Cingapura</w:t>
            </w: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rPr>
            </w:pPr>
            <w:r w:rsidRPr="004B208C">
              <w:rPr>
                <w:rFonts w:cs="Tahoma"/>
              </w:rPr>
              <w:t>Trinidad e Tobago</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Grécia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jc w:val="center"/>
              <w:rPr>
                <w:rFonts w:cs="Tahoma"/>
              </w:rPr>
            </w:pPr>
            <w:r w:rsidRPr="004B208C">
              <w:rPr>
                <w:rFonts w:cs="Tahoma"/>
              </w:rPr>
              <w:t>Estados Unidos</w:t>
            </w: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color w:val="000000"/>
                <w:sz w:val="18"/>
                <w:szCs w:val="18"/>
              </w:rPr>
            </w:pPr>
            <w:r w:rsidRPr="004B208C">
              <w:rPr>
                <w:rFonts w:ascii="Tahoma" w:hAnsi="Tahoma" w:cs="Tahoma"/>
                <w:sz w:val="18"/>
                <w:szCs w:val="18"/>
              </w:rPr>
              <w:t>Hungria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Itália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Países Baixos</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Polônia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Romênia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Rússia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Espanha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Suécia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Suíça</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r w:rsidR="0034016E" w:rsidRPr="004B208C"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4B208C" w:rsidRDefault="0034016E" w:rsidP="004B480F">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4B208C" w:rsidRDefault="0034016E" w:rsidP="004B480F">
            <w:pPr>
              <w:pStyle w:val="ColorfulList-Accent11"/>
              <w:spacing w:line="276" w:lineRule="auto"/>
              <w:ind w:left="0"/>
              <w:jc w:val="center"/>
              <w:rPr>
                <w:rFonts w:ascii="Tahoma" w:hAnsi="Tahoma" w:cs="Tahoma"/>
                <w:sz w:val="18"/>
                <w:szCs w:val="18"/>
              </w:rPr>
            </w:pPr>
            <w:r w:rsidRPr="004B208C">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34016E" w:rsidRPr="004B208C" w:rsidRDefault="0034016E" w:rsidP="004B480F">
            <w:pPr>
              <w:pStyle w:val="ColorfulList-Accent11"/>
              <w:spacing w:line="276" w:lineRule="auto"/>
              <w:ind w:left="540"/>
              <w:jc w:val="center"/>
              <w:rPr>
                <w:rFonts w:ascii="Tahoma" w:hAnsi="Tahoma" w:cs="Tahoma"/>
                <w:color w:val="000000"/>
                <w:sz w:val="18"/>
                <w:szCs w:val="20"/>
              </w:rPr>
            </w:pPr>
          </w:p>
        </w:tc>
      </w:tr>
    </w:tbl>
    <w:p w:rsidR="0034016E" w:rsidRPr="004B208C" w:rsidRDefault="0034016E" w:rsidP="0034016E">
      <w:pPr>
        <w:ind w:left="540"/>
        <w:rPr>
          <w:rFonts w:cs="Tahoma"/>
        </w:rPr>
      </w:pPr>
    </w:p>
    <w:p w:rsidR="0034016E" w:rsidRPr="004B208C" w:rsidRDefault="0034016E" w:rsidP="0034016E">
      <w:pPr>
        <w:spacing w:after="60"/>
        <w:ind w:left="720"/>
        <w:rPr>
          <w:rFonts w:cs="Tahoma"/>
        </w:rPr>
      </w:pPr>
      <w:r w:rsidRPr="004B208C">
        <w:rPr>
          <w:rFonts w:cs="Tahoma"/>
          <w:b/>
          <w:bCs/>
          <w:color w:val="000000"/>
          <w:szCs w:val="18"/>
        </w:rPr>
        <w:t>Contrato School e Contrato para Campus (CASA)</w:t>
      </w:r>
    </w:p>
    <w:p w:rsidR="0034016E" w:rsidRPr="009803C5" w:rsidRDefault="0034016E" w:rsidP="0034016E">
      <w:pPr>
        <w:ind w:left="720"/>
        <w:rPr>
          <w:rFonts w:cs="Tahoma"/>
          <w:spacing w:val="-2"/>
        </w:rPr>
      </w:pPr>
      <w:r w:rsidRPr="009803C5">
        <w:rPr>
          <w:rFonts w:cs="Tahoma"/>
          <w:color w:val="000000"/>
          <w:spacing w:val="-2"/>
          <w:szCs w:val="18"/>
        </w:rPr>
        <w:t>As licenças de assinatura do Microsoft Dynamics CRM Online vendidas sob o CASA poderão ser adquiridas para toda a Instituição ou não extensivas a toda a Instituição.</w:t>
      </w:r>
      <w:r w:rsidR="00172F11" w:rsidRPr="009803C5">
        <w:rPr>
          <w:rFonts w:cs="Tahoma"/>
          <w:color w:val="000000"/>
          <w:spacing w:val="-2"/>
          <w:szCs w:val="18"/>
        </w:rPr>
        <w:t xml:space="preserve"> </w:t>
      </w:r>
      <w:r w:rsidRPr="009803C5">
        <w:rPr>
          <w:rFonts w:cs="Tahoma"/>
          <w:color w:val="000000"/>
          <w:spacing w:val="-2"/>
          <w:szCs w:val="18"/>
        </w:rPr>
        <w:t>As licenças de assinatura deverão ser licenciadas para cada usuário.</w:t>
      </w:r>
      <w:r w:rsidR="00172F11" w:rsidRPr="009803C5">
        <w:rPr>
          <w:rFonts w:cs="Tahoma"/>
          <w:color w:val="000000"/>
          <w:spacing w:val="-2"/>
          <w:szCs w:val="18"/>
        </w:rPr>
        <w:t xml:space="preserve"> </w:t>
      </w:r>
      <w:r w:rsidRPr="009803C5">
        <w:rPr>
          <w:rFonts w:cs="Tahoma"/>
          <w:color w:val="000000"/>
          <w:spacing w:val="-2"/>
          <w:szCs w:val="18"/>
        </w:rPr>
        <w:t>Caso sejam necessárias Licenças de Assinatura de Usuário adicionais para acessar o Microsoft Dynamics CRM, um número igual de Licenças de Assinatura de Usuário deverá ser solicitado.</w:t>
      </w:r>
    </w:p>
    <w:p w:rsidR="0034016E" w:rsidRPr="004B208C" w:rsidRDefault="0034016E" w:rsidP="0034016E">
      <w:pPr>
        <w:ind w:left="720"/>
        <w:rPr>
          <w:rFonts w:cs="Tahoma"/>
        </w:rPr>
      </w:pPr>
    </w:p>
    <w:p w:rsidR="0034016E" w:rsidRPr="004B208C" w:rsidRDefault="0034016E" w:rsidP="0034016E">
      <w:pPr>
        <w:keepNext/>
        <w:spacing w:after="60"/>
        <w:ind w:left="720"/>
        <w:rPr>
          <w:rFonts w:cs="Tahoma"/>
        </w:rPr>
      </w:pPr>
      <w:r w:rsidRPr="004B208C">
        <w:rPr>
          <w:rFonts w:cs="Tahoma"/>
          <w:b/>
        </w:rPr>
        <w:t>Microsoft Dynamics CRM Online – Concessão de Integração do Microsoft Dynamics Marketing Online</w:t>
      </w:r>
    </w:p>
    <w:p w:rsidR="0034016E" w:rsidRPr="004B208C" w:rsidRDefault="0034016E" w:rsidP="0034016E">
      <w:pPr>
        <w:ind w:left="720"/>
        <w:rPr>
          <w:rFonts w:cs="Tahoma"/>
        </w:rPr>
      </w:pPr>
      <w:r w:rsidRPr="004B208C">
        <w:rPr>
          <w:rFonts w:cs="Tahoma"/>
        </w:rPr>
        <w:t xml:space="preserve">A renúncia de licença a seguir pode ser aplicada aos usuários licenciados do Microsoft Dynamics Marketing Online com a opção de Atualização e Suporte de Manutenção ativa ao acessar o serviço Microsoft Dynamics CRM Online direta ou indiretamente por meio do Software </w:t>
      </w:r>
      <w:r w:rsidRPr="004B208C">
        <w:rPr>
          <w:rFonts w:cs="Tahoma"/>
          <w:bCs/>
        </w:rPr>
        <w:t xml:space="preserve">MarketingPilot Connector for Microsoft Dynamics CRM </w:t>
      </w:r>
      <w:r w:rsidRPr="004B208C">
        <w:rPr>
          <w:rFonts w:cs="Tahoma"/>
        </w:rPr>
        <w:t>apenas para os fins de sincronização de dados do cliente. Tais usuários não precisarão de uma SL de Usuário do Microsoft Dynamics CRM Online. Esta renúncia poderá ser aplicada até</w:t>
      </w:r>
      <w:r w:rsidRPr="004B208C">
        <w:rPr>
          <w:rFonts w:eastAsia="Calibri" w:cs="Tahoma"/>
        </w:rPr>
        <w:t xml:space="preserve"> </w:t>
      </w:r>
      <w:r w:rsidRPr="004B208C">
        <w:rPr>
          <w:rFonts w:cs="Tahoma"/>
        </w:rPr>
        <w:t>30 de junho de 2014. Depois deste período, a Microsoft reserva para si o direito de exigir SLs de Usuário apropriadas.</w:t>
      </w:r>
    </w:p>
    <w:p w:rsidR="00A04495" w:rsidRPr="004B208C" w:rsidRDefault="00A04495" w:rsidP="007B1734">
      <w:pPr>
        <w:rPr>
          <w:rFonts w:cs="Tahoma"/>
        </w:rPr>
      </w:pPr>
      <w:bookmarkStart w:id="1351" w:name="_66_Microsoft_Dynamics"/>
      <w:bookmarkStart w:id="1352" w:name="_71_Microsoft_Dynamics"/>
      <w:bookmarkStart w:id="1353" w:name="_74_Microsoft_Dynamics"/>
      <w:bookmarkEnd w:id="1351"/>
      <w:bookmarkEnd w:id="1352"/>
      <w:bookmarkEnd w:id="1353"/>
    </w:p>
    <w:p w:rsidR="00F1020A" w:rsidRPr="004B208C" w:rsidRDefault="00F1020A" w:rsidP="007B1734">
      <w:pPr>
        <w:rPr>
          <w:rFonts w:cs="Tahoma"/>
        </w:rPr>
      </w:pPr>
    </w:p>
    <w:p w:rsidR="00A2524E" w:rsidRPr="004B208C" w:rsidRDefault="00A2524E" w:rsidP="00A2524E">
      <w:pPr>
        <w:pStyle w:val="Heading3"/>
        <w:rPr>
          <w:rFonts w:ascii="Tahoma" w:hAnsi="Tahoma" w:cs="Tahoma"/>
        </w:rPr>
      </w:pPr>
      <w:bookmarkStart w:id="1354" w:name="_74_Cupons_de"/>
      <w:bookmarkStart w:id="1355" w:name="_Toc370981448"/>
      <w:bookmarkEnd w:id="1354"/>
      <w:r w:rsidRPr="004B208C">
        <w:rPr>
          <w:rFonts w:ascii="Tahoma" w:hAnsi="Tahoma" w:cs="Tahoma"/>
          <w:caps/>
          <w:color w:val="F66400"/>
          <w:sz w:val="22"/>
          <w:vertAlign w:val="superscript"/>
        </w:rPr>
        <w:t>74</w:t>
      </w:r>
      <w:r w:rsidRPr="004B208C">
        <w:rPr>
          <w:rFonts w:ascii="Tahoma" w:hAnsi="Tahoma" w:cs="Tahoma"/>
          <w:color w:val="F66400"/>
          <w:sz w:val="22"/>
        </w:rPr>
        <w:t xml:space="preserve"> Cupons de Exame do Microsoft Learning MCP</w:t>
      </w:r>
      <w:bookmarkEnd w:id="1355"/>
    </w:p>
    <w:p w:rsidR="00A2524E" w:rsidRPr="004B480F" w:rsidRDefault="00A2524E" w:rsidP="00A2524E">
      <w:pPr>
        <w:pStyle w:val="EndnoteText"/>
        <w:rPr>
          <w:rFonts w:ascii="Tahoma" w:hAnsi="Tahoma" w:cs="Tahoma"/>
          <w:sz w:val="18"/>
          <w:szCs w:val="18"/>
        </w:rPr>
      </w:pPr>
    </w:p>
    <w:p w:rsidR="00A2524E" w:rsidRPr="004B480F" w:rsidRDefault="00A2524E" w:rsidP="00A2524E">
      <w:pPr>
        <w:pStyle w:val="EndnoteText"/>
        <w:ind w:left="720"/>
        <w:rPr>
          <w:rFonts w:ascii="Tahoma" w:hAnsi="Tahoma" w:cs="Tahoma"/>
          <w:sz w:val="18"/>
          <w:szCs w:val="18"/>
        </w:rPr>
      </w:pPr>
      <w:r w:rsidRPr="004B480F">
        <w:rPr>
          <w:rFonts w:ascii="Tahoma" w:hAnsi="Tahoma" w:cs="Tahoma"/>
          <w:sz w:val="18"/>
          <w:szCs w:val="18"/>
        </w:rPr>
        <w:t xml:space="preserve">Todos os cupons são fornecidos de antemão e poderão ser usados a qualquer momento antes de 12 meses contados da data de compra. </w:t>
      </w:r>
      <w:r w:rsidRPr="004B480F">
        <w:rPr>
          <w:rFonts w:ascii="Tahoma" w:hAnsi="Tahoma" w:cs="Tahoma"/>
          <w:bCs/>
          <w:color w:val="000000"/>
          <w:sz w:val="18"/>
          <w:szCs w:val="18"/>
        </w:rPr>
        <w:t>Consulte a</w:t>
      </w:r>
      <w:hyperlink w:anchor="_Section_10_–" w:history="1">
        <w:r w:rsidRPr="004B480F">
          <w:rPr>
            <w:rStyle w:val="Hyperlink"/>
            <w:rFonts w:ascii="Tahoma" w:hAnsi="Tahoma" w:cs="Tahoma"/>
            <w:color w:val="auto"/>
            <w:sz w:val="18"/>
            <w:szCs w:val="18"/>
            <w:u w:val="none"/>
          </w:rPr>
          <w:t xml:space="preserve"> </w:t>
        </w:r>
        <w:r w:rsidRPr="004B480F">
          <w:rPr>
            <w:rStyle w:val="Hyperlink"/>
            <w:rFonts w:ascii="Tahoma" w:hAnsi="Tahoma" w:cs="Tahoma"/>
            <w:sz w:val="18"/>
            <w:szCs w:val="18"/>
          </w:rPr>
          <w:t>Seção 10</w:t>
        </w:r>
      </w:hyperlink>
      <w:r w:rsidRPr="004B480F">
        <w:rPr>
          <w:rFonts w:ascii="Tahoma" w:hAnsi="Tahoma" w:cs="Tahoma"/>
          <w:bCs/>
          <w:color w:val="000000"/>
          <w:sz w:val="18"/>
          <w:szCs w:val="18"/>
        </w:rPr>
        <w:t xml:space="preserve"> para obter informações sobre os termos de pagamento e</w:t>
      </w:r>
      <w:r w:rsidR="004B480F">
        <w:rPr>
          <w:rFonts w:ascii="Tahoma" w:hAnsi="Tahoma" w:cs="Tahoma"/>
          <w:bCs/>
          <w:color w:val="000000"/>
          <w:sz w:val="18"/>
          <w:szCs w:val="18"/>
        </w:rPr>
        <w:t> </w:t>
      </w:r>
      <w:r w:rsidRPr="004B480F">
        <w:rPr>
          <w:rFonts w:ascii="Tahoma" w:hAnsi="Tahoma" w:cs="Tahoma"/>
          <w:bCs/>
          <w:color w:val="000000"/>
          <w:sz w:val="18"/>
          <w:szCs w:val="18"/>
        </w:rPr>
        <w:t xml:space="preserve">preços dos serviços online. </w:t>
      </w:r>
    </w:p>
    <w:p w:rsidR="00A2524E" w:rsidRPr="004B480F" w:rsidRDefault="00A2524E" w:rsidP="00A2524E">
      <w:pPr>
        <w:pStyle w:val="EndnoteText"/>
        <w:ind w:left="720"/>
        <w:rPr>
          <w:rFonts w:ascii="Tahoma" w:hAnsi="Tahoma" w:cs="Tahoma"/>
          <w:sz w:val="18"/>
          <w:szCs w:val="18"/>
        </w:rPr>
      </w:pPr>
    </w:p>
    <w:p w:rsidR="00A2524E" w:rsidRPr="004B480F" w:rsidRDefault="00A2524E" w:rsidP="00A2524E">
      <w:pPr>
        <w:spacing w:after="60"/>
        <w:ind w:left="720"/>
        <w:rPr>
          <w:rFonts w:cs="Tahoma"/>
          <w:szCs w:val="18"/>
        </w:rPr>
      </w:pPr>
      <w:r w:rsidRPr="004B480F">
        <w:rPr>
          <w:rFonts w:cs="Tahoma"/>
          <w:b/>
          <w:color w:val="000000"/>
          <w:szCs w:val="18"/>
        </w:rPr>
        <w:t>Licença do Site de Exame de Certificação do Microsoft Office Specialist (MOS)</w:t>
      </w:r>
    </w:p>
    <w:p w:rsidR="00A2524E" w:rsidRPr="004B480F" w:rsidRDefault="00A2524E" w:rsidP="00A2524E">
      <w:pPr>
        <w:ind w:left="720"/>
        <w:rPr>
          <w:rFonts w:cs="Tahoma"/>
          <w:szCs w:val="18"/>
        </w:rPr>
      </w:pPr>
      <w:r w:rsidRPr="004B480F">
        <w:rPr>
          <w:rFonts w:cs="Tahoma"/>
          <w:color w:val="000000"/>
          <w:szCs w:val="18"/>
        </w:rPr>
        <w:t>Você terá que ser um centro de exames autorizado Certiport para usar a licença do site.</w:t>
      </w:r>
      <w:r w:rsidR="00172F11" w:rsidRPr="004B480F">
        <w:rPr>
          <w:rFonts w:cs="Tahoma"/>
          <w:color w:val="000000"/>
          <w:szCs w:val="18"/>
        </w:rPr>
        <w:t xml:space="preserve"> </w:t>
      </w:r>
      <w:r w:rsidRPr="004B480F">
        <w:rPr>
          <w:rFonts w:cs="Tahoma"/>
          <w:color w:val="000000"/>
          <w:szCs w:val="18"/>
        </w:rPr>
        <w:t>Se você for um centro de exames autorizado Certiport, precisará passar por este processo para se tornar um centro de testes Certiport antes de poder usar a licença do site. A licença do site terminará automaticamente em 12</w:t>
      </w:r>
      <w:r w:rsidR="004B480F">
        <w:rPr>
          <w:rFonts w:cs="Tahoma"/>
          <w:color w:val="000000"/>
          <w:szCs w:val="18"/>
        </w:rPr>
        <w:t> </w:t>
      </w:r>
      <w:r w:rsidRPr="004B480F">
        <w:rPr>
          <w:rFonts w:cs="Tahoma"/>
          <w:color w:val="000000"/>
          <w:szCs w:val="18"/>
        </w:rPr>
        <w:t>meses a partir da data de compra. Quaisquer exames de certificação não usados serão perdidos.</w:t>
      </w:r>
    </w:p>
    <w:p w:rsidR="00A2524E" w:rsidRPr="004B480F" w:rsidRDefault="00A2524E" w:rsidP="00A2524E">
      <w:pPr>
        <w:pStyle w:val="EndnoteText"/>
        <w:ind w:left="0"/>
        <w:rPr>
          <w:rFonts w:ascii="Tahoma" w:hAnsi="Tahoma" w:cs="Tahoma"/>
          <w:sz w:val="18"/>
          <w:szCs w:val="18"/>
        </w:rPr>
      </w:pPr>
    </w:p>
    <w:p w:rsidR="00A2524E" w:rsidRPr="004B480F" w:rsidRDefault="00A2524E" w:rsidP="00A2524E">
      <w:pPr>
        <w:spacing w:after="60"/>
        <w:ind w:left="720"/>
        <w:rPr>
          <w:rFonts w:cs="Tahoma"/>
          <w:szCs w:val="18"/>
        </w:rPr>
      </w:pPr>
      <w:r w:rsidRPr="004B480F">
        <w:rPr>
          <w:rFonts w:cs="Tahoma"/>
          <w:b/>
          <w:color w:val="000000"/>
          <w:szCs w:val="18"/>
        </w:rPr>
        <w:t>Licença do Site de Exame do Microsoft Technology Associate (MTA)</w:t>
      </w:r>
    </w:p>
    <w:p w:rsidR="00A2524E" w:rsidRPr="004B480F" w:rsidRDefault="00A2524E" w:rsidP="00A2524E">
      <w:pPr>
        <w:ind w:left="720"/>
        <w:rPr>
          <w:rFonts w:cs="Tahoma"/>
          <w:szCs w:val="18"/>
        </w:rPr>
      </w:pPr>
      <w:r w:rsidRPr="004B480F">
        <w:rPr>
          <w:rFonts w:cs="Tahoma"/>
          <w:color w:val="000000"/>
          <w:szCs w:val="18"/>
        </w:rPr>
        <w:t>Você terá que ser um centro de exames autorizado Certiport para usar a licença do site.</w:t>
      </w:r>
      <w:r w:rsidR="00172F11" w:rsidRPr="004B480F">
        <w:rPr>
          <w:rFonts w:cs="Tahoma"/>
          <w:color w:val="000000"/>
          <w:szCs w:val="18"/>
        </w:rPr>
        <w:t xml:space="preserve"> </w:t>
      </w:r>
      <w:r w:rsidRPr="004B480F">
        <w:rPr>
          <w:rFonts w:cs="Tahoma"/>
          <w:color w:val="000000"/>
          <w:szCs w:val="18"/>
        </w:rPr>
        <w:t>Se você for um centro de exames autorizado Certiport, precisará passar por este processo para se tornar um centro de testes Certiport antes de poder usar a licença do site. A licença do site terminará automaticamente em 12</w:t>
      </w:r>
      <w:r w:rsidR="004B480F">
        <w:rPr>
          <w:rFonts w:cs="Tahoma"/>
          <w:color w:val="000000"/>
          <w:szCs w:val="18"/>
        </w:rPr>
        <w:t> </w:t>
      </w:r>
      <w:r w:rsidRPr="004B480F">
        <w:rPr>
          <w:rFonts w:cs="Tahoma"/>
          <w:color w:val="000000"/>
          <w:szCs w:val="18"/>
        </w:rPr>
        <w:t>meses a partir da data de compra. Quaisquer exames de certificação não usados serão perdidos.</w:t>
      </w:r>
    </w:p>
    <w:p w:rsidR="00BE7AC3" w:rsidRPr="004B208C" w:rsidRDefault="00A560B6" w:rsidP="00BE7AC3">
      <w:pPr>
        <w:pStyle w:val="Heading2"/>
        <w:ind w:left="0"/>
        <w:rPr>
          <w:rFonts w:ascii="Tahoma" w:hAnsi="Tahoma" w:cs="Tahoma"/>
        </w:rPr>
      </w:pPr>
      <w:bookmarkStart w:id="1356" w:name="_70_68_Office"/>
      <w:bookmarkStart w:id="1357" w:name="_75_Office_365"/>
      <w:bookmarkStart w:id="1358" w:name="_71_Office_365"/>
      <w:bookmarkStart w:id="1359" w:name="_69_Office_365_1"/>
      <w:bookmarkStart w:id="1360" w:name="_76_Office_365"/>
      <w:bookmarkStart w:id="1361" w:name="_Toc370981449"/>
      <w:bookmarkEnd w:id="1348"/>
      <w:bookmarkEnd w:id="1349"/>
      <w:bookmarkEnd w:id="1356"/>
      <w:bookmarkEnd w:id="1357"/>
      <w:bookmarkEnd w:id="1358"/>
      <w:bookmarkEnd w:id="1359"/>
      <w:bookmarkEnd w:id="1360"/>
      <w:r w:rsidRPr="004B208C">
        <w:rPr>
          <w:rFonts w:ascii="Tahoma" w:hAnsi="Tahoma" w:cs="Tahoma"/>
          <w:caps/>
          <w:color w:val="F66400"/>
          <w:sz w:val="22"/>
          <w:szCs w:val="20"/>
          <w:vertAlign w:val="superscript"/>
        </w:rPr>
        <w:lastRenderedPageBreak/>
        <w:t xml:space="preserve">75 </w:t>
      </w:r>
      <w:r w:rsidRPr="004B208C">
        <w:rPr>
          <w:rFonts w:ascii="Tahoma" w:hAnsi="Tahoma" w:cs="Tahoma"/>
          <w:color w:val="FF6600"/>
          <w:sz w:val="22"/>
          <w:szCs w:val="22"/>
        </w:rPr>
        <w:t>Office 365 Enterprise K1 (SL de Usuário)</w:t>
      </w:r>
      <w:bookmarkEnd w:id="1361"/>
    </w:p>
    <w:p w:rsidR="00BE7AC3" w:rsidRPr="004B208C" w:rsidRDefault="00BE7AC3" w:rsidP="00BE7AC3">
      <w:pPr>
        <w:ind w:left="720"/>
        <w:rPr>
          <w:rFonts w:cs="Tahoma"/>
        </w:rPr>
      </w:pPr>
    </w:p>
    <w:p w:rsidR="00BE7AC3" w:rsidRPr="004B208C" w:rsidRDefault="00BE7AC3" w:rsidP="00BE7AC3">
      <w:pPr>
        <w:ind w:left="720"/>
        <w:rPr>
          <w:rFonts w:cs="Tahoma"/>
        </w:rPr>
      </w:pPr>
      <w:r w:rsidRPr="004B208C">
        <w:rPr>
          <w:rFonts w:cs="Tahoma"/>
          <w:color w:val="000000"/>
          <w:szCs w:val="18"/>
        </w:rPr>
        <w:t>Não obstante quaisquer disposições em contrário nos contratos de licença dos clientes, entre os usuários qualificados não estão incluídos os usuários licenciados para o Quiosque do Exchange Online, Quiosque do</w:t>
      </w:r>
      <w:r w:rsidR="009803C5">
        <w:rPr>
          <w:rFonts w:cs="Tahoma"/>
          <w:color w:val="000000"/>
          <w:szCs w:val="18"/>
        </w:rPr>
        <w:t> </w:t>
      </w:r>
      <w:r w:rsidRPr="004B208C">
        <w:rPr>
          <w:rFonts w:cs="Tahoma"/>
          <w:color w:val="000000"/>
          <w:szCs w:val="18"/>
        </w:rPr>
        <w:t>SharePoint Online nem para o Office 365 Enterprise K1</w:t>
      </w:r>
    </w:p>
    <w:p w:rsidR="00BE7AC3" w:rsidRPr="004B208C" w:rsidRDefault="00BE7AC3" w:rsidP="00BE7AC3">
      <w:pPr>
        <w:ind w:left="720"/>
        <w:rPr>
          <w:rFonts w:cs="Tahoma"/>
        </w:rPr>
      </w:pPr>
    </w:p>
    <w:p w:rsidR="00BE7AC3" w:rsidRPr="004B208C" w:rsidRDefault="00BE7AC3" w:rsidP="00BE7AC3">
      <w:pPr>
        <w:ind w:left="720"/>
        <w:rPr>
          <w:rFonts w:cs="Tahoma"/>
        </w:rPr>
      </w:pPr>
      <w:r w:rsidRPr="004B208C">
        <w:rPr>
          <w:rFonts w:cs="Tahoma"/>
          <w:color w:val="000000"/>
          <w:szCs w:val="18"/>
        </w:rPr>
        <w:t>O Office 365 Enterprise K1 era conhecido anteriormente como Business Productivity Online Deskless Suite (BPOS Deskless).</w:t>
      </w:r>
      <w:r w:rsidR="00172F11">
        <w:rPr>
          <w:rFonts w:cs="Tahoma"/>
          <w:color w:val="000000"/>
          <w:szCs w:val="18"/>
        </w:rPr>
        <w:t xml:space="preserve"> </w:t>
      </w:r>
      <w:r w:rsidRPr="004B208C">
        <w:rPr>
          <w:rFonts w:cs="Tahoma"/>
          <w:color w:val="000000"/>
          <w:szCs w:val="18"/>
        </w:rPr>
        <w:t>Os clientes no Brasil e no Chile que comprarem o Office 365 Enterprise K1 receberão o</w:t>
      </w:r>
      <w:r w:rsidR="004B480F">
        <w:rPr>
          <w:rFonts w:cs="Tahoma"/>
          <w:color w:val="000000"/>
          <w:szCs w:val="18"/>
        </w:rPr>
        <w:t> </w:t>
      </w:r>
      <w:r w:rsidRPr="004B208C">
        <w:rPr>
          <w:rFonts w:cs="Tahoma"/>
          <w:color w:val="000000"/>
          <w:szCs w:val="18"/>
        </w:rPr>
        <w:t>BPOS Deskless.</w:t>
      </w:r>
      <w:r w:rsidR="00172F11">
        <w:rPr>
          <w:rFonts w:cs="Tahoma"/>
          <w:color w:val="000000"/>
          <w:szCs w:val="18"/>
        </w:rPr>
        <w:t xml:space="preserve"> </w:t>
      </w:r>
      <w:r w:rsidRPr="004B208C">
        <w:rPr>
          <w:rFonts w:cs="Tahoma"/>
          <w:color w:val="000000"/>
          <w:szCs w:val="18"/>
        </w:rPr>
        <w:t>Esses clientes poderão migrar para o Office 365 Enterprise K1 posteriormente.</w:t>
      </w:r>
    </w:p>
    <w:p w:rsidR="004B480F" w:rsidRPr="004B208C" w:rsidRDefault="004B480F">
      <w:pPr>
        <w:rPr>
          <w:rFonts w:cs="Tahoma"/>
        </w:rPr>
      </w:pPr>
    </w:p>
    <w:p w:rsidR="00BE7AC3" w:rsidRPr="004B208C" w:rsidRDefault="00BE7AC3" w:rsidP="00BE7AC3">
      <w:pPr>
        <w:spacing w:after="60"/>
        <w:ind w:left="720"/>
        <w:rPr>
          <w:rFonts w:cs="Tahoma"/>
        </w:rPr>
      </w:pPr>
      <w:r w:rsidRPr="004B208C">
        <w:rPr>
          <w:rFonts w:eastAsia="Calibri" w:cs="Tahoma"/>
          <w:b/>
          <w:color w:val="000000"/>
          <w:szCs w:val="18"/>
        </w:rPr>
        <w:t>Nuvem da Comunidade do Governo (Apenas para os Estados Unidos)</w:t>
      </w:r>
    </w:p>
    <w:p w:rsidR="00BE7AC3" w:rsidRPr="004B208C" w:rsidRDefault="00BE7AC3" w:rsidP="00BE7AC3">
      <w:pPr>
        <w:ind w:left="720"/>
        <w:rPr>
          <w:rFonts w:cs="Tahoma"/>
        </w:rPr>
      </w:pPr>
      <w:r w:rsidRPr="004B208C">
        <w:rPr>
          <w:rFonts w:eastAsia="Calibri" w:cs="Tahoma"/>
          <w:color w:val="000000"/>
          <w:szCs w:val="18"/>
        </w:rPr>
        <w:t>Alguns serviços online na família de produtos do Office 365 (incluindo Office 365 Enterprise K1) são oferecidos como serviços de nuvem da comunidade do governo e serviços de nuvem da comunidade não governamental.</w:t>
      </w:r>
      <w:r w:rsidR="00172F11">
        <w:rPr>
          <w:rFonts w:eastAsia="Calibri" w:cs="Tahoma"/>
          <w:color w:val="000000"/>
          <w:szCs w:val="18"/>
        </w:rPr>
        <w:t xml:space="preserve"> </w:t>
      </w:r>
      <w:r w:rsidRPr="004B208C">
        <w:rPr>
          <w:rFonts w:eastAsia="Calibri" w:cs="Tahoma"/>
          <w:color w:val="000000"/>
          <w:szCs w:val="18"/>
        </w:rPr>
        <w:t>Os clientes podem ser provisionados como um ou outro, mas não com uma mistura dos dois.</w:t>
      </w:r>
      <w:r w:rsidR="00172F11">
        <w:rPr>
          <w:rFonts w:eastAsia="Calibri" w:cs="Tahoma"/>
          <w:color w:val="000000"/>
          <w:szCs w:val="18"/>
        </w:rPr>
        <w:t xml:space="preserve"> </w:t>
      </w:r>
      <w:r w:rsidRPr="004B208C">
        <w:rPr>
          <w:rFonts w:eastAsia="Calibri" w:cs="Tahoma"/>
          <w:color w:val="000000"/>
          <w:szCs w:val="18"/>
        </w:rPr>
        <w:t>Os Serviços Online projetados como nuvem de comunidade do governo não podem ser implantados no</w:t>
      </w:r>
      <w:r w:rsidR="004B480F">
        <w:rPr>
          <w:rFonts w:eastAsia="Calibri" w:cs="Tahoma"/>
          <w:color w:val="000000"/>
          <w:szCs w:val="18"/>
        </w:rPr>
        <w:t> </w:t>
      </w:r>
      <w:r w:rsidRPr="004B208C">
        <w:rPr>
          <w:rFonts w:eastAsia="Calibri" w:cs="Tahoma"/>
          <w:color w:val="000000"/>
          <w:szCs w:val="18"/>
        </w:rPr>
        <w:t>mesmo domínio que os serviços de nuvem da comunidade não governamental específicos.</w:t>
      </w:r>
      <w:r w:rsidR="00172F11">
        <w:rPr>
          <w:rFonts w:eastAsia="Calibri" w:cs="Tahoma"/>
          <w:color w:val="000000"/>
          <w:szCs w:val="18"/>
        </w:rPr>
        <w:t xml:space="preserve"> </w:t>
      </w:r>
      <w:r w:rsidRPr="004B208C">
        <w:rPr>
          <w:rFonts w:eastAsia="Calibri" w:cs="Tahoma"/>
          <w:color w:val="000000"/>
          <w:szCs w:val="18"/>
        </w:rPr>
        <w:t>Esta limitação se estende a qualquer serviço online que faça parte da família de produtos do Office 365, incluindo Exchange Online, SharePoint Online e Lync Online.</w:t>
      </w:r>
      <w:r w:rsidR="00172F11">
        <w:rPr>
          <w:rFonts w:eastAsia="Calibri" w:cs="Tahoma"/>
          <w:color w:val="000000"/>
          <w:szCs w:val="18"/>
        </w:rPr>
        <w:t xml:space="preserve"> </w:t>
      </w:r>
    </w:p>
    <w:p w:rsidR="00BE7AC3" w:rsidRPr="004B208C" w:rsidRDefault="00BE7AC3" w:rsidP="00BE7AC3">
      <w:pPr>
        <w:ind w:left="720"/>
        <w:rPr>
          <w:rFonts w:cs="Tahoma"/>
        </w:rPr>
      </w:pPr>
    </w:p>
    <w:p w:rsidR="00BE7AC3" w:rsidRPr="004B208C" w:rsidRDefault="00BE7AC3" w:rsidP="00BE7AC3">
      <w:pPr>
        <w:ind w:left="720"/>
        <w:rPr>
          <w:rFonts w:cs="Tahoma"/>
        </w:rPr>
      </w:pPr>
      <w:r w:rsidRPr="004B208C">
        <w:rPr>
          <w:rFonts w:eastAsia="Calibri" w:cs="Tahoma"/>
          <w:color w:val="000000"/>
          <w:szCs w:val="18"/>
        </w:rPr>
        <w:t>Assim que um serviço online é provisionado na nuvem de comunidade do governo, ele permanecerá lá pela duração da vigência da assinatura.</w:t>
      </w:r>
      <w:r w:rsidR="00172F11">
        <w:rPr>
          <w:rFonts w:eastAsia="Calibri" w:cs="Tahoma"/>
          <w:color w:val="000000"/>
          <w:szCs w:val="18"/>
        </w:rPr>
        <w:t xml:space="preserve"> </w:t>
      </w:r>
      <w:r w:rsidRPr="004B208C">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172F11">
        <w:rPr>
          <w:rFonts w:eastAsia="Calibri" w:cs="Tahoma"/>
          <w:color w:val="000000"/>
          <w:szCs w:val="18"/>
        </w:rPr>
        <w:t xml:space="preserve"> </w:t>
      </w:r>
      <w:r w:rsidRPr="004B208C">
        <w:rPr>
          <w:rFonts w:eastAsia="Calibri" w:cs="Tahoma"/>
          <w:color w:val="000000"/>
          <w:szCs w:val="18"/>
        </w:rPr>
        <w:t>Os Direitos de Uso para serviços de nuvem da comunidade do governo são equivalentes àqueles dos seus diversos locatários padrão.</w:t>
      </w:r>
    </w:p>
    <w:p w:rsidR="00BE7AC3" w:rsidRPr="004B208C" w:rsidRDefault="00BE7AC3" w:rsidP="00BA1490">
      <w:pPr>
        <w:ind w:left="720"/>
        <w:rPr>
          <w:rFonts w:cs="Tahoma"/>
        </w:rPr>
      </w:pPr>
    </w:p>
    <w:p w:rsidR="00F1020A" w:rsidRPr="004B208C" w:rsidRDefault="00F1020A" w:rsidP="00BA1490">
      <w:pPr>
        <w:ind w:left="720"/>
        <w:rPr>
          <w:rFonts w:cs="Tahoma"/>
        </w:rPr>
      </w:pPr>
    </w:p>
    <w:p w:rsidR="00A83600" w:rsidRPr="004B208C" w:rsidRDefault="00A560B6" w:rsidP="00A83600">
      <w:pPr>
        <w:pStyle w:val="Heading2"/>
        <w:ind w:left="0"/>
        <w:rPr>
          <w:rFonts w:ascii="Tahoma" w:hAnsi="Tahoma" w:cs="Tahoma"/>
        </w:rPr>
      </w:pPr>
      <w:bookmarkStart w:id="1362" w:name="_70_Office_365"/>
      <w:bookmarkStart w:id="1363" w:name="_77_Office_365"/>
      <w:bookmarkStart w:id="1364" w:name="_Toc336338330"/>
      <w:bookmarkStart w:id="1365" w:name="Srv_73Office365PlanG2toG4"/>
      <w:bookmarkStart w:id="1366" w:name="_Toc370981450"/>
      <w:bookmarkEnd w:id="1362"/>
      <w:bookmarkEnd w:id="1363"/>
      <w:r w:rsidRPr="004B208C">
        <w:rPr>
          <w:rFonts w:ascii="Tahoma" w:hAnsi="Tahoma" w:cs="Tahoma"/>
          <w:caps/>
          <w:color w:val="FF6600"/>
          <w:sz w:val="22"/>
          <w:szCs w:val="22"/>
          <w:vertAlign w:val="superscript"/>
        </w:rPr>
        <w:t>76</w:t>
      </w:r>
      <w:r w:rsidRPr="004B208C">
        <w:rPr>
          <w:rFonts w:ascii="Tahoma" w:hAnsi="Tahoma" w:cs="Tahoma"/>
          <w:color w:val="FF6600"/>
        </w:rPr>
        <w:t xml:space="preserve"> </w:t>
      </w:r>
      <w:r w:rsidRPr="004B208C">
        <w:rPr>
          <w:rFonts w:ascii="Tahoma" w:hAnsi="Tahoma" w:cs="Tahoma"/>
          <w:color w:val="FF6600"/>
          <w:sz w:val="22"/>
          <w:szCs w:val="22"/>
        </w:rPr>
        <w:t>Office 365 Government G1, G3, G4</w:t>
      </w:r>
      <w:bookmarkEnd w:id="1364"/>
      <w:bookmarkEnd w:id="1366"/>
    </w:p>
    <w:p w:rsidR="00A83600" w:rsidRPr="004B208C" w:rsidRDefault="00A83600" w:rsidP="00A83600">
      <w:pPr>
        <w:rPr>
          <w:rFonts w:cs="Tahoma"/>
        </w:rPr>
      </w:pPr>
    </w:p>
    <w:bookmarkEnd w:id="1365"/>
    <w:p w:rsidR="00A83600" w:rsidRPr="004B208C" w:rsidRDefault="00A83600" w:rsidP="00E62BC4">
      <w:pPr>
        <w:ind w:left="720"/>
        <w:rPr>
          <w:rFonts w:cs="Tahoma"/>
        </w:rPr>
      </w:pPr>
      <w:r w:rsidRPr="004B208C">
        <w:rPr>
          <w:rFonts w:cs="Tahoma"/>
          <w:color w:val="000000"/>
        </w:rPr>
        <w:t>O Office 365 Government G1, G3 e G4 permite acesso aos seguintes Serviços Online:</w:t>
      </w:r>
    </w:p>
    <w:p w:rsidR="00A83600" w:rsidRPr="004B208C" w:rsidRDefault="00A83600" w:rsidP="00A83600">
      <w:pPr>
        <w:rPr>
          <w:rFonts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4B208C" w:rsidTr="004B480F">
        <w:tc>
          <w:tcPr>
            <w:tcW w:w="2970" w:type="dxa"/>
            <w:shd w:val="clear" w:color="auto" w:fill="FABF8F"/>
          </w:tcPr>
          <w:p w:rsidR="005D753D" w:rsidRPr="004B208C" w:rsidRDefault="005D753D" w:rsidP="0050116B">
            <w:pPr>
              <w:keepNext/>
              <w:keepLines/>
              <w:jc w:val="center"/>
              <w:rPr>
                <w:rFonts w:eastAsia="Calibri" w:cs="Tahoma"/>
                <w:b/>
                <w:color w:val="000000"/>
                <w:sz w:val="20"/>
              </w:rPr>
            </w:pPr>
            <w:r w:rsidRPr="004B208C">
              <w:rPr>
                <w:rFonts w:eastAsia="Calibri" w:cs="Tahoma"/>
                <w:b/>
                <w:color w:val="000000"/>
                <w:sz w:val="20"/>
              </w:rPr>
              <w:t>Office 365 Government G1</w:t>
            </w:r>
          </w:p>
        </w:tc>
        <w:tc>
          <w:tcPr>
            <w:tcW w:w="2970" w:type="dxa"/>
            <w:shd w:val="clear" w:color="auto" w:fill="FABF8F"/>
          </w:tcPr>
          <w:p w:rsidR="005D753D" w:rsidRPr="004B208C" w:rsidRDefault="005D753D" w:rsidP="0050116B">
            <w:pPr>
              <w:keepNext/>
              <w:keepLines/>
              <w:jc w:val="center"/>
              <w:rPr>
                <w:rFonts w:eastAsia="Calibri" w:cs="Tahoma"/>
                <w:b/>
                <w:color w:val="000000"/>
                <w:sz w:val="20"/>
              </w:rPr>
            </w:pPr>
            <w:r w:rsidRPr="004B208C">
              <w:rPr>
                <w:rFonts w:eastAsia="Calibri" w:cs="Tahoma"/>
                <w:b/>
                <w:color w:val="000000"/>
                <w:sz w:val="20"/>
              </w:rPr>
              <w:t>Office 365 Government G3</w:t>
            </w:r>
          </w:p>
        </w:tc>
        <w:tc>
          <w:tcPr>
            <w:tcW w:w="2970" w:type="dxa"/>
            <w:shd w:val="clear" w:color="auto" w:fill="FABF8F"/>
          </w:tcPr>
          <w:p w:rsidR="005D753D" w:rsidRPr="004B208C" w:rsidRDefault="005D753D" w:rsidP="0050116B">
            <w:pPr>
              <w:keepNext/>
              <w:keepLines/>
              <w:jc w:val="center"/>
              <w:rPr>
                <w:rFonts w:eastAsia="Calibri" w:cs="Tahoma"/>
                <w:b/>
                <w:color w:val="000000"/>
                <w:sz w:val="20"/>
              </w:rPr>
            </w:pPr>
            <w:r w:rsidRPr="004B208C">
              <w:rPr>
                <w:rFonts w:eastAsia="Calibri" w:cs="Tahoma"/>
                <w:b/>
                <w:color w:val="000000"/>
                <w:sz w:val="20"/>
              </w:rPr>
              <w:t>Office 365 Government G4</w:t>
            </w:r>
          </w:p>
        </w:tc>
      </w:tr>
      <w:tr w:rsidR="005D753D" w:rsidRPr="004B208C" w:rsidTr="004B480F">
        <w:tc>
          <w:tcPr>
            <w:tcW w:w="2970" w:type="dxa"/>
          </w:tcPr>
          <w:p w:rsidR="005D753D" w:rsidRPr="004B208C" w:rsidRDefault="005D753D" w:rsidP="00C066F9">
            <w:pPr>
              <w:keepNext/>
              <w:keepLines/>
              <w:ind w:left="180" w:right="186"/>
              <w:rPr>
                <w:rFonts w:eastAsia="Calibri" w:cs="Tahoma"/>
                <w:color w:val="000000"/>
              </w:rPr>
            </w:pPr>
            <w:r w:rsidRPr="004B208C">
              <w:rPr>
                <w:rFonts w:eastAsia="Calibri" w:cs="Tahoma"/>
                <w:color w:val="000000"/>
              </w:rPr>
              <w:t>Exchange Online Plano 1</w:t>
            </w:r>
          </w:p>
        </w:tc>
        <w:tc>
          <w:tcPr>
            <w:tcW w:w="2970" w:type="dxa"/>
            <w:shd w:val="clear" w:color="auto" w:fill="auto"/>
          </w:tcPr>
          <w:p w:rsidR="005D753D" w:rsidRPr="004B208C" w:rsidRDefault="005D753D" w:rsidP="00C066F9">
            <w:pPr>
              <w:keepNext/>
              <w:keepLines/>
              <w:ind w:left="138" w:right="138"/>
              <w:rPr>
                <w:rFonts w:eastAsia="Calibri" w:cs="Tahoma"/>
                <w:color w:val="000000"/>
              </w:rPr>
            </w:pPr>
            <w:r w:rsidRPr="004B208C">
              <w:rPr>
                <w:rFonts w:eastAsia="Calibri" w:cs="Tahoma"/>
                <w:color w:val="000000"/>
              </w:rPr>
              <w:t xml:space="preserve">Exchange Online Plano 2 </w:t>
            </w:r>
          </w:p>
        </w:tc>
        <w:tc>
          <w:tcPr>
            <w:tcW w:w="2970" w:type="dxa"/>
            <w:shd w:val="clear" w:color="auto" w:fill="auto"/>
          </w:tcPr>
          <w:p w:rsidR="005D753D" w:rsidRPr="004B208C" w:rsidRDefault="005D753D" w:rsidP="00C066F9">
            <w:pPr>
              <w:keepNext/>
              <w:keepLines/>
              <w:ind w:left="186" w:right="180"/>
              <w:rPr>
                <w:rFonts w:eastAsia="Calibri" w:cs="Tahoma"/>
                <w:color w:val="000000"/>
              </w:rPr>
            </w:pPr>
            <w:r w:rsidRPr="004B208C">
              <w:rPr>
                <w:rFonts w:eastAsia="Calibri" w:cs="Tahoma"/>
                <w:color w:val="000000"/>
              </w:rPr>
              <w:t>Exchange Online Plano 2</w:t>
            </w:r>
          </w:p>
        </w:tc>
      </w:tr>
      <w:tr w:rsidR="005D753D" w:rsidRPr="004B208C" w:rsidTr="004B480F">
        <w:tc>
          <w:tcPr>
            <w:tcW w:w="2970" w:type="dxa"/>
          </w:tcPr>
          <w:p w:rsidR="005D753D" w:rsidRPr="004B208C" w:rsidRDefault="005D753D" w:rsidP="00C066F9">
            <w:pPr>
              <w:keepNext/>
              <w:keepLines/>
              <w:ind w:left="180" w:right="186"/>
              <w:rPr>
                <w:rFonts w:eastAsia="Calibri" w:cs="Tahoma"/>
                <w:color w:val="000000"/>
              </w:rPr>
            </w:pPr>
            <w:r w:rsidRPr="004B208C">
              <w:rPr>
                <w:rFonts w:eastAsia="Calibri" w:cs="Tahoma"/>
                <w:color w:val="000000"/>
              </w:rPr>
              <w:t>SharePoint Online Plano 1</w:t>
            </w:r>
          </w:p>
        </w:tc>
        <w:tc>
          <w:tcPr>
            <w:tcW w:w="2970" w:type="dxa"/>
            <w:shd w:val="clear" w:color="auto" w:fill="auto"/>
          </w:tcPr>
          <w:p w:rsidR="005D753D" w:rsidRPr="004B208C" w:rsidRDefault="005D753D" w:rsidP="00C066F9">
            <w:pPr>
              <w:keepNext/>
              <w:keepLines/>
              <w:ind w:left="138" w:right="138"/>
              <w:rPr>
                <w:rFonts w:eastAsia="Calibri" w:cs="Tahoma"/>
                <w:color w:val="000000"/>
              </w:rPr>
            </w:pPr>
            <w:r w:rsidRPr="004B208C">
              <w:rPr>
                <w:rFonts w:eastAsia="Calibri" w:cs="Tahoma"/>
                <w:color w:val="000000"/>
              </w:rPr>
              <w:t>SharePoint Online Plano 2</w:t>
            </w:r>
          </w:p>
        </w:tc>
        <w:tc>
          <w:tcPr>
            <w:tcW w:w="2970" w:type="dxa"/>
            <w:shd w:val="clear" w:color="auto" w:fill="auto"/>
          </w:tcPr>
          <w:p w:rsidR="005D753D" w:rsidRPr="004B208C" w:rsidRDefault="005D753D" w:rsidP="00C066F9">
            <w:pPr>
              <w:keepNext/>
              <w:keepLines/>
              <w:ind w:left="186" w:right="180"/>
              <w:rPr>
                <w:rFonts w:eastAsia="Calibri" w:cs="Tahoma"/>
                <w:color w:val="000000"/>
              </w:rPr>
            </w:pPr>
            <w:r w:rsidRPr="004B208C">
              <w:rPr>
                <w:rFonts w:eastAsia="Calibri" w:cs="Tahoma"/>
                <w:color w:val="000000"/>
              </w:rPr>
              <w:t>SharePoint Online Plano 2</w:t>
            </w:r>
          </w:p>
        </w:tc>
      </w:tr>
      <w:tr w:rsidR="005D753D" w:rsidRPr="004B208C" w:rsidTr="004B480F">
        <w:tc>
          <w:tcPr>
            <w:tcW w:w="2970" w:type="dxa"/>
          </w:tcPr>
          <w:p w:rsidR="005D753D" w:rsidRPr="004B208C" w:rsidRDefault="005D753D" w:rsidP="00C066F9">
            <w:pPr>
              <w:keepNext/>
              <w:keepLines/>
              <w:ind w:left="180" w:right="186"/>
              <w:rPr>
                <w:rFonts w:eastAsia="Calibri" w:cs="Tahoma"/>
                <w:color w:val="000000"/>
              </w:rPr>
            </w:pPr>
            <w:r w:rsidRPr="004B208C">
              <w:rPr>
                <w:rFonts w:eastAsia="Calibri" w:cs="Tahoma"/>
                <w:color w:val="000000"/>
              </w:rPr>
              <w:t>Lync Online Plano 2</w:t>
            </w:r>
          </w:p>
        </w:tc>
        <w:tc>
          <w:tcPr>
            <w:tcW w:w="2970" w:type="dxa"/>
            <w:shd w:val="clear" w:color="auto" w:fill="auto"/>
          </w:tcPr>
          <w:p w:rsidR="005D753D" w:rsidRPr="004B208C" w:rsidRDefault="005D753D" w:rsidP="00C066F9">
            <w:pPr>
              <w:keepNext/>
              <w:keepLines/>
              <w:ind w:left="138" w:right="138"/>
              <w:rPr>
                <w:rFonts w:eastAsia="Calibri" w:cs="Tahoma"/>
                <w:color w:val="000000"/>
              </w:rPr>
            </w:pPr>
            <w:r w:rsidRPr="004B208C">
              <w:rPr>
                <w:rFonts w:eastAsia="Calibri" w:cs="Tahoma"/>
                <w:color w:val="000000"/>
              </w:rPr>
              <w:t>Lync Online Plano 2</w:t>
            </w:r>
          </w:p>
        </w:tc>
        <w:tc>
          <w:tcPr>
            <w:tcW w:w="2970" w:type="dxa"/>
            <w:shd w:val="clear" w:color="auto" w:fill="auto"/>
          </w:tcPr>
          <w:p w:rsidR="005D753D" w:rsidRPr="004B208C" w:rsidRDefault="007F6051" w:rsidP="00630ED6">
            <w:pPr>
              <w:keepNext/>
              <w:keepLines/>
              <w:ind w:left="186" w:right="180"/>
              <w:rPr>
                <w:rFonts w:eastAsia="Calibri" w:cs="Tahoma"/>
                <w:color w:val="000000"/>
              </w:rPr>
            </w:pPr>
            <w:r>
              <w:rPr>
                <w:rFonts w:eastAsia="Calibri" w:cs="Tahoma"/>
                <w:color w:val="000000"/>
              </w:rPr>
              <w:t>Lync Online Plano 3</w:t>
            </w:r>
          </w:p>
        </w:tc>
      </w:tr>
      <w:tr w:rsidR="005D753D" w:rsidRPr="004B208C" w:rsidTr="004B480F">
        <w:tc>
          <w:tcPr>
            <w:tcW w:w="2970" w:type="dxa"/>
          </w:tcPr>
          <w:p w:rsidR="005D753D" w:rsidRPr="004B208C" w:rsidRDefault="005D753D" w:rsidP="00C066F9">
            <w:pPr>
              <w:keepNext/>
              <w:keepLines/>
              <w:ind w:left="180" w:right="186"/>
              <w:rPr>
                <w:rFonts w:eastAsia="Calibri" w:cs="Tahoma"/>
                <w:color w:val="000000"/>
              </w:rPr>
            </w:pPr>
            <w:r w:rsidRPr="004B208C">
              <w:rPr>
                <w:rFonts w:eastAsia="Calibri" w:cs="Tahoma"/>
                <w:color w:val="000000"/>
              </w:rPr>
              <w:t>Aplicativos da Web do Office (Hospedados pela Microsoft)</w:t>
            </w:r>
          </w:p>
        </w:tc>
        <w:tc>
          <w:tcPr>
            <w:tcW w:w="2970" w:type="dxa"/>
            <w:shd w:val="clear" w:color="auto" w:fill="auto"/>
          </w:tcPr>
          <w:p w:rsidR="005D753D" w:rsidRPr="004B208C" w:rsidRDefault="005D753D" w:rsidP="00C066F9">
            <w:pPr>
              <w:keepNext/>
              <w:keepLines/>
              <w:ind w:left="138" w:right="138"/>
              <w:rPr>
                <w:rFonts w:eastAsia="Calibri" w:cs="Tahoma"/>
                <w:color w:val="000000"/>
              </w:rPr>
            </w:pPr>
            <w:r w:rsidRPr="004B208C">
              <w:rPr>
                <w:rFonts w:eastAsia="Calibri" w:cs="Tahoma"/>
                <w:color w:val="000000"/>
              </w:rPr>
              <w:t>Aplicativos da Web do Office (Hospedados pela Microsoft)</w:t>
            </w:r>
          </w:p>
        </w:tc>
        <w:tc>
          <w:tcPr>
            <w:tcW w:w="2970" w:type="dxa"/>
            <w:shd w:val="clear" w:color="auto" w:fill="auto"/>
          </w:tcPr>
          <w:p w:rsidR="005D753D" w:rsidRPr="004B208C" w:rsidRDefault="005D753D" w:rsidP="00C066F9">
            <w:pPr>
              <w:keepNext/>
              <w:keepLines/>
              <w:ind w:left="186" w:right="180"/>
              <w:rPr>
                <w:rFonts w:eastAsia="Calibri" w:cs="Tahoma"/>
                <w:color w:val="000000"/>
              </w:rPr>
            </w:pPr>
            <w:r w:rsidRPr="004B208C">
              <w:rPr>
                <w:rFonts w:eastAsia="Calibri" w:cs="Tahoma"/>
                <w:color w:val="000000"/>
              </w:rPr>
              <w:t>Aplicativos da Web do Office (Hospedados pela Microsoft)</w:t>
            </w:r>
          </w:p>
        </w:tc>
      </w:tr>
      <w:tr w:rsidR="005D753D" w:rsidRPr="004B208C" w:rsidTr="004B480F">
        <w:tc>
          <w:tcPr>
            <w:tcW w:w="2970" w:type="dxa"/>
          </w:tcPr>
          <w:p w:rsidR="005D753D" w:rsidRPr="004B208C" w:rsidRDefault="005D753D" w:rsidP="00C066F9">
            <w:pPr>
              <w:keepNext/>
              <w:keepLines/>
              <w:ind w:left="180" w:right="186"/>
              <w:rPr>
                <w:rFonts w:eastAsia="Calibri" w:cs="Tahoma"/>
                <w:color w:val="000000"/>
              </w:rPr>
            </w:pPr>
          </w:p>
        </w:tc>
        <w:tc>
          <w:tcPr>
            <w:tcW w:w="2970" w:type="dxa"/>
            <w:shd w:val="clear" w:color="auto" w:fill="auto"/>
          </w:tcPr>
          <w:p w:rsidR="005D753D" w:rsidRPr="004B208C" w:rsidRDefault="005D753D" w:rsidP="00630ED6">
            <w:pPr>
              <w:keepNext/>
              <w:keepLines/>
              <w:ind w:left="138" w:right="138"/>
              <w:rPr>
                <w:rFonts w:eastAsia="Calibri" w:cs="Tahoma"/>
                <w:color w:val="000000"/>
              </w:rPr>
            </w:pPr>
            <w:r w:rsidRPr="004B208C">
              <w:rPr>
                <w:rFonts w:eastAsia="Calibri" w:cs="Tahoma"/>
                <w:color w:val="000000"/>
              </w:rPr>
              <w:t xml:space="preserve">Office 365 ProPlus </w:t>
            </w:r>
          </w:p>
        </w:tc>
        <w:tc>
          <w:tcPr>
            <w:tcW w:w="2970" w:type="dxa"/>
            <w:shd w:val="clear" w:color="auto" w:fill="auto"/>
          </w:tcPr>
          <w:p w:rsidR="005D753D" w:rsidRPr="004B208C" w:rsidRDefault="005D753D" w:rsidP="00630ED6">
            <w:pPr>
              <w:keepNext/>
              <w:keepLines/>
              <w:ind w:left="186" w:right="180"/>
              <w:rPr>
                <w:rFonts w:eastAsia="Calibri" w:cs="Tahoma"/>
                <w:color w:val="000000"/>
              </w:rPr>
            </w:pPr>
            <w:r w:rsidRPr="004B208C">
              <w:rPr>
                <w:rFonts w:eastAsia="Calibri" w:cs="Tahoma"/>
                <w:color w:val="000000"/>
              </w:rPr>
              <w:t xml:space="preserve">Office 365 ProPlus </w:t>
            </w:r>
          </w:p>
        </w:tc>
      </w:tr>
      <w:tr w:rsidR="005D753D" w:rsidRPr="004B208C" w:rsidTr="004B480F">
        <w:tc>
          <w:tcPr>
            <w:tcW w:w="2970" w:type="dxa"/>
          </w:tcPr>
          <w:p w:rsidR="005D753D" w:rsidRPr="004B208C" w:rsidRDefault="005D753D" w:rsidP="00C066F9">
            <w:pPr>
              <w:keepNext/>
              <w:keepLines/>
              <w:ind w:left="180" w:right="186"/>
              <w:rPr>
                <w:rFonts w:eastAsia="Calibri" w:cs="Tahoma"/>
                <w:color w:val="000000"/>
              </w:rPr>
            </w:pPr>
          </w:p>
        </w:tc>
        <w:tc>
          <w:tcPr>
            <w:tcW w:w="2970" w:type="dxa"/>
            <w:shd w:val="clear" w:color="auto" w:fill="auto"/>
          </w:tcPr>
          <w:p w:rsidR="005D753D" w:rsidRPr="004B208C" w:rsidRDefault="005D753D" w:rsidP="00630ED6">
            <w:pPr>
              <w:keepNext/>
              <w:keepLines/>
              <w:ind w:left="138" w:right="138"/>
              <w:rPr>
                <w:rFonts w:eastAsia="Calibri" w:cs="Tahoma"/>
                <w:color w:val="000000"/>
              </w:rPr>
            </w:pPr>
            <w:r w:rsidRPr="004B208C">
              <w:rPr>
                <w:rFonts w:eastAsia="Calibri" w:cs="Tahoma"/>
                <w:color w:val="000000"/>
              </w:rPr>
              <w:t>Gerenciamento de Direitos do Active Directory do Windows Azure</w:t>
            </w:r>
          </w:p>
        </w:tc>
        <w:tc>
          <w:tcPr>
            <w:tcW w:w="2970" w:type="dxa"/>
            <w:shd w:val="clear" w:color="auto" w:fill="auto"/>
          </w:tcPr>
          <w:p w:rsidR="005D753D" w:rsidRPr="004B208C" w:rsidRDefault="005D753D" w:rsidP="00630ED6">
            <w:pPr>
              <w:keepNext/>
              <w:keepLines/>
              <w:ind w:left="186" w:right="180"/>
              <w:rPr>
                <w:rFonts w:eastAsia="Calibri" w:cs="Tahoma"/>
                <w:color w:val="000000"/>
              </w:rPr>
            </w:pPr>
            <w:r w:rsidRPr="004B208C">
              <w:rPr>
                <w:rFonts w:eastAsia="Calibri" w:cs="Tahoma"/>
                <w:color w:val="000000"/>
              </w:rPr>
              <w:t>Gerenciamento de Direitos do Active Directory do Windows Azure</w:t>
            </w:r>
          </w:p>
        </w:tc>
      </w:tr>
    </w:tbl>
    <w:p w:rsidR="00263B62" w:rsidRPr="004B208C" w:rsidRDefault="00263B62" w:rsidP="00630ED6">
      <w:pPr>
        <w:pStyle w:val="PURBody"/>
        <w:spacing w:after="0"/>
        <w:ind w:left="540"/>
        <w:rPr>
          <w:rFonts w:ascii="Tahoma" w:hAnsi="Tahoma" w:cs="Tahoma"/>
        </w:rPr>
      </w:pPr>
    </w:p>
    <w:p w:rsidR="00A83600" w:rsidRPr="004B208C" w:rsidRDefault="00A83600" w:rsidP="00E62BC4">
      <w:pPr>
        <w:ind w:left="720"/>
        <w:rPr>
          <w:rFonts w:cs="Tahoma"/>
        </w:rPr>
      </w:pPr>
      <w:r w:rsidRPr="004B208C">
        <w:rPr>
          <w:rFonts w:cs="Tahoma"/>
          <w:color w:val="000000"/>
        </w:rPr>
        <w:t>Essa lista está sujeita a alterações.</w:t>
      </w:r>
      <w:r w:rsidR="00172F11">
        <w:rPr>
          <w:rFonts w:cs="Tahoma"/>
          <w:color w:val="000000"/>
        </w:rPr>
        <w:t xml:space="preserve"> </w:t>
      </w:r>
      <w:r w:rsidRPr="004B208C">
        <w:rPr>
          <w:rFonts w:cs="Tahoma"/>
          <w:color w:val="000000"/>
        </w:rPr>
        <w:t>Os Direitos de Uso de Produto atuais prevalecerão caso haja conflitos entre os termos da licença do Office 365 Government G1, G3 ou G4 e esta observação.</w:t>
      </w:r>
      <w:r w:rsidR="00172F11">
        <w:rPr>
          <w:rFonts w:cs="Tahoma"/>
          <w:color w:val="000000"/>
        </w:rPr>
        <w:t xml:space="preserve"> </w:t>
      </w:r>
      <w:r w:rsidRPr="004B208C">
        <w:rPr>
          <w:rFonts w:cs="Tahoma"/>
          <w:color w:val="000000"/>
        </w:rPr>
        <w:t>Os direitos de acesso adicionais, se houver, a softwares locais licenciados separadamente estão especificados nos Direitos de Uso de Produto.</w:t>
      </w:r>
    </w:p>
    <w:p w:rsidR="00A83600" w:rsidRPr="004B208C" w:rsidRDefault="00A83600" w:rsidP="00E62BC4">
      <w:pPr>
        <w:ind w:left="720"/>
        <w:rPr>
          <w:rFonts w:cs="Tahoma"/>
        </w:rPr>
      </w:pPr>
    </w:p>
    <w:p w:rsidR="00A83600" w:rsidRPr="004B208C" w:rsidRDefault="00A83600" w:rsidP="00E62BC4">
      <w:pPr>
        <w:ind w:left="720"/>
        <w:rPr>
          <w:rFonts w:cs="Tahoma"/>
        </w:rPr>
      </w:pPr>
      <w:r w:rsidRPr="004B208C">
        <w:rPr>
          <w:rFonts w:cs="Tahoma"/>
          <w:color w:val="000000"/>
        </w:rPr>
        <w:t>O Lync Online Plano 1 e Plano 2 requerem compra separada e instalação do Microsoft Lync 2013 (ou Lync para Mac 2011 para acessar o conjunto completo de recursos do Lync Online Plano 1 e Plano 2. Como oferta por tempo limitado, os clientes Mac licenciados para o Lync Online receberão uma cópia licenciada do</w:t>
      </w:r>
      <w:r w:rsidR="004B480F">
        <w:rPr>
          <w:rFonts w:cs="Tahoma"/>
          <w:color w:val="000000"/>
        </w:rPr>
        <w:t> </w:t>
      </w:r>
      <w:r w:rsidRPr="004B208C">
        <w:rPr>
          <w:rFonts w:cs="Tahoma"/>
          <w:color w:val="000000"/>
        </w:rPr>
        <w:t>Lync for Mac 2011 a nenhum custo com cada licença de assinatura de teste ou paga do Lync Online. O</w:t>
      </w:r>
      <w:r w:rsidR="004B480F">
        <w:rPr>
          <w:rFonts w:cs="Tahoma"/>
          <w:color w:val="000000"/>
        </w:rPr>
        <w:t> </w:t>
      </w:r>
      <w:r w:rsidRPr="004B208C">
        <w:rPr>
          <w:rFonts w:cs="Tahoma"/>
          <w:color w:val="000000"/>
        </w:rPr>
        <w:t>software só poderá ser usado com o Lync Online, e todos os direitos de uso do software se encerrarão ao</w:t>
      </w:r>
      <w:r w:rsidR="004B480F">
        <w:rPr>
          <w:rFonts w:cs="Tahoma"/>
          <w:color w:val="000000"/>
        </w:rPr>
        <w:t> </w:t>
      </w:r>
      <w:r w:rsidRPr="004B208C">
        <w:rPr>
          <w:rFonts w:cs="Tahoma"/>
          <w:color w:val="000000"/>
        </w:rPr>
        <w:t>término da licença de assinatura básica ou da migração para a próxima nova versão principal do Lync Online, o que ocorrer primeiro.</w:t>
      </w:r>
      <w:r w:rsidR="00172F11">
        <w:rPr>
          <w:rFonts w:cs="Tahoma"/>
          <w:color w:val="000000"/>
        </w:rPr>
        <w:t xml:space="preserve"> </w:t>
      </w:r>
      <w:r w:rsidRPr="004B208C">
        <w:rPr>
          <w:rFonts w:cs="Tahoma"/>
        </w:rPr>
        <w:t>Os clientes podem usar o cliente gratuito Lync Basic 2013 para seus usuários finais com base em Windows.</w:t>
      </w:r>
    </w:p>
    <w:p w:rsidR="00A83600" w:rsidRPr="004B208C" w:rsidRDefault="00A83600" w:rsidP="00E62BC4">
      <w:pPr>
        <w:ind w:left="720"/>
        <w:rPr>
          <w:rFonts w:cs="Tahoma"/>
        </w:rPr>
      </w:pPr>
    </w:p>
    <w:p w:rsidR="00A83600" w:rsidRPr="004B208C" w:rsidRDefault="00A83600" w:rsidP="00E62BC4">
      <w:pPr>
        <w:ind w:left="720"/>
        <w:rPr>
          <w:rFonts w:cs="Tahoma"/>
        </w:rPr>
      </w:pPr>
      <w:r w:rsidRPr="004B208C">
        <w:rPr>
          <w:rFonts w:eastAsia="Calibri" w:cs="Tahoma"/>
          <w:color w:val="000000"/>
          <w:szCs w:val="18"/>
        </w:rPr>
        <w:lastRenderedPageBreak/>
        <w:t>G1, G3 ou G4 não podem ser implantados no mesmo domínio que os serviços de nuvem da comunidade não governamental específicos.</w:t>
      </w:r>
      <w:r w:rsidR="00172F11">
        <w:rPr>
          <w:rFonts w:eastAsia="Calibri" w:cs="Tahoma"/>
          <w:color w:val="000000"/>
          <w:szCs w:val="18"/>
        </w:rPr>
        <w:t xml:space="preserve"> </w:t>
      </w:r>
      <w:r w:rsidRPr="004B208C">
        <w:rPr>
          <w:rFonts w:eastAsia="Calibri" w:cs="Tahoma"/>
          <w:color w:val="000000"/>
          <w:szCs w:val="18"/>
        </w:rPr>
        <w:t>Esta limitação se estende a qualquer serviço online que faça parte da família de produtos do Office 365, incluindo Exchange Online, SharePoint Online e Lync Online.</w:t>
      </w:r>
    </w:p>
    <w:p w:rsidR="004B480F" w:rsidRPr="004B208C" w:rsidRDefault="004B480F" w:rsidP="00E62BC4">
      <w:pPr>
        <w:ind w:left="720"/>
        <w:rPr>
          <w:rFonts w:cs="Tahoma"/>
        </w:rPr>
      </w:pPr>
    </w:p>
    <w:p w:rsidR="00D57009" w:rsidRPr="004B208C" w:rsidRDefault="00A83600" w:rsidP="007B35CE">
      <w:pPr>
        <w:ind w:left="720"/>
        <w:rPr>
          <w:rFonts w:cs="Tahoma"/>
        </w:rPr>
      </w:pPr>
      <w:r w:rsidRPr="004B208C">
        <w:rPr>
          <w:rFonts w:eastAsia="Calibri" w:cs="Tahoma"/>
          <w:color w:val="000000"/>
          <w:szCs w:val="18"/>
        </w:rPr>
        <w:t>Assim que um serviço online é provisionado na nuvem de comunidade do governo, ele permanecerá lá pela duração da vigência da assinatura.</w:t>
      </w:r>
      <w:r w:rsidR="00172F11">
        <w:rPr>
          <w:rFonts w:eastAsia="Calibri" w:cs="Tahoma"/>
          <w:color w:val="000000"/>
          <w:szCs w:val="18"/>
        </w:rPr>
        <w:t xml:space="preserve"> </w:t>
      </w:r>
      <w:r w:rsidRPr="004B208C">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172F11">
        <w:rPr>
          <w:rFonts w:eastAsia="Calibri" w:cs="Tahoma"/>
          <w:color w:val="000000"/>
          <w:szCs w:val="18"/>
        </w:rPr>
        <w:t xml:space="preserve"> </w:t>
      </w:r>
      <w:r w:rsidRPr="004B208C">
        <w:rPr>
          <w:rFonts w:eastAsia="Calibri" w:cs="Tahoma"/>
          <w:color w:val="000000"/>
          <w:szCs w:val="18"/>
        </w:rPr>
        <w:t>Os Direitos de Uso para serviços de nuvem da comunidade do governo são equivalentes àqueles dos seus diversos locatários padrão, conforme indicado na tabela a seguir:</w:t>
      </w:r>
    </w:p>
    <w:p w:rsidR="00A83600" w:rsidRPr="004B208C"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4B208C" w:rsidTr="00A01320">
        <w:tc>
          <w:tcPr>
            <w:tcW w:w="4154" w:type="dxa"/>
            <w:shd w:val="clear" w:color="auto" w:fill="FABF8F"/>
          </w:tcPr>
          <w:p w:rsidR="00A83600" w:rsidRPr="004B208C" w:rsidRDefault="00A83600" w:rsidP="00722522">
            <w:pPr>
              <w:rPr>
                <w:rFonts w:eastAsia="Calibri" w:cs="Tahoma"/>
                <w:b/>
                <w:color w:val="000000"/>
                <w:sz w:val="20"/>
                <w:szCs w:val="20"/>
              </w:rPr>
            </w:pPr>
            <w:r w:rsidRPr="004B208C">
              <w:rPr>
                <w:rFonts w:eastAsia="Calibri" w:cs="Tahoma"/>
                <w:b/>
                <w:color w:val="000000"/>
                <w:sz w:val="20"/>
                <w:szCs w:val="20"/>
              </w:rPr>
              <w:t xml:space="preserve">Office 365 Enterprise E </w:t>
            </w:r>
          </w:p>
        </w:tc>
        <w:tc>
          <w:tcPr>
            <w:tcW w:w="4318" w:type="dxa"/>
            <w:shd w:val="clear" w:color="auto" w:fill="FABF8F"/>
          </w:tcPr>
          <w:p w:rsidR="00A83600" w:rsidRPr="004B208C" w:rsidRDefault="00A83600" w:rsidP="00722522">
            <w:pPr>
              <w:rPr>
                <w:rFonts w:eastAsia="Calibri" w:cs="Tahoma"/>
                <w:b/>
                <w:color w:val="000000"/>
                <w:sz w:val="20"/>
                <w:szCs w:val="20"/>
              </w:rPr>
            </w:pPr>
            <w:r w:rsidRPr="004B208C">
              <w:rPr>
                <w:rFonts w:eastAsia="Calibri" w:cs="Tahoma"/>
                <w:b/>
                <w:color w:val="000000"/>
                <w:sz w:val="20"/>
                <w:szCs w:val="20"/>
              </w:rPr>
              <w:t>Serviço Office 365 Government G com Direitos de uso equivalentes</w:t>
            </w:r>
          </w:p>
        </w:tc>
      </w:tr>
      <w:tr w:rsidR="00A83600" w:rsidRPr="004B208C" w:rsidTr="00A01320">
        <w:tc>
          <w:tcPr>
            <w:tcW w:w="4154" w:type="dxa"/>
            <w:shd w:val="clear" w:color="auto" w:fill="auto"/>
          </w:tcPr>
          <w:p w:rsidR="00A83600" w:rsidRPr="004B208C" w:rsidRDefault="00A83600" w:rsidP="00722522">
            <w:pPr>
              <w:rPr>
                <w:rFonts w:eastAsia="Calibri" w:cs="Tahoma"/>
                <w:color w:val="000000"/>
              </w:rPr>
            </w:pPr>
            <w:r w:rsidRPr="004B208C">
              <w:rPr>
                <w:rFonts w:eastAsia="Calibri" w:cs="Tahoma"/>
                <w:color w:val="000000"/>
              </w:rPr>
              <w:t>Office 365 Enterprise E1</w:t>
            </w:r>
          </w:p>
        </w:tc>
        <w:tc>
          <w:tcPr>
            <w:tcW w:w="4318" w:type="dxa"/>
            <w:shd w:val="clear" w:color="auto" w:fill="auto"/>
          </w:tcPr>
          <w:p w:rsidR="00A83600" w:rsidRPr="004B208C" w:rsidRDefault="00A83600" w:rsidP="00722522">
            <w:pPr>
              <w:rPr>
                <w:rFonts w:eastAsia="Calibri" w:cs="Tahoma"/>
                <w:color w:val="000000"/>
              </w:rPr>
            </w:pPr>
            <w:r w:rsidRPr="004B208C">
              <w:rPr>
                <w:rFonts w:eastAsia="Calibri" w:cs="Tahoma"/>
                <w:color w:val="000000"/>
              </w:rPr>
              <w:t>Office 365 Government G1</w:t>
            </w:r>
          </w:p>
        </w:tc>
      </w:tr>
      <w:tr w:rsidR="00A83600" w:rsidRPr="004B208C" w:rsidTr="00A01320">
        <w:tc>
          <w:tcPr>
            <w:tcW w:w="4154" w:type="dxa"/>
            <w:shd w:val="clear" w:color="auto" w:fill="auto"/>
          </w:tcPr>
          <w:p w:rsidR="00A83600" w:rsidRPr="004B208C" w:rsidRDefault="00A83600" w:rsidP="00722522">
            <w:pPr>
              <w:rPr>
                <w:rFonts w:eastAsia="Calibri" w:cs="Tahoma"/>
                <w:color w:val="000000"/>
              </w:rPr>
            </w:pPr>
            <w:r w:rsidRPr="004B208C">
              <w:rPr>
                <w:rFonts w:eastAsia="Calibri" w:cs="Tahoma"/>
                <w:color w:val="000000"/>
              </w:rPr>
              <w:t>Office 365 Enterprise E3</w:t>
            </w:r>
          </w:p>
        </w:tc>
        <w:tc>
          <w:tcPr>
            <w:tcW w:w="4318" w:type="dxa"/>
            <w:shd w:val="clear" w:color="auto" w:fill="auto"/>
          </w:tcPr>
          <w:p w:rsidR="00A83600" w:rsidRPr="004B208C" w:rsidRDefault="00A83600" w:rsidP="00722522">
            <w:pPr>
              <w:rPr>
                <w:rFonts w:eastAsia="Calibri" w:cs="Tahoma"/>
                <w:color w:val="000000"/>
              </w:rPr>
            </w:pPr>
            <w:r w:rsidRPr="004B208C">
              <w:rPr>
                <w:rFonts w:eastAsia="Calibri" w:cs="Tahoma"/>
                <w:color w:val="000000"/>
              </w:rPr>
              <w:t>Office 365 Government G3</w:t>
            </w:r>
          </w:p>
        </w:tc>
      </w:tr>
      <w:tr w:rsidR="00A83600" w:rsidRPr="004B208C" w:rsidTr="00A01320">
        <w:tc>
          <w:tcPr>
            <w:tcW w:w="4154" w:type="dxa"/>
            <w:shd w:val="clear" w:color="auto" w:fill="auto"/>
          </w:tcPr>
          <w:p w:rsidR="00A83600" w:rsidRPr="004B208C" w:rsidRDefault="00A83600" w:rsidP="00722522">
            <w:pPr>
              <w:rPr>
                <w:rFonts w:eastAsia="Calibri" w:cs="Tahoma"/>
                <w:color w:val="000000"/>
              </w:rPr>
            </w:pPr>
            <w:r w:rsidRPr="004B208C">
              <w:rPr>
                <w:rFonts w:eastAsia="Calibri" w:cs="Tahoma"/>
                <w:color w:val="000000"/>
              </w:rPr>
              <w:t>Office 365 Enterprise E4</w:t>
            </w:r>
          </w:p>
        </w:tc>
        <w:tc>
          <w:tcPr>
            <w:tcW w:w="4318" w:type="dxa"/>
            <w:shd w:val="clear" w:color="auto" w:fill="auto"/>
          </w:tcPr>
          <w:p w:rsidR="00A83600" w:rsidRPr="004B208C" w:rsidRDefault="00A83600" w:rsidP="00722522">
            <w:pPr>
              <w:rPr>
                <w:rFonts w:eastAsia="Calibri" w:cs="Tahoma"/>
                <w:color w:val="000000"/>
              </w:rPr>
            </w:pPr>
            <w:r w:rsidRPr="004B208C">
              <w:rPr>
                <w:rFonts w:eastAsia="Calibri" w:cs="Tahoma"/>
                <w:color w:val="000000"/>
              </w:rPr>
              <w:t>Office 365 Government G4</w:t>
            </w:r>
          </w:p>
        </w:tc>
      </w:tr>
    </w:tbl>
    <w:p w:rsidR="004574E9" w:rsidRPr="004B208C" w:rsidRDefault="004574E9" w:rsidP="00194DAF">
      <w:pPr>
        <w:rPr>
          <w:rFonts w:cs="Tahoma"/>
        </w:rPr>
      </w:pPr>
    </w:p>
    <w:p w:rsidR="00C737B6" w:rsidRPr="004B480F" w:rsidRDefault="00C737B6" w:rsidP="007B699C">
      <w:pPr>
        <w:pStyle w:val="EndnoteText"/>
        <w:ind w:left="0"/>
        <w:rPr>
          <w:rFonts w:ascii="Tahoma" w:hAnsi="Tahoma" w:cs="Tahoma"/>
          <w:sz w:val="18"/>
          <w:szCs w:val="18"/>
        </w:rPr>
      </w:pPr>
      <w:bookmarkStart w:id="1367" w:name="_59_Office_Communications"/>
      <w:bookmarkStart w:id="1368" w:name="_57_Office_Communications"/>
      <w:bookmarkStart w:id="1369" w:name="_59_Office_Groove"/>
      <w:bookmarkStart w:id="1370" w:name="Srv_62OfficePerfPointSvr07"/>
      <w:bookmarkEnd w:id="1332"/>
      <w:bookmarkEnd w:id="1367"/>
      <w:bookmarkEnd w:id="1368"/>
      <w:bookmarkEnd w:id="1369"/>
    </w:p>
    <w:p w:rsidR="00F42FD5" w:rsidRPr="004B208C" w:rsidRDefault="00A560B6" w:rsidP="00F42FD5">
      <w:pPr>
        <w:pStyle w:val="Heading2"/>
        <w:ind w:left="0"/>
        <w:rPr>
          <w:rFonts w:ascii="Tahoma" w:hAnsi="Tahoma" w:cs="Tahoma"/>
        </w:rPr>
      </w:pPr>
      <w:bookmarkStart w:id="1371" w:name="_68_SharePoint_Online"/>
      <w:bookmarkStart w:id="1372" w:name="_71_SharePoint_Online"/>
      <w:bookmarkStart w:id="1373" w:name="_78_SharePoint_Online"/>
      <w:bookmarkStart w:id="1374" w:name="_77_SharePoint_Online"/>
      <w:bookmarkStart w:id="1375" w:name="_Toc336338334"/>
      <w:bookmarkStart w:id="1376" w:name="Srv_73SharepointOnlinePlan1"/>
      <w:bookmarkStart w:id="1377" w:name="Srv_74SharepointOnlinePlan1"/>
      <w:bookmarkStart w:id="1378" w:name="_Toc370981451"/>
      <w:bookmarkEnd w:id="1371"/>
      <w:bookmarkEnd w:id="1372"/>
      <w:bookmarkEnd w:id="1373"/>
      <w:bookmarkEnd w:id="1374"/>
      <w:r w:rsidRPr="004B208C">
        <w:rPr>
          <w:rFonts w:ascii="Tahoma" w:hAnsi="Tahoma" w:cs="Tahoma"/>
          <w:caps/>
          <w:color w:val="FF6600"/>
          <w:sz w:val="22"/>
          <w:vertAlign w:val="superscript"/>
        </w:rPr>
        <w:t>77</w:t>
      </w:r>
      <w:r w:rsidRPr="004B208C">
        <w:rPr>
          <w:rFonts w:ascii="Tahoma" w:hAnsi="Tahoma" w:cs="Tahoma"/>
          <w:color w:val="FF6600"/>
        </w:rPr>
        <w:t xml:space="preserve"> </w:t>
      </w:r>
      <w:r w:rsidRPr="004B208C">
        <w:rPr>
          <w:rFonts w:ascii="Tahoma" w:hAnsi="Tahoma" w:cs="Tahoma"/>
          <w:color w:val="FF6600"/>
          <w:sz w:val="22"/>
          <w:szCs w:val="22"/>
        </w:rPr>
        <w:t>SharePoint Online Planos 1 e 2</w:t>
      </w:r>
      <w:bookmarkEnd w:id="1375"/>
      <w:bookmarkEnd w:id="1378"/>
    </w:p>
    <w:bookmarkEnd w:id="1376"/>
    <w:bookmarkEnd w:id="1377"/>
    <w:p w:rsidR="00F42FD5" w:rsidRPr="004B208C" w:rsidRDefault="00F42FD5" w:rsidP="00F42FD5">
      <w:pPr>
        <w:rPr>
          <w:rFonts w:cs="Tahoma"/>
        </w:rPr>
      </w:pPr>
    </w:p>
    <w:p w:rsidR="00F42FD5" w:rsidRPr="004B480F" w:rsidRDefault="00F42FD5" w:rsidP="00AC0ED2">
      <w:pPr>
        <w:pStyle w:val="EndnoteText"/>
        <w:ind w:left="720"/>
        <w:rPr>
          <w:rFonts w:ascii="Tahoma" w:hAnsi="Tahoma" w:cs="Tahoma"/>
          <w:sz w:val="18"/>
          <w:szCs w:val="18"/>
        </w:rPr>
      </w:pPr>
      <w:r w:rsidRPr="004B480F">
        <w:rPr>
          <w:rFonts w:ascii="Tahoma" w:hAnsi="Tahoma" w:cs="Tahoma"/>
          <w:color w:val="000000"/>
          <w:sz w:val="18"/>
          <w:szCs w:val="18"/>
        </w:rPr>
        <w:t>O SharePoint Online Plano 1 era conhecido anteriormente como SharePoint Online Standard.</w:t>
      </w:r>
    </w:p>
    <w:p w:rsidR="00F42FD5" w:rsidRPr="004B480F" w:rsidRDefault="00F42FD5" w:rsidP="00AC0ED2">
      <w:pPr>
        <w:pStyle w:val="EndnoteText"/>
        <w:ind w:left="720"/>
        <w:rPr>
          <w:rFonts w:ascii="Tahoma" w:hAnsi="Tahoma" w:cs="Tahoma"/>
          <w:sz w:val="18"/>
          <w:szCs w:val="18"/>
        </w:rPr>
      </w:pPr>
    </w:p>
    <w:p w:rsidR="00F42FD5" w:rsidRPr="004B480F" w:rsidRDefault="00F42FD5" w:rsidP="00AC0ED2">
      <w:pPr>
        <w:pStyle w:val="EndnoteText"/>
        <w:ind w:left="720"/>
        <w:rPr>
          <w:rFonts w:ascii="Tahoma" w:hAnsi="Tahoma" w:cs="Tahoma"/>
          <w:sz w:val="18"/>
          <w:szCs w:val="18"/>
        </w:rPr>
      </w:pPr>
      <w:r w:rsidRPr="004B480F">
        <w:rPr>
          <w:rFonts w:ascii="Tahoma" w:hAnsi="Tahoma" w:cs="Tahoma"/>
          <w:color w:val="000000"/>
          <w:sz w:val="18"/>
          <w:szCs w:val="18"/>
        </w:rPr>
        <w:t>Os Clientes no Brasil ou no Chile que comprarem o SharePoint Online Plano 1 receberão o SharePoint Online Standard.</w:t>
      </w:r>
      <w:r w:rsidR="00172F11" w:rsidRPr="004B480F">
        <w:rPr>
          <w:rFonts w:ascii="Tahoma" w:hAnsi="Tahoma" w:cs="Tahoma"/>
          <w:color w:val="000000"/>
          <w:sz w:val="18"/>
          <w:szCs w:val="18"/>
        </w:rPr>
        <w:t xml:space="preserve"> </w:t>
      </w:r>
      <w:r w:rsidRPr="004B480F">
        <w:rPr>
          <w:rFonts w:ascii="Tahoma" w:hAnsi="Tahoma" w:cs="Tahoma"/>
          <w:color w:val="000000"/>
          <w:sz w:val="18"/>
          <w:szCs w:val="18"/>
        </w:rPr>
        <w:t>Esses clientes poderão migrar para o SharePoint Online Plano 1 posteriormente.</w:t>
      </w:r>
    </w:p>
    <w:p w:rsidR="007316A1" w:rsidRPr="004B480F" w:rsidRDefault="007316A1" w:rsidP="00AC0ED2">
      <w:pPr>
        <w:pStyle w:val="EndnoteText"/>
        <w:ind w:left="720"/>
        <w:rPr>
          <w:rFonts w:ascii="Tahoma" w:hAnsi="Tahoma" w:cs="Tahoma"/>
          <w:sz w:val="18"/>
          <w:szCs w:val="18"/>
        </w:rPr>
      </w:pPr>
    </w:p>
    <w:p w:rsidR="00DB7BD1" w:rsidRPr="004B480F" w:rsidRDefault="00DB7BD1" w:rsidP="007B699C">
      <w:pPr>
        <w:spacing w:after="60"/>
        <w:ind w:left="720"/>
        <w:rPr>
          <w:rFonts w:cs="Tahoma"/>
          <w:szCs w:val="18"/>
        </w:rPr>
      </w:pPr>
      <w:r w:rsidRPr="004B480F">
        <w:rPr>
          <w:rFonts w:eastAsia="Calibri" w:cs="Tahoma"/>
          <w:b/>
          <w:color w:val="000000"/>
          <w:szCs w:val="18"/>
        </w:rPr>
        <w:t>Nuvem da Comunidade do Governo (Apenas para os Estados Unidos)</w:t>
      </w:r>
    </w:p>
    <w:p w:rsidR="00DB7BD1" w:rsidRPr="004B480F" w:rsidRDefault="00DB7BD1" w:rsidP="00AC0ED2">
      <w:pPr>
        <w:ind w:left="720"/>
        <w:rPr>
          <w:rFonts w:cs="Tahoma"/>
          <w:szCs w:val="18"/>
        </w:rPr>
      </w:pPr>
      <w:r w:rsidRPr="004B480F">
        <w:rPr>
          <w:rFonts w:eastAsia="Calibri" w:cs="Tahoma"/>
          <w:color w:val="000000"/>
          <w:szCs w:val="18"/>
        </w:rPr>
        <w:t>Alguns serviços online na família de produtos do Office 365 (incluindo SharePoint Online Planos 1 e 2) são oferecidos como serviços de nuvem da comunidade do governo e serviços de nuvem da comunidade não governamental.</w:t>
      </w:r>
      <w:r w:rsidR="00172F11" w:rsidRPr="004B480F">
        <w:rPr>
          <w:rFonts w:eastAsia="Calibri" w:cs="Tahoma"/>
          <w:color w:val="000000"/>
          <w:szCs w:val="18"/>
        </w:rPr>
        <w:t xml:space="preserve"> </w:t>
      </w:r>
      <w:r w:rsidRPr="004B480F">
        <w:rPr>
          <w:rFonts w:eastAsia="Calibri" w:cs="Tahoma"/>
          <w:color w:val="000000"/>
          <w:szCs w:val="18"/>
        </w:rPr>
        <w:t>Os clientes podem ser provisionados como um ou outro, mas não com uma mistura dos dois.</w:t>
      </w:r>
      <w:r w:rsidR="00172F11" w:rsidRPr="004B480F">
        <w:rPr>
          <w:rFonts w:eastAsia="Calibri" w:cs="Tahoma"/>
          <w:color w:val="000000"/>
          <w:szCs w:val="18"/>
        </w:rPr>
        <w:t xml:space="preserve"> </w:t>
      </w:r>
      <w:r w:rsidRPr="004B480F">
        <w:rPr>
          <w:rFonts w:eastAsia="Calibri" w:cs="Tahoma"/>
          <w:color w:val="000000"/>
          <w:szCs w:val="18"/>
        </w:rPr>
        <w:t>Os Serviços Online projetados como nuvem de comunidade do governo não podem ser implantados no mesmo domínio que os serviços de nuvem da comunidade não governamental específicos.</w:t>
      </w:r>
      <w:r w:rsidR="00172F11" w:rsidRPr="004B480F">
        <w:rPr>
          <w:rFonts w:eastAsia="Calibri" w:cs="Tahoma"/>
          <w:color w:val="000000"/>
          <w:szCs w:val="18"/>
        </w:rPr>
        <w:t xml:space="preserve"> </w:t>
      </w:r>
      <w:r w:rsidRPr="004B480F">
        <w:rPr>
          <w:rFonts w:eastAsia="Calibri" w:cs="Tahoma"/>
          <w:color w:val="000000"/>
          <w:szCs w:val="18"/>
        </w:rPr>
        <w:t>Esta limitação se estende a qualquer serviço online que faça parte da família de produtos do Office 365, incluindo Exchange Online, SharePoint Online e Lync Online.</w:t>
      </w:r>
      <w:r w:rsidR="00172F11" w:rsidRPr="004B480F">
        <w:rPr>
          <w:rFonts w:eastAsia="Calibri" w:cs="Tahoma"/>
          <w:color w:val="000000"/>
          <w:szCs w:val="18"/>
        </w:rPr>
        <w:t xml:space="preserve"> </w:t>
      </w:r>
    </w:p>
    <w:p w:rsidR="00DB7BD1" w:rsidRPr="004B480F" w:rsidRDefault="00DB7BD1" w:rsidP="00AC0ED2">
      <w:pPr>
        <w:ind w:left="720"/>
        <w:rPr>
          <w:rFonts w:cs="Tahoma"/>
          <w:szCs w:val="18"/>
        </w:rPr>
      </w:pPr>
    </w:p>
    <w:p w:rsidR="00DB7BD1" w:rsidRPr="004B480F" w:rsidRDefault="00DB7BD1" w:rsidP="00AC0ED2">
      <w:pPr>
        <w:ind w:left="720"/>
        <w:rPr>
          <w:rFonts w:cs="Tahoma"/>
          <w:szCs w:val="18"/>
        </w:rPr>
      </w:pPr>
      <w:r w:rsidRPr="004B480F">
        <w:rPr>
          <w:rFonts w:eastAsia="Calibri" w:cs="Tahoma"/>
          <w:color w:val="000000"/>
          <w:szCs w:val="18"/>
        </w:rPr>
        <w:t>Assim que um serviço online é provisionado na nuvem de comunidade do governo, ele permanecerá lá pela duração da vigência da assinatura.</w:t>
      </w:r>
      <w:r w:rsidR="00172F11" w:rsidRPr="004B480F">
        <w:rPr>
          <w:rFonts w:eastAsia="Calibri" w:cs="Tahoma"/>
          <w:color w:val="000000"/>
          <w:szCs w:val="18"/>
        </w:rPr>
        <w:t xml:space="preserve"> </w:t>
      </w:r>
      <w:r w:rsidRPr="004B480F">
        <w:rPr>
          <w:rFonts w:eastAsia="Calibri" w:cs="Tahoma"/>
          <w:color w:val="000000"/>
          <w:szCs w:val="18"/>
        </w:rPr>
        <w:t>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w:t>
      </w:r>
      <w:r w:rsidR="00172F11" w:rsidRPr="004B480F">
        <w:rPr>
          <w:rFonts w:eastAsia="Calibri" w:cs="Tahoma"/>
          <w:color w:val="000000"/>
          <w:szCs w:val="18"/>
        </w:rPr>
        <w:t xml:space="preserve"> </w:t>
      </w:r>
      <w:r w:rsidRPr="004B480F">
        <w:rPr>
          <w:rFonts w:eastAsia="Calibri" w:cs="Tahoma"/>
          <w:color w:val="000000"/>
          <w:szCs w:val="18"/>
        </w:rPr>
        <w:t>Os Direitos de Uso para serviços de nuvem da comunidade do governo são equivalentes àqueles dos seus diversos locatários padrão.</w:t>
      </w:r>
    </w:p>
    <w:p w:rsidR="00C737B6" w:rsidRPr="004B480F" w:rsidRDefault="00C737B6" w:rsidP="00697E59">
      <w:pPr>
        <w:pStyle w:val="EndnoteText"/>
        <w:ind w:left="0"/>
        <w:rPr>
          <w:rFonts w:ascii="Tahoma" w:hAnsi="Tahoma" w:cs="Tahoma"/>
          <w:sz w:val="18"/>
          <w:szCs w:val="18"/>
        </w:rPr>
      </w:pPr>
    </w:p>
    <w:p w:rsidR="007B699C" w:rsidRPr="004B480F" w:rsidRDefault="007B699C" w:rsidP="00697E59">
      <w:pPr>
        <w:pStyle w:val="EndnoteText"/>
        <w:ind w:left="0"/>
        <w:rPr>
          <w:rFonts w:ascii="Tahoma" w:hAnsi="Tahoma" w:cs="Tahoma"/>
          <w:sz w:val="18"/>
          <w:szCs w:val="18"/>
        </w:rPr>
      </w:pPr>
    </w:p>
    <w:p w:rsidR="002F7FB8" w:rsidRPr="004B208C" w:rsidRDefault="00152E1B" w:rsidP="002F7FB8">
      <w:pPr>
        <w:pStyle w:val="Heading2"/>
        <w:ind w:left="0"/>
        <w:rPr>
          <w:rFonts w:ascii="Tahoma" w:hAnsi="Tahoma" w:cs="Tahoma"/>
        </w:rPr>
      </w:pPr>
      <w:bookmarkStart w:id="1379" w:name="_69_SharePoint_Server"/>
      <w:bookmarkStart w:id="1380" w:name="_74_72_SharePoint"/>
      <w:bookmarkStart w:id="1381" w:name="_79_SharePoint_Server"/>
      <w:bookmarkStart w:id="1382" w:name="_78_SharePoint_Server"/>
      <w:bookmarkStart w:id="1383" w:name="_Toc336338335"/>
      <w:bookmarkStart w:id="1384" w:name="Srv_65ShareptSvr10"/>
      <w:bookmarkStart w:id="1385" w:name="Srv_64OfficeShareptSvr10"/>
      <w:bookmarkStart w:id="1386" w:name="Srv_63OfficeShareptSvr07"/>
      <w:bookmarkStart w:id="1387" w:name="Srv_62OfficeShareptSvr07"/>
      <w:bookmarkStart w:id="1388" w:name="_Toc370981452"/>
      <w:bookmarkEnd w:id="1370"/>
      <w:bookmarkEnd w:id="1379"/>
      <w:bookmarkEnd w:id="1380"/>
      <w:bookmarkEnd w:id="1381"/>
      <w:bookmarkEnd w:id="1382"/>
      <w:r w:rsidRPr="004B208C">
        <w:rPr>
          <w:rFonts w:ascii="Tahoma" w:hAnsi="Tahoma" w:cs="Tahoma"/>
          <w:caps/>
          <w:color w:val="FA6500"/>
          <w:sz w:val="22"/>
          <w:vertAlign w:val="superscript"/>
        </w:rPr>
        <w:t xml:space="preserve">78 </w:t>
      </w:r>
      <w:r w:rsidRPr="004B208C">
        <w:rPr>
          <w:rFonts w:ascii="Tahoma" w:hAnsi="Tahoma" w:cs="Tahoma"/>
          <w:color w:val="FA6500"/>
          <w:sz w:val="22"/>
        </w:rPr>
        <w:t xml:space="preserve">SharePoint Server </w:t>
      </w:r>
      <w:bookmarkEnd w:id="1383"/>
      <w:r w:rsidRPr="004B208C">
        <w:rPr>
          <w:rFonts w:ascii="Tahoma" w:hAnsi="Tahoma" w:cs="Tahoma"/>
          <w:color w:val="FA6500"/>
          <w:sz w:val="22"/>
        </w:rPr>
        <w:t>2013</w:t>
      </w:r>
      <w:bookmarkEnd w:id="1388"/>
      <w:r w:rsidRPr="004B208C">
        <w:rPr>
          <w:rFonts w:ascii="Tahoma" w:hAnsi="Tahoma" w:cs="Tahoma"/>
          <w:color w:val="FA6500"/>
          <w:sz w:val="22"/>
        </w:rPr>
        <w:t xml:space="preserve"> </w:t>
      </w:r>
    </w:p>
    <w:bookmarkEnd w:id="1384"/>
    <w:bookmarkEnd w:id="1385"/>
    <w:bookmarkEnd w:id="1386"/>
    <w:bookmarkEnd w:id="1387"/>
    <w:p w:rsidR="002F7FB8" w:rsidRPr="004B208C" w:rsidRDefault="002F7FB8" w:rsidP="002F7FB8">
      <w:pPr>
        <w:ind w:left="720"/>
        <w:rPr>
          <w:rFonts w:cs="Tahoma"/>
        </w:rPr>
      </w:pPr>
    </w:p>
    <w:p w:rsidR="002F7FB8" w:rsidRPr="004B208C" w:rsidRDefault="002F7FB8" w:rsidP="002F7FB8">
      <w:pPr>
        <w:ind w:left="720"/>
        <w:rPr>
          <w:rFonts w:cs="Tahoma"/>
        </w:rPr>
      </w:pPr>
      <w:r w:rsidRPr="004B208C">
        <w:rPr>
          <w:rFonts w:cs="Tahoma"/>
          <w:color w:val="000000"/>
          <w:szCs w:val="18"/>
        </w:rPr>
        <w:t>SharePoint Server 2013 é a versão mais recente do SharePoint Server.</w:t>
      </w:r>
    </w:p>
    <w:p w:rsidR="002F7FB8" w:rsidRPr="004B208C" w:rsidRDefault="002F7FB8" w:rsidP="002F7FB8">
      <w:pPr>
        <w:ind w:left="720"/>
        <w:rPr>
          <w:rFonts w:cs="Tahoma"/>
        </w:rPr>
      </w:pPr>
    </w:p>
    <w:p w:rsidR="002F7FB8" w:rsidRPr="004B208C" w:rsidRDefault="002F7FB8" w:rsidP="007B699C">
      <w:pPr>
        <w:spacing w:after="60"/>
        <w:ind w:left="720"/>
        <w:rPr>
          <w:rFonts w:cs="Tahoma"/>
        </w:rPr>
      </w:pPr>
      <w:r w:rsidRPr="004B208C">
        <w:rPr>
          <w:rFonts w:cs="Tahoma"/>
          <w:b/>
          <w:color w:val="000000"/>
          <w:szCs w:val="18"/>
        </w:rPr>
        <w:t>Outorgas de Licença para SharePoint 2010 para Internet Sites Enterprise, SharePoint Server 2010 para Internet Sites Standard, FAST Search Server 2010 para Clientes do SharePoint Server, Search Server 2010</w:t>
      </w:r>
    </w:p>
    <w:p w:rsidR="002F7FB8" w:rsidRPr="004B208C" w:rsidRDefault="00CD0D74" w:rsidP="002F7FB8">
      <w:pPr>
        <w:ind w:left="720"/>
        <w:rPr>
          <w:rFonts w:cs="Tahoma"/>
        </w:rPr>
      </w:pPr>
      <w:r w:rsidRPr="004B208C">
        <w:rPr>
          <w:rFonts w:cs="Tahoma"/>
          <w:color w:val="000000"/>
          <w:szCs w:val="18"/>
        </w:rPr>
        <w:t>A versão 2010 do SharePoint Server para Internet Sites Enterprise e SharePoint Server para Internet Sites Standard, FAST Search Server para SharePoint Server e Search Server é a versão final desses produtos.</w:t>
      </w:r>
      <w:r w:rsidR="00172F11">
        <w:rPr>
          <w:rFonts w:cs="Tahoma"/>
          <w:color w:val="000000"/>
          <w:szCs w:val="18"/>
        </w:rPr>
        <w:t xml:space="preserve"> </w:t>
      </w:r>
      <w:r w:rsidRPr="004B208C">
        <w:rPr>
          <w:rFonts w:cs="Tahoma"/>
          <w:color w:val="000000"/>
          <w:szCs w:val="18"/>
        </w:rPr>
        <w:t>Tendo isso em visto, os clientes com licenças para SharePoint Server 2010 para Internet Sites Enterprise, SharePoint Server 2010 para Internet Sites Standard, FAST Search Server 2010 para SharePoint, Search Server 2010 com cobertura do Software Assurance ativa a partir de 1º de outubro de 2012 estão qualificados para as seguintes outorgas de licença.</w:t>
      </w:r>
    </w:p>
    <w:p w:rsidR="007B35CE" w:rsidRPr="004B208C"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4B208C" w:rsidTr="002C3AB1">
        <w:trPr>
          <w:trHeight w:val="332"/>
        </w:trPr>
        <w:tc>
          <w:tcPr>
            <w:tcW w:w="4500" w:type="dxa"/>
            <w:shd w:val="clear" w:color="auto" w:fill="FABF8F"/>
          </w:tcPr>
          <w:p w:rsidR="002F7FB8" w:rsidRPr="004B208C" w:rsidRDefault="002F7FB8" w:rsidP="007E466C">
            <w:pPr>
              <w:keepNext/>
              <w:keepLines/>
              <w:spacing w:before="60" w:after="60"/>
              <w:rPr>
                <w:rFonts w:cs="Tahoma"/>
                <w:b/>
                <w:color w:val="000000"/>
                <w:szCs w:val="18"/>
              </w:rPr>
            </w:pPr>
            <w:r w:rsidRPr="004B208C">
              <w:rPr>
                <w:rFonts w:cs="Tahoma"/>
                <w:b/>
                <w:color w:val="000000"/>
                <w:szCs w:val="18"/>
              </w:rPr>
              <w:lastRenderedPageBreak/>
              <w:t>Licença Qualificada</w:t>
            </w:r>
          </w:p>
        </w:tc>
        <w:tc>
          <w:tcPr>
            <w:tcW w:w="3600" w:type="dxa"/>
            <w:shd w:val="clear" w:color="auto" w:fill="FABF8F"/>
          </w:tcPr>
          <w:p w:rsidR="002F7FB8" w:rsidRPr="004B208C" w:rsidRDefault="002F7FB8" w:rsidP="007E466C">
            <w:pPr>
              <w:keepNext/>
              <w:keepLines/>
              <w:spacing w:before="60" w:after="60"/>
              <w:rPr>
                <w:rFonts w:cs="Tahoma"/>
                <w:b/>
                <w:color w:val="000000"/>
                <w:szCs w:val="18"/>
              </w:rPr>
            </w:pPr>
            <w:r w:rsidRPr="004B208C">
              <w:rPr>
                <w:rFonts w:cs="Tahoma"/>
                <w:b/>
                <w:color w:val="000000"/>
                <w:szCs w:val="18"/>
              </w:rPr>
              <w:t>Licença Complementar e Benefícios</w:t>
            </w:r>
          </w:p>
        </w:tc>
      </w:tr>
      <w:tr w:rsidR="00CD0D74" w:rsidRPr="004B208C" w:rsidTr="002C3AB1">
        <w:trPr>
          <w:trHeight w:val="70"/>
        </w:trPr>
        <w:tc>
          <w:tcPr>
            <w:tcW w:w="4500" w:type="dxa"/>
            <w:shd w:val="clear" w:color="auto" w:fill="auto"/>
          </w:tcPr>
          <w:p w:rsidR="00CD0D74" w:rsidRPr="004B208C" w:rsidRDefault="00CD0D74" w:rsidP="004B480F">
            <w:pPr>
              <w:keepNext/>
              <w:keepLines/>
              <w:rPr>
                <w:rFonts w:cs="Tahoma"/>
                <w:color w:val="000000"/>
                <w:szCs w:val="18"/>
              </w:rPr>
            </w:pPr>
            <w:r w:rsidRPr="004B208C">
              <w:rPr>
                <w:rFonts w:cs="Tahoma"/>
                <w:color w:val="000000"/>
                <w:szCs w:val="18"/>
              </w:rPr>
              <w:t>Licença do SharePoint Server 2010 para Internet Sites Enterprise com Software Assurance ativo em 1º</w:t>
            </w:r>
            <w:r w:rsidR="004B480F">
              <w:rPr>
                <w:rFonts w:cs="Tahoma"/>
                <w:color w:val="000000"/>
                <w:szCs w:val="18"/>
              </w:rPr>
              <w:t> </w:t>
            </w:r>
            <w:r w:rsidRPr="004B208C">
              <w:rPr>
                <w:rFonts w:cs="Tahoma"/>
                <w:color w:val="000000"/>
                <w:szCs w:val="18"/>
              </w:rPr>
              <w:t>de outubro de 2012</w:t>
            </w:r>
          </w:p>
        </w:tc>
        <w:tc>
          <w:tcPr>
            <w:tcW w:w="3600" w:type="dxa"/>
            <w:shd w:val="clear" w:color="auto" w:fill="auto"/>
          </w:tcPr>
          <w:p w:rsidR="00CD0D74" w:rsidRPr="004B208C" w:rsidRDefault="00CD0D74" w:rsidP="00C066F9">
            <w:pPr>
              <w:keepNext/>
              <w:keepLines/>
              <w:rPr>
                <w:rFonts w:cs="Tahoma"/>
                <w:color w:val="000000"/>
                <w:szCs w:val="18"/>
              </w:rPr>
            </w:pPr>
            <w:r w:rsidRPr="004B208C">
              <w:rPr>
                <w:rFonts w:cs="Tahoma"/>
                <w:color w:val="000000"/>
                <w:szCs w:val="18"/>
              </w:rPr>
              <w:t>Uma licença do SharePoint Server 2013</w:t>
            </w:r>
          </w:p>
        </w:tc>
      </w:tr>
      <w:tr w:rsidR="00CD0D74" w:rsidRPr="004B208C" w:rsidTr="002C3AB1">
        <w:trPr>
          <w:trHeight w:val="152"/>
        </w:trPr>
        <w:tc>
          <w:tcPr>
            <w:tcW w:w="4500" w:type="dxa"/>
            <w:shd w:val="clear" w:color="auto" w:fill="auto"/>
          </w:tcPr>
          <w:p w:rsidR="00CD0D74" w:rsidRPr="004B208C" w:rsidRDefault="00CD0D74" w:rsidP="004B480F">
            <w:pPr>
              <w:keepNext/>
              <w:keepLines/>
              <w:rPr>
                <w:rFonts w:cs="Tahoma"/>
                <w:color w:val="000000"/>
                <w:szCs w:val="18"/>
              </w:rPr>
            </w:pPr>
            <w:r w:rsidRPr="004B208C">
              <w:rPr>
                <w:rFonts w:cs="Tahoma"/>
                <w:color w:val="000000"/>
                <w:szCs w:val="18"/>
              </w:rPr>
              <w:t>Licença do SharePoint Server 2010 para Internet Sites Standard com Software Assurance ativo em 1º</w:t>
            </w:r>
            <w:r w:rsidR="004B480F">
              <w:rPr>
                <w:rFonts w:cs="Tahoma"/>
                <w:color w:val="000000"/>
                <w:szCs w:val="18"/>
              </w:rPr>
              <w:t> </w:t>
            </w:r>
            <w:r w:rsidRPr="004B208C">
              <w:rPr>
                <w:rFonts w:cs="Tahoma"/>
                <w:color w:val="000000"/>
                <w:szCs w:val="18"/>
              </w:rPr>
              <w:t xml:space="preserve">de outubro de 2012 </w:t>
            </w:r>
          </w:p>
        </w:tc>
        <w:tc>
          <w:tcPr>
            <w:tcW w:w="3600" w:type="dxa"/>
            <w:shd w:val="clear" w:color="auto" w:fill="auto"/>
          </w:tcPr>
          <w:p w:rsidR="00CD0D74" w:rsidRPr="004B208C" w:rsidRDefault="00CD0D74" w:rsidP="00C066F9">
            <w:pPr>
              <w:keepNext/>
              <w:keepLines/>
              <w:rPr>
                <w:rFonts w:cs="Tahoma"/>
                <w:color w:val="000000"/>
                <w:szCs w:val="18"/>
              </w:rPr>
            </w:pPr>
            <w:r w:rsidRPr="004B208C">
              <w:rPr>
                <w:rFonts w:cs="Tahoma"/>
                <w:color w:val="000000"/>
                <w:szCs w:val="18"/>
              </w:rPr>
              <w:t>Uma licença do SharePoint Server 2013</w:t>
            </w:r>
          </w:p>
        </w:tc>
      </w:tr>
      <w:tr w:rsidR="00CD0D74" w:rsidRPr="004B208C" w:rsidTr="002C3AB1">
        <w:trPr>
          <w:trHeight w:val="152"/>
        </w:trPr>
        <w:tc>
          <w:tcPr>
            <w:tcW w:w="4500" w:type="dxa"/>
            <w:shd w:val="clear" w:color="auto" w:fill="auto"/>
          </w:tcPr>
          <w:p w:rsidR="00CD0D74" w:rsidRPr="004B208C" w:rsidRDefault="00CD0D74" w:rsidP="003678D7">
            <w:pPr>
              <w:keepNext/>
              <w:keepLines/>
              <w:rPr>
                <w:rFonts w:cs="Tahoma"/>
                <w:color w:val="000000"/>
                <w:szCs w:val="18"/>
              </w:rPr>
            </w:pPr>
            <w:r w:rsidRPr="004B208C">
              <w:rPr>
                <w:rFonts w:cs="Tahoma"/>
                <w:color w:val="000000"/>
                <w:szCs w:val="18"/>
              </w:rPr>
              <w:t>Licença do FAST Search Server 2010 para SharePoint Server com Software Assurance ativo em 1º de outubro de 2012</w:t>
            </w:r>
          </w:p>
        </w:tc>
        <w:tc>
          <w:tcPr>
            <w:tcW w:w="3600" w:type="dxa"/>
            <w:shd w:val="clear" w:color="auto" w:fill="auto"/>
          </w:tcPr>
          <w:p w:rsidR="00CD0D74" w:rsidRPr="004B208C" w:rsidRDefault="00CD0D74" w:rsidP="00C066F9">
            <w:pPr>
              <w:keepNext/>
              <w:keepLines/>
              <w:rPr>
                <w:rFonts w:cs="Tahoma"/>
                <w:color w:val="000000"/>
                <w:szCs w:val="18"/>
              </w:rPr>
            </w:pPr>
            <w:r w:rsidRPr="004B208C">
              <w:rPr>
                <w:rFonts w:cs="Tahoma"/>
                <w:color w:val="000000"/>
                <w:szCs w:val="18"/>
              </w:rPr>
              <w:t>Uma licença do SharePoint Server 2013</w:t>
            </w:r>
          </w:p>
        </w:tc>
      </w:tr>
      <w:tr w:rsidR="00CD0D74" w:rsidRPr="004B208C" w:rsidTr="002C3AB1">
        <w:trPr>
          <w:trHeight w:val="233"/>
        </w:trPr>
        <w:tc>
          <w:tcPr>
            <w:tcW w:w="4500" w:type="dxa"/>
            <w:shd w:val="clear" w:color="auto" w:fill="auto"/>
          </w:tcPr>
          <w:p w:rsidR="00CD0D74" w:rsidRPr="004B208C" w:rsidRDefault="00CD0D74" w:rsidP="003678D7">
            <w:pPr>
              <w:keepNext/>
              <w:keepLines/>
              <w:rPr>
                <w:rFonts w:cs="Tahoma"/>
                <w:color w:val="000000"/>
                <w:szCs w:val="18"/>
              </w:rPr>
            </w:pPr>
            <w:r w:rsidRPr="004B208C">
              <w:rPr>
                <w:rFonts w:cs="Tahoma"/>
                <w:color w:val="000000"/>
                <w:szCs w:val="18"/>
              </w:rPr>
              <w:t>Licença do Search Server 2010 com Software Assurance ativo em 1º de outubro de 2012</w:t>
            </w:r>
          </w:p>
        </w:tc>
        <w:tc>
          <w:tcPr>
            <w:tcW w:w="3600" w:type="dxa"/>
            <w:shd w:val="clear" w:color="auto" w:fill="auto"/>
          </w:tcPr>
          <w:p w:rsidR="00CD0D74" w:rsidRPr="004B208C" w:rsidRDefault="00CD0D74" w:rsidP="00C066F9">
            <w:pPr>
              <w:keepNext/>
              <w:keepLines/>
              <w:rPr>
                <w:rFonts w:cs="Tahoma"/>
              </w:rPr>
            </w:pPr>
            <w:r w:rsidRPr="004B208C">
              <w:rPr>
                <w:rFonts w:cs="Tahoma"/>
                <w:color w:val="000000"/>
                <w:szCs w:val="18"/>
              </w:rPr>
              <w:t xml:space="preserve">Uma licença do SharePoint Server 2013 </w:t>
            </w:r>
            <w:r w:rsidRPr="004B208C">
              <w:rPr>
                <w:rFonts w:cs="Tahoma"/>
                <w:b/>
                <w:color w:val="000000"/>
                <w:szCs w:val="18"/>
              </w:rPr>
              <w:t>e</w:t>
            </w:r>
          </w:p>
          <w:p w:rsidR="00CD0D74" w:rsidRPr="004B208C" w:rsidRDefault="00CD0D74" w:rsidP="00C066F9">
            <w:pPr>
              <w:keepNext/>
              <w:keepLines/>
              <w:rPr>
                <w:rFonts w:cs="Tahoma"/>
              </w:rPr>
            </w:pPr>
          </w:p>
          <w:p w:rsidR="00CD0D74" w:rsidRPr="004B208C" w:rsidRDefault="00CD0D74" w:rsidP="00C066F9">
            <w:pPr>
              <w:keepNext/>
              <w:keepLines/>
              <w:rPr>
                <w:rFonts w:cs="Tahoma"/>
                <w:color w:val="000000"/>
                <w:szCs w:val="18"/>
              </w:rPr>
            </w:pPr>
            <w:r w:rsidRPr="004B208C">
              <w:rPr>
                <w:rFonts w:cs="Tahoma"/>
                <w:color w:val="000000"/>
                <w:szCs w:val="18"/>
              </w:rPr>
              <w:t>100 CALs do SharePoint Server 2013 Standard</w:t>
            </w:r>
          </w:p>
        </w:tc>
      </w:tr>
    </w:tbl>
    <w:p w:rsidR="00586FCE" w:rsidRPr="004B208C" w:rsidRDefault="00586FCE" w:rsidP="00586FCE">
      <w:pPr>
        <w:rPr>
          <w:rFonts w:cs="Tahoma"/>
        </w:rPr>
      </w:pPr>
    </w:p>
    <w:p w:rsidR="002F7FB8" w:rsidRPr="004B208C" w:rsidRDefault="002F7FB8" w:rsidP="002F7FB8">
      <w:pPr>
        <w:ind w:left="720"/>
        <w:rPr>
          <w:rFonts w:cs="Tahoma"/>
        </w:rPr>
      </w:pPr>
      <w:r w:rsidRPr="004B208C">
        <w:rPr>
          <w:rFonts w:cs="Tahoma"/>
          <w:color w:val="000000"/>
          <w:szCs w:val="18"/>
        </w:rPr>
        <w:t>Os termos e as condições a seguir se aplicam à outorga de licença acima.</w:t>
      </w:r>
    </w:p>
    <w:p w:rsidR="002F7FB8" w:rsidRPr="004B208C" w:rsidRDefault="002F7FB8" w:rsidP="002F7FB8">
      <w:pPr>
        <w:ind w:left="720"/>
        <w:rPr>
          <w:rFonts w:cs="Tahoma"/>
        </w:rPr>
      </w:pPr>
    </w:p>
    <w:p w:rsidR="002F7FB8" w:rsidRPr="004B208C" w:rsidRDefault="002F7FB8" w:rsidP="00A1385C">
      <w:pPr>
        <w:numPr>
          <w:ilvl w:val="0"/>
          <w:numId w:val="96"/>
        </w:numPr>
        <w:spacing w:after="60"/>
        <w:ind w:left="1440"/>
        <w:rPr>
          <w:rFonts w:cs="Tahoma"/>
        </w:rPr>
      </w:pPr>
      <w:r w:rsidRPr="004B208C">
        <w:rPr>
          <w:rFonts w:cs="Tahoma"/>
          <w:bCs/>
          <w:color w:val="000000"/>
          <w:szCs w:val="18"/>
          <w:u w:val="single"/>
        </w:rPr>
        <w:t>Caminho de Migração</w:t>
      </w:r>
      <w:r w:rsidRPr="004B480F">
        <w:rPr>
          <w:rFonts w:cs="Tahoma"/>
          <w:color w:val="000000"/>
          <w:szCs w:val="18"/>
        </w:rPr>
        <w:t xml:space="preserve">: </w:t>
      </w:r>
      <w:r w:rsidRPr="004B208C">
        <w:rPr>
          <w:rFonts w:cs="Tahoma"/>
          <w:color w:val="000000"/>
          <w:szCs w:val="18"/>
        </w:rPr>
        <w:t>os clientes com cobertura do Software Assurance ativa para uma determinada Licença Qualificada a partir de 1º de outubro de 2012 e mediante o lançamento do SharePoint Server 2013 estão qualificados para atualizar e usar o software SharePoint 2013 sob a</w:t>
      </w:r>
      <w:r w:rsidR="004B480F">
        <w:rPr>
          <w:rFonts w:cs="Tahoma"/>
          <w:color w:val="000000"/>
          <w:szCs w:val="18"/>
        </w:rPr>
        <w:t> </w:t>
      </w:r>
      <w:r w:rsidRPr="004B208C">
        <w:rPr>
          <w:rFonts w:cs="Tahoma"/>
          <w:color w:val="000000"/>
          <w:szCs w:val="18"/>
        </w:rPr>
        <w:t>Licença Complementar em vez da cópia licenciada correspondente do software de 2010.</w:t>
      </w:r>
      <w:r w:rsidR="00172F11">
        <w:rPr>
          <w:rFonts w:cs="Tahoma"/>
          <w:color w:val="000000"/>
          <w:szCs w:val="18"/>
        </w:rPr>
        <w:t xml:space="preserve"> </w:t>
      </w:r>
    </w:p>
    <w:p w:rsidR="002F7FB8" w:rsidRPr="004B208C" w:rsidRDefault="002F7FB8" w:rsidP="00A1385C">
      <w:pPr>
        <w:numPr>
          <w:ilvl w:val="0"/>
          <w:numId w:val="96"/>
        </w:numPr>
        <w:spacing w:after="60"/>
        <w:ind w:left="1440"/>
        <w:rPr>
          <w:rFonts w:cs="Tahoma"/>
        </w:rPr>
      </w:pPr>
      <w:r w:rsidRPr="004B208C">
        <w:rPr>
          <w:rFonts w:cs="Tahoma"/>
          <w:color w:val="000000"/>
          <w:szCs w:val="18"/>
          <w:u w:val="single"/>
        </w:rPr>
        <w:t>Direitos de uso</w:t>
      </w:r>
      <w:r w:rsidRPr="004B208C">
        <w:rPr>
          <w:rFonts w:cs="Tahoma"/>
          <w:color w:val="000000"/>
          <w:szCs w:val="18"/>
        </w:rPr>
        <w:t>: O direito de usar o software sob as Licenças Complementares nessa oferta expirará quando o direito de usar o software sob as Licenças Qualificadas expirar.</w:t>
      </w:r>
      <w:r w:rsidR="00172F11">
        <w:rPr>
          <w:rFonts w:cs="Tahoma"/>
          <w:color w:val="000000"/>
          <w:szCs w:val="18"/>
        </w:rPr>
        <w:t xml:space="preserve"> </w:t>
      </w:r>
      <w:r w:rsidRPr="004B208C">
        <w:rPr>
          <w:rFonts w:cs="Tahoma"/>
          <w:color w:val="000000"/>
          <w:szCs w:val="18"/>
        </w:rPr>
        <w:t>O uso desse software é regido pelos direitos de uso do software e pelos termos e condições do contrato de licenciamento por volume do cliente.</w:t>
      </w:r>
      <w:r w:rsidR="00172F11">
        <w:rPr>
          <w:rFonts w:cs="Tahoma"/>
          <w:color w:val="000000"/>
          <w:szCs w:val="18"/>
        </w:rPr>
        <w:t xml:space="preserve"> </w:t>
      </w:r>
      <w:r w:rsidRPr="004B208C">
        <w:rPr>
          <w:rFonts w:cs="Tahoma"/>
          <w:color w:val="000000"/>
          <w:szCs w:val="18"/>
        </w:rPr>
        <w:t>Essa nota de condição do produto e a evidência do cliente da</w:t>
      </w:r>
      <w:r w:rsidR="004B480F">
        <w:rPr>
          <w:rFonts w:cs="Tahoma"/>
          <w:color w:val="000000"/>
          <w:szCs w:val="18"/>
        </w:rPr>
        <w:t> </w:t>
      </w:r>
      <w:r w:rsidRPr="004B208C">
        <w:rPr>
          <w:rFonts w:cs="Tahoma"/>
          <w:color w:val="000000"/>
          <w:szCs w:val="18"/>
        </w:rPr>
        <w:t>Licença Qualificada e do Software Assurance do cliente juntas comprovam o direito de usar o</w:t>
      </w:r>
      <w:r w:rsidR="004B480F">
        <w:rPr>
          <w:rFonts w:cs="Tahoma"/>
          <w:color w:val="000000"/>
          <w:szCs w:val="18"/>
        </w:rPr>
        <w:t> </w:t>
      </w:r>
      <w:r w:rsidRPr="004B208C">
        <w:rPr>
          <w:rFonts w:cs="Tahoma"/>
          <w:color w:val="000000"/>
          <w:szCs w:val="18"/>
        </w:rPr>
        <w:t xml:space="preserve">software sob a Licença Complementar nessa oferta. </w:t>
      </w:r>
    </w:p>
    <w:p w:rsidR="002F7FB8" w:rsidRPr="004B208C" w:rsidRDefault="002F7FB8" w:rsidP="007B699C">
      <w:pPr>
        <w:numPr>
          <w:ilvl w:val="0"/>
          <w:numId w:val="8"/>
        </w:numPr>
        <w:spacing w:after="60"/>
        <w:ind w:left="1440"/>
        <w:rPr>
          <w:rFonts w:cs="Tahoma"/>
        </w:rPr>
      </w:pPr>
      <w:r w:rsidRPr="004B208C">
        <w:rPr>
          <w:rFonts w:cs="Tahoma"/>
          <w:color w:val="000000"/>
          <w:szCs w:val="18"/>
          <w:u w:val="single"/>
        </w:rPr>
        <w:t>Licença e Software Assurance (L&amp;SA)</w:t>
      </w:r>
      <w:r w:rsidRPr="004B208C">
        <w:rPr>
          <w:rFonts w:cs="Tahoma"/>
          <w:color w:val="000000"/>
          <w:szCs w:val="18"/>
        </w:rPr>
        <w:t>: A Licença Complementar inclui a cobertura do Software Assurance.</w:t>
      </w:r>
      <w:r w:rsidR="00172F11">
        <w:rPr>
          <w:rFonts w:cs="Tahoma"/>
          <w:color w:val="000000"/>
          <w:szCs w:val="18"/>
        </w:rPr>
        <w:t xml:space="preserve"> </w:t>
      </w:r>
      <w:r w:rsidRPr="004B208C">
        <w:rPr>
          <w:rFonts w:cs="Tahoma"/>
          <w:color w:val="000000"/>
          <w:szCs w:val="18"/>
        </w:rPr>
        <w:t>A cobertura do Software Assurance sobre a Licença Complementar expirará quando a</w:t>
      </w:r>
      <w:r w:rsidR="004B480F">
        <w:rPr>
          <w:rFonts w:cs="Tahoma"/>
          <w:color w:val="000000"/>
          <w:szCs w:val="18"/>
        </w:rPr>
        <w:t> </w:t>
      </w:r>
      <w:r w:rsidRPr="004B208C">
        <w:rPr>
          <w:rFonts w:cs="Tahoma"/>
          <w:color w:val="000000"/>
          <w:szCs w:val="18"/>
        </w:rPr>
        <w:t>cobertura da Licença Qualificada expirar.</w:t>
      </w:r>
      <w:r w:rsidR="00172F11">
        <w:rPr>
          <w:rFonts w:cs="Tahoma"/>
          <w:color w:val="000000"/>
          <w:szCs w:val="18"/>
        </w:rPr>
        <w:t xml:space="preserve"> </w:t>
      </w:r>
      <w:r w:rsidRPr="004B208C">
        <w:rPr>
          <w:rFonts w:cs="Tahoma"/>
          <w:color w:val="000000"/>
          <w:szCs w:val="18"/>
        </w:rPr>
        <w:t>No término da cobertura do Software Assurance para a</w:t>
      </w:r>
      <w:r w:rsidR="004B480F">
        <w:rPr>
          <w:rFonts w:cs="Tahoma"/>
          <w:color w:val="000000"/>
          <w:szCs w:val="18"/>
        </w:rPr>
        <w:t> </w:t>
      </w:r>
      <w:r w:rsidRPr="004B208C">
        <w:rPr>
          <w:rFonts w:cs="Tahoma"/>
          <w:color w:val="000000"/>
          <w:szCs w:val="18"/>
        </w:rPr>
        <w:t>Licença Qualificada, o cliente poderá renovar o Software Assurance para a Licença Complementar sem precisar adquirir uma nova licença separadamente.</w:t>
      </w:r>
    </w:p>
    <w:p w:rsidR="002F7FB8" w:rsidRPr="004B208C" w:rsidRDefault="002F7FB8" w:rsidP="00A1385C">
      <w:pPr>
        <w:numPr>
          <w:ilvl w:val="0"/>
          <w:numId w:val="97"/>
        </w:numPr>
        <w:spacing w:after="60"/>
        <w:ind w:left="1440"/>
        <w:rPr>
          <w:rFonts w:cs="Tahoma"/>
        </w:rPr>
      </w:pPr>
      <w:r w:rsidRPr="004B208C">
        <w:rPr>
          <w:rFonts w:eastAsia="Calibri" w:cs="Tahoma"/>
          <w:color w:val="000000"/>
          <w:szCs w:val="18"/>
          <w:u w:val="single"/>
        </w:rPr>
        <w:t>Adequações (“true-ups”)</w:t>
      </w:r>
      <w:r w:rsidRPr="00E229C6">
        <w:rPr>
          <w:rFonts w:eastAsia="Calibri" w:cs="Tahoma"/>
          <w:bCs/>
          <w:color w:val="000000"/>
          <w:szCs w:val="18"/>
        </w:rPr>
        <w:t>.</w:t>
      </w:r>
      <w:r w:rsidR="00172F11">
        <w:rPr>
          <w:rFonts w:eastAsia="Calibri" w:cs="Tahoma"/>
          <w:color w:val="000000"/>
          <w:szCs w:val="18"/>
        </w:rPr>
        <w:t xml:space="preserve"> </w:t>
      </w:r>
      <w:r w:rsidRPr="004B208C">
        <w:rPr>
          <w:rFonts w:eastAsia="Calibri" w:cs="Tahoma"/>
          <w:color w:val="000000"/>
          <w:szCs w:val="18"/>
        </w:rPr>
        <w:t xml:space="preserve">Para os clientes do Contrato Enterprise qualificados para essas Licenças Complementares e esses direitos conforme descrito acima, as licenças do SharePoint Server 2010 para Internet Sites Enterprise, SharePoint Server 2010 para Internet Sites Standard </w:t>
      </w:r>
      <w:r w:rsidRPr="004B208C">
        <w:rPr>
          <w:rFonts w:cs="Tahoma"/>
          <w:color w:val="000000"/>
          <w:szCs w:val="20"/>
        </w:rPr>
        <w:t xml:space="preserve">e FAST Search Server 2010 para SharePoint Server </w:t>
      </w:r>
      <w:r w:rsidRPr="004B208C">
        <w:rPr>
          <w:rFonts w:eastAsia="Calibri" w:cs="Tahoma"/>
          <w:color w:val="000000"/>
          <w:szCs w:val="18"/>
        </w:rPr>
        <w:t xml:space="preserve">adquiridas como parte de um processo de adequações </w:t>
      </w:r>
      <w:r w:rsidR="009803C5">
        <w:rPr>
          <w:rFonts w:eastAsia="Calibri" w:cs="Tahoma"/>
          <w:color w:val="000000"/>
          <w:szCs w:val="18"/>
        </w:rPr>
        <w:br/>
      </w:r>
      <w:r w:rsidRPr="004B208C">
        <w:rPr>
          <w:rFonts w:eastAsia="Calibri" w:cs="Tahoma"/>
          <w:color w:val="000000"/>
          <w:szCs w:val="18"/>
        </w:rPr>
        <w:t xml:space="preserve">(“true-ups”) </w:t>
      </w:r>
      <w:r w:rsidRPr="004B208C">
        <w:rPr>
          <w:rFonts w:cs="Tahoma"/>
          <w:color w:val="000000"/>
          <w:szCs w:val="18"/>
        </w:rPr>
        <w:t xml:space="preserve">anuais do cliente também são licenças qualificadas. </w:t>
      </w:r>
    </w:p>
    <w:p w:rsidR="002F7FB8" w:rsidRPr="004B208C" w:rsidRDefault="002F7FB8" w:rsidP="00A1385C">
      <w:pPr>
        <w:numPr>
          <w:ilvl w:val="0"/>
          <w:numId w:val="97"/>
        </w:numPr>
        <w:spacing w:after="60"/>
        <w:ind w:left="1440"/>
        <w:rPr>
          <w:rFonts w:cs="Tahoma"/>
        </w:rPr>
      </w:pPr>
      <w:r w:rsidRPr="004B208C">
        <w:rPr>
          <w:rFonts w:cs="Tahoma"/>
          <w:color w:val="000000"/>
          <w:szCs w:val="18"/>
          <w:u w:val="single"/>
        </w:rPr>
        <w:t>Contratos Subscription</w:t>
      </w:r>
      <w:r w:rsidRPr="004B480F">
        <w:rPr>
          <w:rFonts w:cs="Tahoma"/>
          <w:color w:val="000000"/>
          <w:szCs w:val="18"/>
        </w:rPr>
        <w:t>.</w:t>
      </w:r>
      <w:r w:rsidR="00172F11">
        <w:rPr>
          <w:rFonts w:cs="Tahoma"/>
          <w:color w:val="000000"/>
          <w:szCs w:val="18"/>
        </w:rPr>
        <w:t xml:space="preserve"> </w:t>
      </w:r>
      <w:r w:rsidRPr="004B208C">
        <w:rPr>
          <w:rFonts w:cs="Tahoma"/>
          <w:color w:val="000000"/>
          <w:szCs w:val="18"/>
        </w:rPr>
        <w:t xml:space="preserve">Para Enterprise Subscription, </w:t>
      </w:r>
      <w:r w:rsidRPr="004B208C">
        <w:rPr>
          <w:rFonts w:cs="Tahoma"/>
          <w:szCs w:val="18"/>
        </w:rPr>
        <w:t>Open Value Subscription, Campus e School, Enrollment for Education Solutions e Open Value Subscription – Education Solutions, os mesmos direitos serão outorgados temporariamente sob as mesmas condições</w:t>
      </w:r>
      <w:r w:rsidRPr="004B208C">
        <w:rPr>
          <w:rFonts w:cs="Tahoma"/>
          <w:color w:val="000000"/>
          <w:szCs w:val="18"/>
        </w:rPr>
        <w:t xml:space="preserve"> até o final do prazo do registro atual (ou prazo do contrato no caso do Open Value).</w:t>
      </w:r>
      <w:r w:rsidR="00172F11">
        <w:rPr>
          <w:rFonts w:cs="Tahoma"/>
          <w:color w:val="000000"/>
          <w:szCs w:val="18"/>
        </w:rPr>
        <w:t xml:space="preserve"> </w:t>
      </w:r>
      <w:r w:rsidRPr="004B208C">
        <w:rPr>
          <w:rFonts w:cs="Tahoma"/>
          <w:color w:val="000000"/>
          <w:szCs w:val="18"/>
        </w:rPr>
        <w:t>O cliente deverá manter uma cobertura contínua da assinatura.</w:t>
      </w:r>
      <w:r w:rsidR="00172F11">
        <w:rPr>
          <w:rFonts w:cs="Tahoma"/>
          <w:color w:val="000000"/>
          <w:szCs w:val="18"/>
        </w:rPr>
        <w:t xml:space="preserve"> </w:t>
      </w:r>
      <w:r w:rsidRPr="004B208C">
        <w:rPr>
          <w:rFonts w:cs="Tahoma"/>
          <w:color w:val="000000"/>
          <w:szCs w:val="18"/>
        </w:rPr>
        <w:t>Esses direitos só se tornarão permanentes se a opção de compra (“buy-out”) for exercida e continuarão sujeitos a todos os termos e condições do contrato de licença do cliente.</w:t>
      </w:r>
    </w:p>
    <w:p w:rsidR="002F7FB8" w:rsidRPr="004B208C" w:rsidRDefault="002F7FB8" w:rsidP="00A1385C">
      <w:pPr>
        <w:numPr>
          <w:ilvl w:val="0"/>
          <w:numId w:val="98"/>
        </w:numPr>
        <w:spacing w:after="60"/>
        <w:ind w:left="1440"/>
        <w:rPr>
          <w:rFonts w:cs="Tahoma"/>
        </w:rPr>
      </w:pPr>
      <w:r w:rsidRPr="004B208C">
        <w:rPr>
          <w:rFonts w:cs="Tahoma"/>
          <w:szCs w:val="18"/>
          <w:u w:val="single"/>
        </w:rPr>
        <w:t>Transições do Contrato Campus e Escola</w:t>
      </w:r>
      <w:r w:rsidRPr="004B480F">
        <w:rPr>
          <w:rFonts w:cs="Tahoma"/>
          <w:szCs w:val="18"/>
        </w:rPr>
        <w:t>.</w:t>
      </w:r>
      <w:r w:rsidRPr="004B208C">
        <w:rPr>
          <w:rFonts w:cs="Tahoma"/>
          <w:szCs w:val="18"/>
        </w:rPr>
        <w:t xml:space="preserve"> Para os clientes que estão fazendo transição a médio prazo dos contratos Campus e School para os contratos Enrollment for Education Solutions ou Open Value Subscription – Education Solutions enquanto mantêm a cobertura contínua de assinatura:</w:t>
      </w:r>
    </w:p>
    <w:p w:rsidR="002F7FB8" w:rsidRPr="004B480F" w:rsidRDefault="002F7FB8" w:rsidP="00A1385C">
      <w:pPr>
        <w:pStyle w:val="ListParagraph"/>
        <w:numPr>
          <w:ilvl w:val="0"/>
          <w:numId w:val="82"/>
        </w:numPr>
        <w:spacing w:after="60"/>
        <w:ind w:left="1800"/>
        <w:rPr>
          <w:rFonts w:ascii="Tahoma" w:hAnsi="Tahoma" w:cs="Tahoma"/>
          <w:sz w:val="18"/>
          <w:szCs w:val="18"/>
        </w:rPr>
      </w:pPr>
      <w:r w:rsidRPr="004B480F">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2512D3" w:rsidRPr="004B480F" w:rsidRDefault="002F7FB8" w:rsidP="00A1385C">
      <w:pPr>
        <w:pStyle w:val="ListParagraph"/>
        <w:numPr>
          <w:ilvl w:val="0"/>
          <w:numId w:val="82"/>
        </w:numPr>
        <w:spacing w:after="60"/>
        <w:ind w:left="1800"/>
        <w:rPr>
          <w:rFonts w:ascii="Tahoma" w:hAnsi="Tahoma" w:cs="Tahoma"/>
          <w:sz w:val="18"/>
          <w:szCs w:val="18"/>
        </w:rPr>
      </w:pPr>
      <w:r w:rsidRPr="004B480F">
        <w:rPr>
          <w:rFonts w:ascii="Tahoma" w:hAnsi="Tahoma" w:cs="Tahoma"/>
          <w:sz w:val="18"/>
          <w:szCs w:val="18"/>
        </w:rPr>
        <w:t>Esses direitos só se tornarão permanentes se a opção de compra (“buy-out”) for exercida e</w:t>
      </w:r>
      <w:r w:rsidR="004B480F">
        <w:rPr>
          <w:rFonts w:ascii="Tahoma" w:hAnsi="Tahoma" w:cs="Tahoma"/>
          <w:sz w:val="18"/>
          <w:szCs w:val="18"/>
        </w:rPr>
        <w:t> </w:t>
      </w:r>
      <w:r w:rsidRPr="004B480F">
        <w:rPr>
          <w:rFonts w:ascii="Tahoma" w:hAnsi="Tahoma" w:cs="Tahoma"/>
          <w:sz w:val="18"/>
          <w:szCs w:val="18"/>
        </w:rPr>
        <w:t>continuarão sujeitos a todos os termos e condições do contrato de licença do cliente.</w:t>
      </w:r>
    </w:p>
    <w:p w:rsidR="0004051B" w:rsidRDefault="0004051B" w:rsidP="0004051B">
      <w:pPr>
        <w:ind w:left="720"/>
        <w:rPr>
          <w:rFonts w:cs="Tahoma"/>
        </w:rPr>
      </w:pPr>
    </w:p>
    <w:p w:rsidR="004B480F" w:rsidRDefault="004B480F" w:rsidP="0004051B">
      <w:pPr>
        <w:ind w:left="720"/>
        <w:rPr>
          <w:rFonts w:cs="Tahoma"/>
        </w:rPr>
      </w:pPr>
    </w:p>
    <w:p w:rsidR="004B480F" w:rsidRPr="004B208C" w:rsidRDefault="004B480F" w:rsidP="0004051B">
      <w:pPr>
        <w:ind w:left="720"/>
        <w:rPr>
          <w:rFonts w:cs="Tahoma"/>
        </w:rPr>
      </w:pPr>
    </w:p>
    <w:p w:rsidR="002F7FB8" w:rsidRPr="004B208C" w:rsidRDefault="002F7FB8" w:rsidP="007B699C">
      <w:pPr>
        <w:spacing w:after="60"/>
        <w:ind w:left="720"/>
        <w:rPr>
          <w:rFonts w:cs="Tahoma"/>
        </w:rPr>
      </w:pPr>
      <w:r w:rsidRPr="004B208C">
        <w:rPr>
          <w:rFonts w:cs="Tahoma"/>
          <w:b/>
          <w:color w:val="000000"/>
          <w:szCs w:val="18"/>
        </w:rPr>
        <w:lastRenderedPageBreak/>
        <w:t>Direitos excepcionais de downgrade do SharePoint Server 2013</w:t>
      </w:r>
    </w:p>
    <w:p w:rsidR="002F7FB8" w:rsidRPr="004B208C" w:rsidRDefault="002F7FB8" w:rsidP="002F7FB8">
      <w:pPr>
        <w:ind w:left="720"/>
        <w:rPr>
          <w:rFonts w:cs="Tahoma"/>
        </w:rPr>
      </w:pPr>
      <w:r w:rsidRPr="004B208C">
        <w:rPr>
          <w:rFonts w:cs="Tahoma"/>
          <w:szCs w:val="18"/>
        </w:rPr>
        <w:t>Os clientes licenciados para o SharePoint Server 2013 poderão acessar e usar qualquer um dos produtos listados na tabela abaixo em vez do SharePoint Server 2013, como pode ser visto a seguir:</w:t>
      </w:r>
    </w:p>
    <w:p w:rsidR="002F7FB8" w:rsidRPr="004B208C" w:rsidRDefault="002F7FB8" w:rsidP="002F7FB8">
      <w:pPr>
        <w:ind w:left="810"/>
        <w:rPr>
          <w:rFonts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4B208C"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4B208C" w:rsidRDefault="00BD1A6A" w:rsidP="007E466C">
            <w:pPr>
              <w:spacing w:before="60" w:after="60"/>
              <w:ind w:left="162"/>
              <w:rPr>
                <w:rFonts w:cs="Tahoma"/>
                <w:b/>
                <w:bCs/>
                <w:color w:val="000000"/>
                <w:szCs w:val="18"/>
              </w:rPr>
            </w:pPr>
            <w:r w:rsidRPr="004B208C">
              <w:rPr>
                <w:rFonts w:cs="Tahoma"/>
                <w:b/>
                <w:bCs/>
                <w:color w:val="000000"/>
                <w:szCs w:val="18"/>
              </w:rPr>
              <w:t>Licenças do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4B208C" w:rsidRDefault="00BD1A6A" w:rsidP="007E466C">
            <w:pPr>
              <w:spacing w:before="60" w:after="60"/>
              <w:ind w:left="180"/>
              <w:rPr>
                <w:rFonts w:cs="Tahoma"/>
                <w:b/>
                <w:bCs/>
                <w:color w:val="000000"/>
                <w:szCs w:val="18"/>
              </w:rPr>
            </w:pPr>
            <w:r w:rsidRPr="004B208C">
              <w:rPr>
                <w:rFonts w:cs="Tahoma"/>
                <w:b/>
                <w:bCs/>
                <w:color w:val="000000"/>
                <w:szCs w:val="18"/>
              </w:rPr>
              <w:t>Uso de Versão Anterior (Downgrade) para</w:t>
            </w:r>
          </w:p>
        </w:tc>
      </w:tr>
      <w:tr w:rsidR="00BD1A6A" w:rsidRPr="004B208C"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4B208C" w:rsidRDefault="00BD1A6A" w:rsidP="00722522">
            <w:pPr>
              <w:ind w:left="162"/>
              <w:rPr>
                <w:rFonts w:cs="Tahoma"/>
                <w:color w:val="000000"/>
                <w:szCs w:val="18"/>
              </w:rPr>
            </w:pPr>
            <w:r w:rsidRPr="004B208C">
              <w:rPr>
                <w:rFonts w:cs="Tahoma"/>
                <w:color w:val="000000"/>
                <w:szCs w:val="18"/>
              </w:rPr>
              <w:t>Licença do SharePoint Server 2013</w:t>
            </w:r>
          </w:p>
        </w:tc>
        <w:tc>
          <w:tcPr>
            <w:tcW w:w="4296" w:type="dxa"/>
            <w:tcBorders>
              <w:top w:val="nil"/>
              <w:left w:val="nil"/>
              <w:bottom w:val="single" w:sz="8" w:space="0" w:color="000000"/>
              <w:right w:val="single" w:sz="8" w:space="0" w:color="000000"/>
            </w:tcBorders>
          </w:tcPr>
          <w:p w:rsidR="00BD1A6A" w:rsidRPr="004B208C" w:rsidRDefault="00BD1A6A" w:rsidP="00F249BF">
            <w:pPr>
              <w:ind w:left="162" w:right="180"/>
              <w:rPr>
                <w:rFonts w:cs="Tahoma"/>
              </w:rPr>
            </w:pPr>
            <w:r w:rsidRPr="004B208C">
              <w:rPr>
                <w:rFonts w:cs="Tahoma"/>
                <w:color w:val="000000"/>
                <w:szCs w:val="18"/>
              </w:rPr>
              <w:t xml:space="preserve">SharePoint Server 2010 </w:t>
            </w:r>
            <w:r w:rsidRPr="004B208C">
              <w:rPr>
                <w:rFonts w:cs="Tahoma"/>
                <w:b/>
                <w:color w:val="000000"/>
                <w:szCs w:val="18"/>
              </w:rPr>
              <w:t>ou</w:t>
            </w:r>
          </w:p>
          <w:p w:rsidR="00BD1A6A" w:rsidRPr="004B208C" w:rsidRDefault="00BD1A6A" w:rsidP="002C3AB1">
            <w:pPr>
              <w:ind w:left="162" w:right="180"/>
              <w:rPr>
                <w:rFonts w:cs="Tahoma"/>
                <w:color w:val="000000"/>
                <w:szCs w:val="18"/>
              </w:rPr>
            </w:pPr>
            <w:r w:rsidRPr="004B208C">
              <w:rPr>
                <w:rFonts w:cs="Tahoma"/>
                <w:color w:val="000000"/>
                <w:szCs w:val="18"/>
              </w:rPr>
              <w:t xml:space="preserve">FAST Search Server 2010 para SharePoint Server </w:t>
            </w:r>
          </w:p>
        </w:tc>
      </w:tr>
    </w:tbl>
    <w:p w:rsidR="002F7FB8" w:rsidRPr="004B208C" w:rsidRDefault="002F7FB8" w:rsidP="002F7FB8">
      <w:pPr>
        <w:ind w:left="810"/>
        <w:rPr>
          <w:rFonts w:cs="Tahoma"/>
        </w:rPr>
      </w:pPr>
    </w:p>
    <w:p w:rsidR="002F7FB8" w:rsidRPr="004B208C" w:rsidRDefault="002F7FB8" w:rsidP="002F7FB8">
      <w:pPr>
        <w:ind w:left="720"/>
        <w:rPr>
          <w:rFonts w:cs="Tahoma"/>
        </w:rPr>
      </w:pPr>
      <w:r w:rsidRPr="004B208C">
        <w:rPr>
          <w:rFonts w:cs="Tahoma"/>
          <w:color w:val="000000"/>
          <w:szCs w:val="18"/>
        </w:rPr>
        <w:t>O direito do cliente de acessar e usar cópias do SharePoint Server 2010 ou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rsidR="002F7FB8" w:rsidRPr="004B208C" w:rsidRDefault="002F7FB8" w:rsidP="002F7FB8">
      <w:pPr>
        <w:ind w:left="720"/>
        <w:rPr>
          <w:rFonts w:cs="Tahoma"/>
        </w:rPr>
      </w:pPr>
    </w:p>
    <w:p w:rsidR="002F7FB8" w:rsidRPr="004B208C" w:rsidRDefault="002F7FB8" w:rsidP="00031ABF">
      <w:pPr>
        <w:spacing w:after="60"/>
        <w:ind w:left="720"/>
        <w:rPr>
          <w:rFonts w:cs="Tahoma"/>
        </w:rPr>
      </w:pPr>
      <w:r w:rsidRPr="004B208C">
        <w:rPr>
          <w:rFonts w:cs="Tahoma"/>
          <w:b/>
          <w:color w:val="000000"/>
          <w:szCs w:val="18"/>
        </w:rPr>
        <w:t xml:space="preserve">Extensão dos direitos de Aplicativos Auto-hospedados de Software Assurance para Clientes do SharePoint Server </w:t>
      </w:r>
      <w:bookmarkStart w:id="1389" w:name="Srv_65SharepointSvr10IntSites"/>
      <w:bookmarkStart w:id="1390" w:name="_Toc336338336"/>
      <w:bookmarkStart w:id="1391" w:name="Srv_66SharepointSvr10IntSites"/>
      <w:bookmarkStart w:id="1392" w:name="Srv_63SharepointSvr07IntSites"/>
      <w:bookmarkStart w:id="1393" w:name="Srv_64SharepointSvr07IntSites"/>
      <w:r w:rsidRPr="004B208C">
        <w:rPr>
          <w:rFonts w:cs="Tahoma"/>
          <w:b/>
          <w:color w:val="000000"/>
          <w:szCs w:val="18"/>
        </w:rPr>
        <w:t>para Internet Sites Enterprise</w:t>
      </w:r>
      <w:bookmarkEnd w:id="1389"/>
      <w:bookmarkEnd w:id="1390"/>
      <w:bookmarkEnd w:id="1391"/>
      <w:bookmarkEnd w:id="1392"/>
    </w:p>
    <w:bookmarkEnd w:id="1393"/>
    <w:p w:rsidR="002F7FB8" w:rsidRPr="004B208C" w:rsidRDefault="002F7FB8" w:rsidP="002F7FB8">
      <w:pPr>
        <w:ind w:left="720"/>
        <w:rPr>
          <w:rFonts w:cs="Tahoma"/>
        </w:rPr>
      </w:pPr>
      <w:r w:rsidRPr="004B208C">
        <w:rPr>
          <w:rFonts w:cs="Tahoma"/>
          <w:color w:val="000000"/>
          <w:szCs w:val="18"/>
        </w:rPr>
        <w:t>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“Servidores – Aplicativos Auto-hospedados” dos Direitos de Uso do Produto. Uma vez que os clientes mantêm a cobertura de Software Assurance em suas licenças complementares do SharePoint Server 2013, o direito de usar o</w:t>
      </w:r>
      <w:r w:rsidR="004B480F">
        <w:rPr>
          <w:rFonts w:cs="Tahoma"/>
          <w:color w:val="000000"/>
          <w:szCs w:val="18"/>
        </w:rPr>
        <w:t> </w:t>
      </w:r>
      <w:r w:rsidRPr="004B208C">
        <w:rPr>
          <w:rFonts w:cs="Tahoma"/>
          <w:color w:val="000000"/>
          <w:szCs w:val="18"/>
        </w:rPr>
        <w:t>SharePoint Server 2013 desta forma se aplica até a disponibilidade da versão sucessora do SharePoint Server 2013.</w:t>
      </w:r>
      <w:r w:rsidR="00172F11">
        <w:rPr>
          <w:rFonts w:cs="Tahoma"/>
          <w:color w:val="000000"/>
          <w:szCs w:val="18"/>
        </w:rPr>
        <w:t xml:space="preserve"> </w:t>
      </w:r>
    </w:p>
    <w:p w:rsidR="000D76F0" w:rsidRPr="004B208C" w:rsidRDefault="000D76F0" w:rsidP="00031ABF">
      <w:pPr>
        <w:rPr>
          <w:rFonts w:cs="Tahoma"/>
        </w:rPr>
      </w:pPr>
    </w:p>
    <w:p w:rsidR="00023FE7" w:rsidRPr="004B208C" w:rsidRDefault="00023FE7" w:rsidP="009803C5">
      <w:pPr>
        <w:rPr>
          <w:rFonts w:cs="Tahoma"/>
        </w:rPr>
      </w:pPr>
      <w:bookmarkStart w:id="1394" w:name="_78_SharePoint™_Server"/>
      <w:bookmarkStart w:id="1395" w:name="_Toc336338339"/>
      <w:bookmarkStart w:id="1396" w:name="Srv_81SQLSvr08R2DataCenter"/>
      <w:bookmarkEnd w:id="1394"/>
    </w:p>
    <w:p w:rsidR="00A81E83" w:rsidRPr="004B208C" w:rsidRDefault="00D629A3" w:rsidP="00A81E83">
      <w:pPr>
        <w:pStyle w:val="Heading3"/>
        <w:rPr>
          <w:rFonts w:ascii="Tahoma" w:hAnsi="Tahoma" w:cs="Tahoma"/>
        </w:rPr>
      </w:pPr>
      <w:bookmarkStart w:id="1397" w:name="_75_73_SQL"/>
      <w:bookmarkStart w:id="1398" w:name="Srv_69SQLSvr08EntandEntProc"/>
      <w:bookmarkStart w:id="1399" w:name="Srv_70SQLSvr08EntandEntProc"/>
      <w:bookmarkStart w:id="1400" w:name="Srv_72SQLSvr08R2developer"/>
      <w:bookmarkStart w:id="1401" w:name="Srv_72SQLSvr08R2DataCenter"/>
      <w:bookmarkStart w:id="1402" w:name="_Toc370981453"/>
      <w:bookmarkEnd w:id="1397"/>
      <w:r w:rsidRPr="004B208C">
        <w:rPr>
          <w:rFonts w:ascii="Tahoma" w:hAnsi="Tahoma" w:cs="Tahoma"/>
          <w:caps/>
          <w:color w:val="F66400"/>
          <w:sz w:val="22"/>
          <w:vertAlign w:val="superscript"/>
        </w:rPr>
        <w:t>79</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2008 R2 Datacenter</w:t>
      </w:r>
      <w:bookmarkEnd w:id="1395"/>
      <w:bookmarkEnd w:id="1402"/>
    </w:p>
    <w:bookmarkEnd w:id="1396"/>
    <w:p w:rsidR="00A81E83" w:rsidRPr="004B208C" w:rsidRDefault="00A81E83" w:rsidP="00031ABF">
      <w:pPr>
        <w:rPr>
          <w:rFonts w:cs="Tahoma"/>
        </w:rPr>
      </w:pPr>
    </w:p>
    <w:p w:rsidR="00031ABF" w:rsidRPr="004B208C" w:rsidRDefault="00A81E83" w:rsidP="00031ABF">
      <w:pPr>
        <w:spacing w:after="60"/>
        <w:ind w:left="720"/>
        <w:rPr>
          <w:rFonts w:cs="Tahoma"/>
        </w:rPr>
      </w:pPr>
      <w:r w:rsidRPr="004B208C">
        <w:rPr>
          <w:rFonts w:cs="Tahoma"/>
          <w:b/>
          <w:color w:val="000000"/>
          <w:szCs w:val="18"/>
        </w:rPr>
        <w:t>Outorga de Licença Associadas à Alteração no Modelo de Licenciamento e ao Término da Validade do SQL Server Datacenter</w:t>
      </w:r>
    </w:p>
    <w:p w:rsidR="00A81E83" w:rsidRPr="004B208C" w:rsidRDefault="00A81E83" w:rsidP="00031ABF">
      <w:pPr>
        <w:ind w:left="720"/>
        <w:rPr>
          <w:rFonts w:cs="Tahoma"/>
        </w:rPr>
      </w:pPr>
      <w:r w:rsidRPr="004B208C">
        <w:rPr>
          <w:rFonts w:cs="Tahoma"/>
          <w:color w:val="000000"/>
        </w:rPr>
        <w:t>O SQL Server 2008 R2 será a última versão do SQL Server licenciada sob o modelo de licenciamento por processador e a última versão do SQL Server Datacenter.</w:t>
      </w:r>
      <w:r w:rsidR="00172F11">
        <w:rPr>
          <w:rFonts w:cs="Tahoma"/>
          <w:color w:val="000000"/>
        </w:rPr>
        <w:t xml:space="preserve"> </w:t>
      </w:r>
      <w:r w:rsidRPr="004B208C">
        <w:rPr>
          <w:rFonts w:cs="Tahoma"/>
          <w:color w:val="000000"/>
        </w:rPr>
        <w:t xml:space="preserve">Como uma exceção, aos clientes de Licenciamento por Volume com Software Assurance ativo para licenças do processador do SQL Server 2008 R2 Datacenter em 1º de abril de 2012 (“licenças qualificadas”) são concedidas as seguintes opções. As licenças do processador do SQL Server 2008 R2 Datacenter </w:t>
      </w:r>
      <w:r w:rsidRPr="004B208C">
        <w:rPr>
          <w:rFonts w:cs="Tahoma"/>
          <w:bCs/>
          <w:color w:val="000000"/>
          <w:szCs w:val="18"/>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172F11">
        <w:rPr>
          <w:rFonts w:cs="Tahoma"/>
          <w:bCs/>
          <w:color w:val="000000"/>
          <w:szCs w:val="18"/>
        </w:rPr>
        <w:t xml:space="preserve"> </w:t>
      </w:r>
      <w:r w:rsidRPr="004B208C">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rsidR="00031ABF" w:rsidRPr="004B208C" w:rsidRDefault="00031ABF" w:rsidP="00031ABF">
      <w:pPr>
        <w:ind w:left="720"/>
        <w:rPr>
          <w:rFonts w:cs="Tahoma"/>
        </w:rPr>
      </w:pPr>
    </w:p>
    <w:p w:rsidR="00031ABF" w:rsidRPr="004B208C" w:rsidRDefault="00031ABF" w:rsidP="00031ABF">
      <w:pPr>
        <w:spacing w:after="60"/>
        <w:ind w:left="720"/>
        <w:rPr>
          <w:rFonts w:cs="Tahoma"/>
        </w:rPr>
      </w:pPr>
      <w:r w:rsidRPr="004B208C">
        <w:rPr>
          <w:rFonts w:cs="Tahoma"/>
          <w:b/>
          <w:color w:val="000000"/>
          <w:szCs w:val="18"/>
        </w:rPr>
        <w:t>Prazo Atual</w:t>
      </w:r>
    </w:p>
    <w:p w:rsidR="00A81E83" w:rsidRPr="004B208C" w:rsidRDefault="00A81E83" w:rsidP="00031ABF">
      <w:pPr>
        <w:ind w:left="720"/>
        <w:contextualSpacing/>
        <w:rPr>
          <w:rFonts w:cs="Tahoma"/>
        </w:rPr>
      </w:pPr>
      <w:r w:rsidRPr="004B208C">
        <w:rPr>
          <w:rFonts w:eastAsia="Calibri" w:cs="Tahoma"/>
          <w:szCs w:val="18"/>
        </w:rPr>
        <w:t>Durante o prazo atual da sua cobertura de Software Assurance a partir de 1º de abril de 2012, os clientes (incluindo aqueles sob contratos de assinatura) podem, sob qualquer licença qualificada, atualizar e usar o</w:t>
      </w:r>
      <w:r w:rsidR="00362311">
        <w:rPr>
          <w:rFonts w:eastAsia="Calibri" w:cs="Tahoma"/>
          <w:szCs w:val="18"/>
        </w:rPr>
        <w:t> </w:t>
      </w:r>
      <w:r w:rsidRPr="004B208C">
        <w:rPr>
          <w:rFonts w:eastAsia="Calibri" w:cs="Tahoma"/>
          <w:szCs w:val="18"/>
        </w:rPr>
        <w:t>SQL Server 2012 Enterprise Core em vez do SQL Server 2008 R2 Datacenter sujeito aos direitos de uso do</w:t>
      </w:r>
      <w:r w:rsidR="00362311">
        <w:rPr>
          <w:rFonts w:eastAsia="Calibri" w:cs="Tahoma"/>
          <w:szCs w:val="18"/>
        </w:rPr>
        <w:t> </w:t>
      </w:r>
      <w:r w:rsidRPr="004B208C">
        <w:rPr>
          <w:rFonts w:eastAsia="Calibri" w:cs="Tahoma"/>
          <w:szCs w:val="18"/>
        </w:rPr>
        <w:t>produto de licença do processador do SQL Server 2008 R2 Enterprise (conforme os Direitos de Uso do Produto de janeiro de 2012). Esses clientes também têm os direitos de uso da “Virtualização Ilimitada” conforme descrito nas notas do produto do SQL Server 2012 Enterprise nesta Lista de Produtos.</w:t>
      </w:r>
    </w:p>
    <w:p w:rsidR="00031ABF" w:rsidRDefault="00031ABF" w:rsidP="00031ABF">
      <w:pPr>
        <w:ind w:left="720"/>
        <w:contextualSpacing/>
        <w:rPr>
          <w:rFonts w:cs="Tahoma"/>
        </w:rPr>
      </w:pPr>
    </w:p>
    <w:p w:rsidR="004C2861" w:rsidRDefault="004C2861" w:rsidP="00031ABF">
      <w:pPr>
        <w:ind w:left="720"/>
        <w:contextualSpacing/>
        <w:rPr>
          <w:rFonts w:cs="Tahoma"/>
        </w:rPr>
      </w:pPr>
    </w:p>
    <w:p w:rsidR="004C2861" w:rsidRDefault="004C2861" w:rsidP="00031ABF">
      <w:pPr>
        <w:ind w:left="720"/>
        <w:contextualSpacing/>
        <w:rPr>
          <w:rFonts w:cs="Tahoma"/>
        </w:rPr>
      </w:pPr>
    </w:p>
    <w:p w:rsidR="004C2861" w:rsidRDefault="004C2861" w:rsidP="00031ABF">
      <w:pPr>
        <w:ind w:left="720"/>
        <w:contextualSpacing/>
        <w:rPr>
          <w:rFonts w:cs="Tahoma"/>
        </w:rPr>
      </w:pPr>
    </w:p>
    <w:p w:rsidR="004C2861" w:rsidRDefault="004C2861" w:rsidP="00031ABF">
      <w:pPr>
        <w:ind w:left="720"/>
        <w:contextualSpacing/>
        <w:rPr>
          <w:rFonts w:cs="Tahoma"/>
        </w:rPr>
      </w:pPr>
    </w:p>
    <w:p w:rsidR="004C2861" w:rsidRDefault="004C2861" w:rsidP="00031ABF">
      <w:pPr>
        <w:ind w:left="720"/>
        <w:contextualSpacing/>
        <w:rPr>
          <w:rFonts w:cs="Tahoma"/>
        </w:rPr>
      </w:pPr>
    </w:p>
    <w:p w:rsidR="004C2861" w:rsidRDefault="004C2861" w:rsidP="00031ABF">
      <w:pPr>
        <w:ind w:left="720"/>
        <w:contextualSpacing/>
        <w:rPr>
          <w:rFonts w:cs="Tahoma"/>
        </w:rPr>
      </w:pPr>
    </w:p>
    <w:p w:rsidR="004C2861" w:rsidRDefault="004C2861" w:rsidP="00031ABF">
      <w:pPr>
        <w:ind w:left="720"/>
        <w:contextualSpacing/>
        <w:rPr>
          <w:rFonts w:cs="Tahoma"/>
        </w:rPr>
      </w:pPr>
    </w:p>
    <w:p w:rsidR="004C2861" w:rsidRPr="004B208C" w:rsidRDefault="004C2861" w:rsidP="00031ABF">
      <w:pPr>
        <w:ind w:left="720"/>
        <w:contextualSpacing/>
        <w:rPr>
          <w:rFonts w:cs="Tahoma"/>
        </w:rPr>
      </w:pPr>
    </w:p>
    <w:p w:rsidR="00031ABF" w:rsidRPr="004B208C" w:rsidRDefault="00A81E83" w:rsidP="00031ABF">
      <w:pPr>
        <w:spacing w:after="60"/>
        <w:ind w:left="720"/>
        <w:rPr>
          <w:rFonts w:cs="Tahoma"/>
        </w:rPr>
      </w:pPr>
      <w:r w:rsidRPr="004B208C">
        <w:rPr>
          <w:rFonts w:cs="Tahoma"/>
          <w:b/>
          <w:color w:val="000000"/>
          <w:szCs w:val="18"/>
        </w:rPr>
        <w:lastRenderedPageBreak/>
        <w:t>Primeiro Prazo de Renovação (antes de 1º de abril de 2015)</w:t>
      </w:r>
    </w:p>
    <w:p w:rsidR="00A81E83" w:rsidRPr="004B208C" w:rsidRDefault="00A81E83" w:rsidP="00031ABF">
      <w:pPr>
        <w:tabs>
          <w:tab w:val="left" w:pos="720"/>
        </w:tabs>
        <w:ind w:left="720"/>
        <w:contextualSpacing/>
        <w:rPr>
          <w:rFonts w:cs="Tahoma"/>
        </w:rPr>
      </w:pPr>
      <w:r w:rsidRPr="004B208C">
        <w:rPr>
          <w:rFonts w:eastAsia="Calibri" w:cs="Tahoma"/>
          <w:szCs w:val="18"/>
        </w:rPr>
        <w:t>Na sua primeira renovação de Software Assurance em ou depois de 1º de abril de 2012 (mas antes de 1º</w:t>
      </w:r>
      <w:r w:rsidR="00362311">
        <w:rPr>
          <w:rFonts w:eastAsia="Calibri" w:cs="Tahoma"/>
          <w:szCs w:val="18"/>
        </w:rPr>
        <w:t> </w:t>
      </w:r>
      <w:r w:rsidRPr="004B208C">
        <w:rPr>
          <w:rFonts w:eastAsia="Calibri" w:cs="Tahoma"/>
          <w:szCs w:val="18"/>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A81E83" w:rsidRPr="004B208C" w:rsidRDefault="00A81E83" w:rsidP="00A1385C">
      <w:pPr>
        <w:numPr>
          <w:ilvl w:val="1"/>
          <w:numId w:val="131"/>
        </w:numPr>
        <w:tabs>
          <w:tab w:val="left" w:pos="1440"/>
        </w:tabs>
        <w:contextualSpacing/>
        <w:rPr>
          <w:rFonts w:cs="Tahoma"/>
        </w:rPr>
      </w:pPr>
      <w:r w:rsidRPr="004B208C">
        <w:rPr>
          <w:rFonts w:eastAsia="Calibri" w:cs="Tahoma"/>
          <w:szCs w:val="18"/>
        </w:rPr>
        <w:t xml:space="preserve">um número igual ao menor número de licenças qualificadas atribuído ao servidor ou o número total de processadores físicos no servidor multiplicado pelo maior de: </w:t>
      </w:r>
    </w:p>
    <w:p w:rsidR="00A81E83" w:rsidRPr="004B208C" w:rsidRDefault="00A81E83" w:rsidP="00A1385C">
      <w:pPr>
        <w:numPr>
          <w:ilvl w:val="2"/>
          <w:numId w:val="52"/>
        </w:numPr>
        <w:tabs>
          <w:tab w:val="left" w:pos="1800"/>
        </w:tabs>
        <w:ind w:left="1800" w:hanging="360"/>
        <w:contextualSpacing/>
        <w:rPr>
          <w:rFonts w:cs="Tahoma"/>
        </w:rPr>
      </w:pPr>
      <w:r w:rsidRPr="004B208C">
        <w:rPr>
          <w:rFonts w:eastAsia="Calibri" w:cs="Tahoma"/>
          <w:szCs w:val="18"/>
        </w:rPr>
        <w:t>Oito OU</w:t>
      </w:r>
    </w:p>
    <w:p w:rsidR="00A81E83" w:rsidRPr="004B208C" w:rsidRDefault="00A81E83" w:rsidP="00A1385C">
      <w:pPr>
        <w:numPr>
          <w:ilvl w:val="2"/>
          <w:numId w:val="52"/>
        </w:numPr>
        <w:tabs>
          <w:tab w:val="left" w:pos="1800"/>
        </w:tabs>
        <w:ind w:left="1800" w:hanging="360"/>
        <w:contextualSpacing/>
        <w:rPr>
          <w:rFonts w:cs="Tahoma"/>
        </w:rPr>
      </w:pPr>
      <w:r w:rsidRPr="004B208C">
        <w:rPr>
          <w:rFonts w:eastAsia="Calibri" w:cs="Tahoma"/>
          <w:szCs w:val="18"/>
        </w:rPr>
        <w:t>o número real de núcleos por processador físico multiplicado pelo fator do núcleo apropriado.</w:t>
      </w:r>
      <w:r w:rsidR="00172F11">
        <w:rPr>
          <w:rFonts w:eastAsia="Calibri" w:cs="Tahoma"/>
          <w:szCs w:val="18"/>
        </w:rPr>
        <w:t xml:space="preserve"> </w:t>
      </w:r>
      <w:r w:rsidRPr="004B208C">
        <w:rPr>
          <w:rFonts w:eastAsia="Calibri" w:cs="Tahoma"/>
          <w:szCs w:val="18"/>
        </w:rPr>
        <w:t xml:space="preserve">(Nos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4B208C" w:rsidRDefault="00A81E83" w:rsidP="00A1385C">
      <w:pPr>
        <w:numPr>
          <w:ilvl w:val="1"/>
          <w:numId w:val="131"/>
        </w:numPr>
        <w:tabs>
          <w:tab w:val="left" w:pos="1440"/>
          <w:tab w:val="left" w:pos="2970"/>
        </w:tabs>
        <w:contextualSpacing/>
        <w:rPr>
          <w:rFonts w:cs="Tahoma"/>
        </w:rPr>
      </w:pPr>
      <w:r w:rsidRPr="004B208C">
        <w:rPr>
          <w:rFonts w:eastAsia="Calibri" w:cs="Tahoma"/>
          <w:szCs w:val="18"/>
        </w:rPr>
        <w:t>um número igual ao número das licenças qatribuído ao servidor em excesso do número real de processadores físicos no servidor multiplicado por oito.</w:t>
      </w:r>
    </w:p>
    <w:p w:rsidR="00031ABF" w:rsidRPr="004B208C" w:rsidRDefault="00031ABF" w:rsidP="00031ABF">
      <w:pPr>
        <w:ind w:left="720"/>
        <w:contextualSpacing/>
        <w:rPr>
          <w:rFonts w:cs="Tahoma"/>
        </w:rPr>
      </w:pPr>
    </w:p>
    <w:p w:rsidR="00031ABF" w:rsidRPr="004B208C" w:rsidRDefault="00A81E83" w:rsidP="00031ABF">
      <w:pPr>
        <w:spacing w:after="60"/>
        <w:ind w:left="720"/>
        <w:rPr>
          <w:rFonts w:cs="Tahoma"/>
        </w:rPr>
      </w:pPr>
      <w:r w:rsidRPr="004B208C">
        <w:rPr>
          <w:rFonts w:eastAsia="Calibri" w:cs="Tahoma"/>
          <w:b/>
          <w:szCs w:val="18"/>
        </w:rPr>
        <w:t>Primeiro Prazo de Renovação (em ou após 1º de abril de 2015)</w:t>
      </w:r>
    </w:p>
    <w:p w:rsidR="00A81E83" w:rsidRPr="004B208C" w:rsidRDefault="00A81E83" w:rsidP="00031ABF">
      <w:pPr>
        <w:ind w:left="720"/>
        <w:contextualSpacing/>
        <w:rPr>
          <w:rFonts w:cs="Tahoma"/>
        </w:rPr>
      </w:pPr>
      <w:r w:rsidRPr="004B208C">
        <w:rPr>
          <w:rFonts w:eastAsia="Calibri" w:cs="Tahoma"/>
          <w:color w:val="000000"/>
          <w:szCs w:val="18"/>
        </w:rPr>
        <w:t>Os clientes que renovaram primeiro a cobertura em ou depois de 1o. de abril de 2015</w:t>
      </w:r>
      <w:r w:rsidRPr="004B208C">
        <w:rPr>
          <w:rFonts w:eastAsia="Calibri" w:cs="Tahoma"/>
          <w:szCs w:val="18"/>
        </w:rPr>
        <w:t xml:space="preserve"> poderão, para qualquer servidor no qual eles estejam devidamente licenciados sob os direitos de uso do produto da licença</w:t>
      </w:r>
      <w:r w:rsidR="009803C5">
        <w:rPr>
          <w:rFonts w:eastAsia="Calibri" w:cs="Tahoma"/>
          <w:szCs w:val="18"/>
        </w:rPr>
        <w:t> </w:t>
      </w:r>
      <w:r w:rsidRPr="004B208C">
        <w:rPr>
          <w:rFonts w:eastAsia="Calibri" w:cs="Tahoma"/>
          <w:szCs w:val="18"/>
        </w:rPr>
        <w:t>do processador SQK Server 2008 R2, adquirir o Software Assurance, como pode ser visto a seguir:</w:t>
      </w:r>
    </w:p>
    <w:p w:rsidR="00031ABF" w:rsidRPr="004B208C" w:rsidRDefault="00031ABF" w:rsidP="00031ABF">
      <w:pPr>
        <w:ind w:left="720"/>
        <w:contextualSpacing/>
        <w:rPr>
          <w:rFonts w:cs="Tahoma"/>
        </w:rPr>
      </w:pPr>
    </w:p>
    <w:p w:rsidR="00A81E83" w:rsidRPr="004C2861" w:rsidRDefault="00A81E83" w:rsidP="00A1385C">
      <w:pPr>
        <w:numPr>
          <w:ilvl w:val="0"/>
          <w:numId w:val="98"/>
        </w:numPr>
        <w:spacing w:after="60"/>
        <w:ind w:left="1440"/>
        <w:rPr>
          <w:rFonts w:cs="Tahoma"/>
        </w:rPr>
      </w:pPr>
      <w:r w:rsidRPr="004C2861">
        <w:rPr>
          <w:rFonts w:eastAsia="Calibri" w:cs="Tahoma"/>
          <w:szCs w:val="18"/>
        </w:rPr>
        <w:t>Conforme fornecido no primeiro parágrafo desta nota do produto, as licenças adquiridas antes de 1</w:t>
      </w:r>
      <w:r w:rsidRPr="004C2861">
        <w:rPr>
          <w:rFonts w:eastAsia="Calibri" w:cs="Tahoma"/>
          <w:szCs w:val="18"/>
          <w:vertAlign w:val="superscript"/>
        </w:rPr>
        <w:t>º</w:t>
      </w:r>
      <w:r w:rsidRPr="004C2861">
        <w:rPr>
          <w:rFonts w:eastAsia="Calibri" w:cs="Tahoma"/>
          <w:szCs w:val="18"/>
        </w:rPr>
        <w:t xml:space="preserve"> de abril de 2015 são licenças qualificadas, e os clientes poderão renovar o SA de acordo com os</w:t>
      </w:r>
      <w:r w:rsidR="009803C5">
        <w:rPr>
          <w:rFonts w:eastAsia="Calibri" w:cs="Tahoma"/>
          <w:szCs w:val="18"/>
        </w:rPr>
        <w:t> </w:t>
      </w:r>
      <w:r w:rsidRPr="004C2861">
        <w:rPr>
          <w:rFonts w:eastAsia="Calibri" w:cs="Tahoma"/>
          <w:szCs w:val="18"/>
        </w:rPr>
        <w:t>termos na seção “Primeiro Prazo de Renovação (Antes de 1</w:t>
      </w:r>
      <w:r w:rsidRPr="004C2861">
        <w:rPr>
          <w:rFonts w:eastAsia="Calibri" w:cs="Tahoma"/>
          <w:szCs w:val="18"/>
          <w:vertAlign w:val="superscript"/>
        </w:rPr>
        <w:t>º</w:t>
      </w:r>
      <w:r w:rsidRPr="004C2861">
        <w:rPr>
          <w:rFonts w:eastAsia="Calibri" w:cs="Tahoma"/>
          <w:szCs w:val="18"/>
        </w:rPr>
        <w:t xml:space="preserve"> de abril de 2015)“ acima e</w:t>
      </w:r>
    </w:p>
    <w:p w:rsidR="00A81E83" w:rsidRPr="004B208C" w:rsidRDefault="00A81E83" w:rsidP="00A1385C">
      <w:pPr>
        <w:numPr>
          <w:ilvl w:val="0"/>
          <w:numId w:val="98"/>
        </w:numPr>
        <w:spacing w:after="60"/>
        <w:ind w:left="1440"/>
        <w:rPr>
          <w:rFonts w:cs="Tahoma"/>
        </w:rPr>
      </w:pPr>
      <w:r w:rsidRPr="004B208C">
        <w:rPr>
          <w:rFonts w:eastAsia="Calibri" w:cs="Tahoma"/>
          <w:szCs w:val="18"/>
        </w:rPr>
        <w:t>Para as licenças adquiridas depois de 1</w:t>
      </w:r>
      <w:r w:rsidRPr="004B208C">
        <w:rPr>
          <w:rFonts w:eastAsia="Calibri" w:cs="Tahoma"/>
          <w:szCs w:val="18"/>
          <w:vertAlign w:val="superscript"/>
        </w:rPr>
        <w:t>º</w:t>
      </w:r>
      <w:r w:rsidRPr="004B208C">
        <w:rPr>
          <w:rFonts w:eastAsia="Calibri" w:cs="Tahoma"/>
          <w:szCs w:val="18"/>
        </w:rPr>
        <w:t xml:space="preserve">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w:t>
      </w:r>
      <w:r w:rsidR="009803C5">
        <w:rPr>
          <w:rFonts w:eastAsia="Calibri" w:cs="Tahoma"/>
          <w:szCs w:val="18"/>
        </w:rPr>
        <w:t> </w:t>
      </w:r>
      <w:r w:rsidRPr="004B208C">
        <w:rPr>
          <w:rFonts w:eastAsia="Calibri" w:cs="Tahoma"/>
          <w:szCs w:val="18"/>
        </w:rPr>
        <w:t>cliente tem que adquirir licenças principais adicionais.</w:t>
      </w:r>
    </w:p>
    <w:p w:rsidR="00031ABF" w:rsidRPr="004B208C" w:rsidRDefault="00031ABF" w:rsidP="00031ABF">
      <w:pPr>
        <w:ind w:left="1440"/>
        <w:contextualSpacing/>
        <w:rPr>
          <w:rFonts w:cs="Tahoma"/>
        </w:rPr>
      </w:pPr>
    </w:p>
    <w:p w:rsidR="00A81E83" w:rsidRPr="004B208C" w:rsidRDefault="00A81E83" w:rsidP="00031ABF">
      <w:pPr>
        <w:ind w:left="720"/>
        <w:contextualSpacing/>
        <w:rPr>
          <w:rFonts w:cs="Tahoma"/>
        </w:rPr>
      </w:pPr>
      <w:r w:rsidRPr="004B208C">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031ABF" w:rsidRPr="004B208C" w:rsidRDefault="00031ABF" w:rsidP="00031ABF">
      <w:pPr>
        <w:tabs>
          <w:tab w:val="left" w:pos="720"/>
        </w:tabs>
        <w:ind w:left="720"/>
        <w:contextualSpacing/>
        <w:rPr>
          <w:rFonts w:cs="Tahoma"/>
        </w:rPr>
      </w:pPr>
    </w:p>
    <w:p w:rsidR="00031ABF" w:rsidRPr="004B208C" w:rsidRDefault="00A81E83" w:rsidP="00031ABF">
      <w:pPr>
        <w:tabs>
          <w:tab w:val="left" w:pos="720"/>
        </w:tabs>
        <w:spacing w:after="60"/>
        <w:ind w:left="720"/>
        <w:rPr>
          <w:rFonts w:cs="Tahoma"/>
        </w:rPr>
      </w:pPr>
      <w:r w:rsidRPr="004B208C">
        <w:rPr>
          <w:rFonts w:eastAsia="Calibri" w:cs="Tahoma"/>
          <w:b/>
          <w:szCs w:val="18"/>
        </w:rPr>
        <w:t>Para os clientes com cobertura de Software Assurance que expiram antes de 1º de abril de 2015 que optaram pela não renovação</w:t>
      </w:r>
    </w:p>
    <w:p w:rsidR="00A81E83" w:rsidRPr="004B208C" w:rsidRDefault="00A81E83" w:rsidP="00031ABF">
      <w:pPr>
        <w:tabs>
          <w:tab w:val="left" w:pos="720"/>
        </w:tabs>
        <w:ind w:left="720"/>
        <w:contextualSpacing/>
        <w:rPr>
          <w:rFonts w:cs="Tahoma"/>
        </w:rPr>
      </w:pPr>
      <w:r w:rsidRPr="004B208C">
        <w:rPr>
          <w:rFonts w:eastAsia="Calibri" w:cs="Tahoma"/>
          <w:szCs w:val="18"/>
        </w:rPr>
        <w:t xml:space="preserve">Os clientes do Enterprise Subscription </w:t>
      </w:r>
      <w:r w:rsidRPr="004B208C">
        <w:rPr>
          <w:rFonts w:cs="Tahoma"/>
          <w:bCs/>
          <w:color w:val="000000"/>
          <w:szCs w:val="18"/>
        </w:rPr>
        <w:t xml:space="preserve">e Open Value Subscription </w:t>
      </w:r>
      <w:r w:rsidRPr="004B208C">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w:t>
      </w:r>
      <w:r w:rsidR="004C2861">
        <w:rPr>
          <w:rFonts w:eastAsia="Calibri" w:cs="Tahoma"/>
          <w:szCs w:val="18"/>
        </w:rPr>
        <w:t> </w:t>
      </w:r>
      <w:r w:rsidRPr="004B208C">
        <w:rPr>
          <w:rFonts w:eastAsia="Calibri" w:cs="Tahoma"/>
          <w:szCs w:val="18"/>
        </w:rPr>
        <w:t>SQL Server 2008 R2 ou SQL Server 2012 sob essas licenças da seguinte forma:</w:t>
      </w:r>
    </w:p>
    <w:p w:rsidR="00CA0E2D" w:rsidRPr="004B208C" w:rsidRDefault="00CA0E2D" w:rsidP="00031ABF">
      <w:pPr>
        <w:tabs>
          <w:tab w:val="left" w:pos="720"/>
        </w:tabs>
        <w:ind w:left="720"/>
        <w:contextualSpacing/>
        <w:rPr>
          <w:rFonts w:cs="Tahoma"/>
        </w:rPr>
      </w:pPr>
    </w:p>
    <w:p w:rsidR="00A81E83" w:rsidRPr="004B208C" w:rsidRDefault="00A81E83" w:rsidP="00A1385C">
      <w:pPr>
        <w:numPr>
          <w:ilvl w:val="0"/>
          <w:numId w:val="49"/>
        </w:numPr>
        <w:tabs>
          <w:tab w:val="left" w:pos="1440"/>
        </w:tabs>
        <w:spacing w:after="60"/>
        <w:rPr>
          <w:rFonts w:cs="Tahoma"/>
        </w:rPr>
      </w:pPr>
      <w:r w:rsidRPr="004B208C">
        <w:rPr>
          <w:rFonts w:eastAsia="Calibri" w:cs="Tahoma"/>
          <w:b/>
          <w:szCs w:val="18"/>
        </w:rPr>
        <w:t>SQL Server 2008 R2 Datacenter:</w:t>
      </w:r>
      <w:r w:rsidRPr="004B208C">
        <w:rPr>
          <w:rFonts w:eastAsia="Calibri" w:cs="Tahoma"/>
          <w:szCs w:val="18"/>
        </w:rPr>
        <w:t xml:space="preserve"> O uso contínuo desta versão do software está sujeito aos direitos de uso do produto de licença do processador do SQL Server 2008 R2 Datacenter. </w:t>
      </w:r>
    </w:p>
    <w:p w:rsidR="00A81E83" w:rsidRPr="004B208C" w:rsidRDefault="00A81E83" w:rsidP="00A1385C">
      <w:pPr>
        <w:numPr>
          <w:ilvl w:val="0"/>
          <w:numId w:val="49"/>
        </w:numPr>
        <w:tabs>
          <w:tab w:val="left" w:pos="1440"/>
          <w:tab w:val="left" w:pos="2970"/>
        </w:tabs>
        <w:spacing w:after="60"/>
        <w:rPr>
          <w:rFonts w:cs="Tahoma"/>
        </w:rPr>
      </w:pPr>
      <w:r w:rsidRPr="004B208C">
        <w:rPr>
          <w:rFonts w:eastAsia="Calibri" w:cs="Tahoma"/>
          <w:b/>
          <w:szCs w:val="18"/>
        </w:rPr>
        <w:t xml:space="preserve">SQL Server 2012 Enterprise Core: </w:t>
      </w:r>
      <w:r w:rsidRPr="004B208C">
        <w:rPr>
          <w:rFonts w:eastAsia="Calibri" w:cs="Tahoma"/>
          <w:szCs w:val="18"/>
        </w:rPr>
        <w:t>O uso desta versão do software está sujeito aos direitos de</w:t>
      </w:r>
      <w:r w:rsidR="009803C5">
        <w:rPr>
          <w:rFonts w:eastAsia="Calibri" w:cs="Tahoma"/>
          <w:szCs w:val="18"/>
        </w:rPr>
        <w:t> </w:t>
      </w:r>
      <w:r w:rsidRPr="004B208C">
        <w:rPr>
          <w:rFonts w:eastAsia="Calibri" w:cs="Tahoma"/>
          <w:szCs w:val="18"/>
        </w:rPr>
        <w:t xml:space="preserve">uso do produto de licença do processador do SQL Server 2008 R2 Enterprise, no entanto: </w:t>
      </w:r>
    </w:p>
    <w:p w:rsidR="004C2861" w:rsidRDefault="00A81E83" w:rsidP="00A1385C">
      <w:pPr>
        <w:numPr>
          <w:ilvl w:val="1"/>
          <w:numId w:val="49"/>
        </w:numPr>
        <w:tabs>
          <w:tab w:val="left" w:pos="1800"/>
        </w:tabs>
        <w:spacing w:after="60"/>
        <w:ind w:left="1800"/>
        <w:rPr>
          <w:rFonts w:cs="Tahoma"/>
        </w:rPr>
      </w:pPr>
      <w:r w:rsidRPr="004B208C">
        <w:rPr>
          <w:rFonts w:eastAsia="Calibri" w:cs="Tahoma"/>
          <w:szCs w:val="18"/>
        </w:rPr>
        <w:t xml:space="preserve">os clientes não têm mais direitos de uso de Virtualização Ilimitada, Mobilidade de Licença nos Farms de Servidores nem Mobilidade de Licença por meio de Software Assurance e </w:t>
      </w:r>
    </w:p>
    <w:p w:rsidR="00A81E83" w:rsidRPr="004B208C" w:rsidRDefault="00A81E83" w:rsidP="00A1385C">
      <w:pPr>
        <w:numPr>
          <w:ilvl w:val="1"/>
          <w:numId w:val="49"/>
        </w:numPr>
        <w:tabs>
          <w:tab w:val="left" w:pos="1800"/>
        </w:tabs>
        <w:spacing w:after="60"/>
        <w:ind w:left="1800"/>
        <w:rPr>
          <w:rFonts w:cs="Tahoma"/>
        </w:rPr>
      </w:pPr>
      <w:r w:rsidRPr="004B208C">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4B208C" w:rsidRDefault="00A81E83" w:rsidP="00A1385C">
      <w:pPr>
        <w:numPr>
          <w:ilvl w:val="2"/>
          <w:numId w:val="49"/>
        </w:numPr>
        <w:tabs>
          <w:tab w:val="left" w:pos="2160"/>
        </w:tabs>
        <w:spacing w:after="60"/>
        <w:ind w:left="2160" w:hanging="360"/>
        <w:rPr>
          <w:rFonts w:cs="Tahoma"/>
        </w:rPr>
      </w:pPr>
      <w:r w:rsidRPr="004B208C">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9803C5">
        <w:rPr>
          <w:rFonts w:eastAsia="Calibri" w:cs="Tahoma"/>
          <w:szCs w:val="18"/>
        </w:rPr>
        <w:t> </w:t>
      </w:r>
      <w:r w:rsidRPr="004B208C">
        <w:rPr>
          <w:rFonts w:eastAsia="Calibri" w:cs="Tahoma"/>
          <w:szCs w:val="18"/>
        </w:rPr>
        <w:t xml:space="preserve">equivalência de licença principal é maior do que: </w:t>
      </w:r>
    </w:p>
    <w:p w:rsidR="00A81E83" w:rsidRPr="004C2861" w:rsidRDefault="00A81E83" w:rsidP="00A1385C">
      <w:pPr>
        <w:numPr>
          <w:ilvl w:val="0"/>
          <w:numId w:val="132"/>
        </w:numPr>
        <w:tabs>
          <w:tab w:val="left" w:pos="2520"/>
        </w:tabs>
        <w:spacing w:after="60"/>
        <w:ind w:left="2520"/>
        <w:rPr>
          <w:rFonts w:cs="Tahoma"/>
        </w:rPr>
      </w:pPr>
      <w:r w:rsidRPr="004C2861">
        <w:rPr>
          <w:rFonts w:eastAsia="Calibri" w:cs="Tahoma"/>
          <w:szCs w:val="18"/>
        </w:rPr>
        <w:lastRenderedPageBreak/>
        <w:t xml:space="preserve">oito núcleos por licença de processador OU </w:t>
      </w:r>
    </w:p>
    <w:p w:rsidR="00A81E83" w:rsidRPr="004B208C" w:rsidRDefault="00A81E83" w:rsidP="00A1385C">
      <w:pPr>
        <w:numPr>
          <w:ilvl w:val="0"/>
          <w:numId w:val="132"/>
        </w:numPr>
        <w:tabs>
          <w:tab w:val="left" w:pos="2520"/>
        </w:tabs>
        <w:spacing w:after="60"/>
        <w:ind w:left="2520"/>
        <w:rPr>
          <w:rFonts w:cs="Tahoma"/>
        </w:rPr>
      </w:pPr>
      <w:r w:rsidRPr="004B208C">
        <w:rPr>
          <w:rFonts w:eastAsia="Calibri" w:cs="Tahoma"/>
          <w:szCs w:val="18"/>
        </w:rPr>
        <w:t>um número de núcleos por licença do processador com base no número real de núcleos por processador físico multiplicado pelo fator de núcleo apropriado. (Nos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w:t>
      </w:r>
      <w:r w:rsidR="004C2861">
        <w:rPr>
          <w:rFonts w:eastAsia="Calibri" w:cs="Tahoma"/>
          <w:szCs w:val="18"/>
        </w:rPr>
        <w:t> </w:t>
      </w:r>
      <w:r w:rsidRPr="004B208C">
        <w:rPr>
          <w:rFonts w:eastAsia="Calibri" w:cs="Tahoma"/>
          <w:szCs w:val="18"/>
        </w:rPr>
        <w:t>software que está antecedendo a expiração do Software Assurance usando a</w:t>
      </w:r>
      <w:r w:rsidR="004C2861">
        <w:rPr>
          <w:rFonts w:eastAsia="Calibri" w:cs="Tahoma"/>
          <w:szCs w:val="18"/>
        </w:rPr>
        <w:t> </w:t>
      </w:r>
      <w:r w:rsidRPr="004B208C">
        <w:rPr>
          <w:rFonts w:eastAsia="Calibri" w:cs="Tahoma"/>
          <w:szCs w:val="18"/>
        </w:rPr>
        <w:t xml:space="preserve">ferramenta Microsoft MAP ou qualquer software equivalente.) </w:t>
      </w:r>
    </w:p>
    <w:p w:rsidR="00A81E83" w:rsidRPr="004B208C" w:rsidRDefault="00A81E83" w:rsidP="00A1385C">
      <w:pPr>
        <w:numPr>
          <w:ilvl w:val="2"/>
          <w:numId w:val="49"/>
        </w:numPr>
        <w:tabs>
          <w:tab w:val="left" w:pos="2160"/>
        </w:tabs>
        <w:spacing w:after="60"/>
        <w:ind w:left="2160" w:hanging="360"/>
        <w:rPr>
          <w:rFonts w:cs="Tahoma"/>
        </w:rPr>
      </w:pPr>
      <w:r w:rsidRPr="004B208C">
        <w:rPr>
          <w:rFonts w:eastAsia="Calibri" w:cs="Tahoma"/>
          <w:szCs w:val="18"/>
        </w:rPr>
        <w:t>Para qualquer licença de processador com um Software Assurance expirando atribuído ao</w:t>
      </w:r>
      <w:r w:rsidR="004C2861">
        <w:rPr>
          <w:rFonts w:eastAsia="Calibri" w:cs="Tahoma"/>
          <w:szCs w:val="18"/>
        </w:rPr>
        <w:t> </w:t>
      </w:r>
      <w:r w:rsidRPr="004B208C">
        <w:rPr>
          <w:rFonts w:eastAsia="Calibri" w:cs="Tahoma"/>
          <w:szCs w:val="18"/>
        </w:rPr>
        <w:t>mesmo servidor licenciado em excesso do número real de processadores físicos no servidor, a equivalência de núcleo é de oito núcleos por licença de processador.</w:t>
      </w:r>
    </w:p>
    <w:p w:rsidR="00A81E83" w:rsidRPr="004B208C" w:rsidRDefault="00A81E83" w:rsidP="00A1385C">
      <w:pPr>
        <w:numPr>
          <w:ilvl w:val="1"/>
          <w:numId w:val="49"/>
        </w:numPr>
        <w:tabs>
          <w:tab w:val="left" w:pos="1800"/>
          <w:tab w:val="left" w:pos="2970"/>
        </w:tabs>
        <w:spacing w:after="60"/>
        <w:ind w:left="1800"/>
        <w:rPr>
          <w:rFonts w:cs="Tahoma"/>
        </w:rPr>
      </w:pPr>
      <w:r w:rsidRPr="004B208C">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r w:rsidR="00172F11">
        <w:rPr>
          <w:rFonts w:eastAsia="Calibri" w:cs="Tahoma"/>
          <w:szCs w:val="18"/>
        </w:rPr>
        <w:t xml:space="preserve"> </w:t>
      </w:r>
    </w:p>
    <w:p w:rsidR="00A81E83" w:rsidRPr="004B208C" w:rsidRDefault="00A81E83" w:rsidP="00A1385C">
      <w:pPr>
        <w:numPr>
          <w:ilvl w:val="1"/>
          <w:numId w:val="49"/>
        </w:numPr>
        <w:tabs>
          <w:tab w:val="left" w:pos="1800"/>
        </w:tabs>
        <w:spacing w:after="60"/>
        <w:ind w:left="1800"/>
        <w:rPr>
          <w:rFonts w:cs="Tahoma"/>
        </w:rPr>
      </w:pPr>
      <w:r w:rsidRPr="004B208C">
        <w:rPr>
          <w:rFonts w:eastAsia="Calibri" w:cs="Tahoma"/>
          <w:szCs w:val="18"/>
        </w:rPr>
        <w:t>A equivalência de licença principal dos clientes não implica que eles podem atribuir uma única licença de processador a núcleos por dois ou mais processadores.</w:t>
      </w:r>
    </w:p>
    <w:p w:rsidR="00CA0E2D" w:rsidRPr="004B208C" w:rsidRDefault="00CA0E2D" w:rsidP="00CA0E2D">
      <w:pPr>
        <w:tabs>
          <w:tab w:val="left" w:pos="720"/>
        </w:tabs>
        <w:ind w:left="720"/>
        <w:contextualSpacing/>
        <w:rPr>
          <w:rFonts w:cs="Tahoma"/>
        </w:rPr>
      </w:pPr>
    </w:p>
    <w:p w:rsidR="00CA0E2D" w:rsidRPr="004B208C" w:rsidRDefault="00A81E83" w:rsidP="00CA0E2D">
      <w:pPr>
        <w:tabs>
          <w:tab w:val="left" w:pos="720"/>
        </w:tabs>
        <w:spacing w:after="60"/>
        <w:ind w:left="720"/>
        <w:rPr>
          <w:rFonts w:cs="Tahoma"/>
        </w:rPr>
      </w:pPr>
      <w:r w:rsidRPr="004B208C">
        <w:rPr>
          <w:rFonts w:eastAsia="Calibri" w:cs="Tahoma"/>
          <w:b/>
          <w:szCs w:val="18"/>
        </w:rPr>
        <w:t>Para os clientes com cobertura de Software Assurance que expiram em ou depois de 1º de abril de 2015 que optaram pela não renovação</w:t>
      </w:r>
    </w:p>
    <w:p w:rsidR="00A81E83" w:rsidRPr="004B208C" w:rsidRDefault="00A81E83" w:rsidP="00CA0E2D">
      <w:pPr>
        <w:tabs>
          <w:tab w:val="left" w:pos="720"/>
        </w:tabs>
        <w:ind w:left="720"/>
        <w:contextualSpacing/>
        <w:rPr>
          <w:rFonts w:cs="Tahoma"/>
        </w:rPr>
      </w:pPr>
      <w:r w:rsidRPr="004B208C">
        <w:rPr>
          <w:rFonts w:eastAsia="Calibri" w:cs="Tahoma"/>
          <w:color w:val="000000"/>
          <w:szCs w:val="18"/>
        </w:rPr>
        <w:t xml:space="preserve">Os clientes do Enterprise Subscription </w:t>
      </w:r>
      <w:r w:rsidRPr="004B208C">
        <w:rPr>
          <w:rFonts w:cs="Tahoma"/>
          <w:bCs/>
          <w:color w:val="000000"/>
          <w:szCs w:val="18"/>
        </w:rPr>
        <w:t xml:space="preserve">e Open Value Subscription </w:t>
      </w:r>
      <w:r w:rsidRPr="004B208C">
        <w:rPr>
          <w:rFonts w:eastAsia="Calibri" w:cs="Tahoma"/>
          <w:color w:val="000000"/>
          <w:szCs w:val="18"/>
        </w:rPr>
        <w:t>com cobertura expirando em ou depois de</w:t>
      </w:r>
      <w:r w:rsidR="004C2861">
        <w:rPr>
          <w:rFonts w:eastAsia="Calibri" w:cs="Tahoma"/>
          <w:color w:val="000000"/>
          <w:szCs w:val="18"/>
        </w:rPr>
        <w:t> </w:t>
      </w:r>
      <w:r w:rsidRPr="004B208C">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rsidR="00CA0E2D" w:rsidRPr="004B208C" w:rsidRDefault="00CA0E2D" w:rsidP="00CA0E2D">
      <w:pPr>
        <w:tabs>
          <w:tab w:val="left" w:pos="720"/>
        </w:tabs>
        <w:ind w:left="720"/>
        <w:contextualSpacing/>
        <w:rPr>
          <w:rFonts w:cs="Tahoma"/>
        </w:rPr>
      </w:pPr>
    </w:p>
    <w:p w:rsidR="00A81E83" w:rsidRPr="004C2861" w:rsidRDefault="00A81E83" w:rsidP="00A1385C">
      <w:pPr>
        <w:numPr>
          <w:ilvl w:val="0"/>
          <w:numId w:val="133"/>
        </w:numPr>
        <w:tabs>
          <w:tab w:val="left" w:pos="1440"/>
        </w:tabs>
        <w:spacing w:after="60"/>
        <w:ind w:left="1440"/>
        <w:rPr>
          <w:rFonts w:cs="Tahoma"/>
        </w:rPr>
      </w:pPr>
      <w:r w:rsidRPr="004C2861">
        <w:rPr>
          <w:rFonts w:eastAsia="Calibri" w:cs="Tahoma"/>
          <w:szCs w:val="18"/>
        </w:rPr>
        <w:t>Conforme fornecido no primeiro parágrafo desta nota de produto, as licenças adquiridas antes de 1</w:t>
      </w:r>
      <w:r w:rsidRPr="004C2861">
        <w:rPr>
          <w:rFonts w:eastAsia="Calibri" w:cs="Tahoma"/>
          <w:szCs w:val="18"/>
          <w:vertAlign w:val="superscript"/>
        </w:rPr>
        <w:t>º</w:t>
      </w:r>
      <w:r w:rsidRPr="004C2861">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4B208C" w:rsidRDefault="00A81E83" w:rsidP="00A1385C">
      <w:pPr>
        <w:numPr>
          <w:ilvl w:val="0"/>
          <w:numId w:val="133"/>
        </w:numPr>
        <w:tabs>
          <w:tab w:val="left" w:pos="1440"/>
        </w:tabs>
        <w:spacing w:after="60"/>
        <w:ind w:left="1440"/>
        <w:rPr>
          <w:rFonts w:cs="Tahoma"/>
        </w:rPr>
      </w:pPr>
      <w:r w:rsidRPr="004B208C">
        <w:rPr>
          <w:rFonts w:eastAsia="Calibri" w:cs="Tahoma"/>
          <w:szCs w:val="18"/>
        </w:rPr>
        <w:t>Para as licenças adquiridas depois de 1</w:t>
      </w:r>
      <w:r w:rsidRPr="004B208C">
        <w:rPr>
          <w:rFonts w:eastAsia="Calibri" w:cs="Tahoma"/>
          <w:szCs w:val="18"/>
          <w:vertAlign w:val="superscript"/>
        </w:rPr>
        <w:t>º</w:t>
      </w:r>
      <w:r w:rsidRPr="004B208C">
        <w:rPr>
          <w:rFonts w:eastAsia="Calibri" w:cs="Tahoma"/>
          <w:szCs w:val="18"/>
        </w:rPr>
        <w:t xml:space="preserve"> de abril de 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rsidR="00CA0E2D" w:rsidRPr="004B208C" w:rsidRDefault="00CA0E2D" w:rsidP="00CA0E2D">
      <w:pPr>
        <w:tabs>
          <w:tab w:val="left" w:pos="1440"/>
        </w:tabs>
        <w:ind w:left="1440"/>
        <w:contextualSpacing/>
        <w:rPr>
          <w:rFonts w:cs="Tahoma"/>
        </w:rPr>
      </w:pPr>
    </w:p>
    <w:p w:rsidR="00CA0E2D" w:rsidRPr="004B208C" w:rsidRDefault="00A81E83" w:rsidP="00CA0E2D">
      <w:pPr>
        <w:tabs>
          <w:tab w:val="left" w:pos="720"/>
        </w:tabs>
        <w:spacing w:after="60"/>
        <w:ind w:left="720"/>
        <w:rPr>
          <w:rFonts w:cs="Tahoma"/>
        </w:rPr>
      </w:pPr>
      <w:r w:rsidRPr="004B208C">
        <w:rPr>
          <w:rFonts w:eastAsia="Calibri" w:cs="Tahoma"/>
          <w:b/>
          <w:szCs w:val="18"/>
        </w:rPr>
        <w:t>Para os clientes localizados na República Popular da China e para os que estão adquirindo licenças de processador e Software Assurance para SQL Server 2008 R2</w:t>
      </w:r>
    </w:p>
    <w:p w:rsidR="00A81E83" w:rsidRPr="004B208C" w:rsidRDefault="00A81E83" w:rsidP="00CA0E2D">
      <w:pPr>
        <w:tabs>
          <w:tab w:val="left" w:pos="720"/>
        </w:tabs>
        <w:ind w:left="720"/>
        <w:contextualSpacing/>
        <w:rPr>
          <w:rFonts w:cs="Tahoma"/>
        </w:rPr>
      </w:pPr>
      <w:r w:rsidRPr="004B208C">
        <w:rPr>
          <w:rFonts w:cs="Tahoma"/>
        </w:rPr>
        <w:t>As referências a 1</w:t>
      </w:r>
      <w:r w:rsidRPr="004B208C">
        <w:rPr>
          <w:rFonts w:cs="Tahoma"/>
          <w:vertAlign w:val="superscript"/>
        </w:rPr>
        <w:t>º</w:t>
      </w:r>
      <w:r w:rsidRPr="004B208C">
        <w:rPr>
          <w:rFonts w:cs="Tahoma"/>
        </w:rPr>
        <w:t xml:space="preserve"> de abril de 2012 e 1</w:t>
      </w:r>
      <w:r w:rsidRPr="004B208C">
        <w:rPr>
          <w:rFonts w:cs="Tahoma"/>
          <w:vertAlign w:val="superscript"/>
        </w:rPr>
        <w:t>º</w:t>
      </w:r>
      <w:r w:rsidRPr="004B208C">
        <w:rPr>
          <w:rFonts w:cs="Tahoma"/>
        </w:rPr>
        <w:t xml:space="preserve"> de abril de 2015 nesta nota da lista de produtos não são aplicáveis. As datas aplicáveis para esses clientes são 1</w:t>
      </w:r>
      <w:r w:rsidRPr="004B208C">
        <w:rPr>
          <w:rFonts w:cs="Tahoma"/>
          <w:vertAlign w:val="superscript"/>
        </w:rPr>
        <w:t>º</w:t>
      </w:r>
      <w:r w:rsidRPr="004B208C">
        <w:rPr>
          <w:rFonts w:cs="Tahoma"/>
        </w:rPr>
        <w:t xml:space="preserve"> de julho de 2012 e 1</w:t>
      </w:r>
      <w:r w:rsidRPr="004B208C">
        <w:rPr>
          <w:rFonts w:cs="Tahoma"/>
          <w:vertAlign w:val="superscript"/>
        </w:rPr>
        <w:t>º</w:t>
      </w:r>
      <w:r w:rsidRPr="004B208C">
        <w:rPr>
          <w:rFonts w:cs="Tahoma"/>
        </w:rPr>
        <w:t xml:space="preserve"> de julho de 2015, respectivamente.</w:t>
      </w:r>
    </w:p>
    <w:p w:rsidR="004C2861" w:rsidRDefault="004C2861" w:rsidP="00A81E83">
      <w:pPr>
        <w:ind w:left="900"/>
        <w:rPr>
          <w:rFonts w:cs="Tahoma"/>
        </w:rPr>
      </w:pPr>
    </w:p>
    <w:p w:rsidR="004C2861" w:rsidRPr="004B208C" w:rsidRDefault="004C2861" w:rsidP="00A81E83">
      <w:pPr>
        <w:ind w:left="900"/>
        <w:rPr>
          <w:rFonts w:cs="Tahoma"/>
        </w:rPr>
      </w:pPr>
    </w:p>
    <w:p w:rsidR="00A81E83" w:rsidRPr="004B208C" w:rsidRDefault="00A560B6" w:rsidP="00A81E83">
      <w:pPr>
        <w:pStyle w:val="Heading3"/>
        <w:rPr>
          <w:rFonts w:ascii="Tahoma" w:hAnsi="Tahoma" w:cs="Tahoma"/>
        </w:rPr>
      </w:pPr>
      <w:bookmarkStart w:id="1403" w:name="_76_74_SQL"/>
      <w:bookmarkStart w:id="1404" w:name="_Toc336338341"/>
      <w:bookmarkStart w:id="1405" w:name="Srv_83SQL2008R2Smallbiz"/>
      <w:bookmarkStart w:id="1406" w:name="_Toc370981454"/>
      <w:bookmarkEnd w:id="1403"/>
      <w:r w:rsidRPr="004B208C">
        <w:rPr>
          <w:rFonts w:ascii="Tahoma" w:hAnsi="Tahoma" w:cs="Tahoma"/>
          <w:caps/>
          <w:color w:val="FE6700"/>
          <w:sz w:val="22"/>
          <w:vertAlign w:val="superscript"/>
        </w:rPr>
        <w:t xml:space="preserve">80 </w:t>
      </w:r>
      <w:r w:rsidRPr="004B208C">
        <w:rPr>
          <w:rFonts w:ascii="Tahoma" w:hAnsi="Tahoma" w:cs="Tahoma"/>
          <w:color w:val="FE6700"/>
          <w:sz w:val="22"/>
        </w:rPr>
        <w:t>SQL Server</w:t>
      </w:r>
      <w:r w:rsidR="00172F11" w:rsidRPr="00172F11">
        <w:rPr>
          <w:rFonts w:ascii="Tahoma" w:hAnsi="Tahoma" w:cs="Tahoma"/>
          <w:color w:val="FE6700"/>
          <w:sz w:val="22"/>
          <w:vertAlign w:val="superscript"/>
        </w:rPr>
        <w:t>®</w:t>
      </w:r>
      <w:r w:rsidRPr="004B208C">
        <w:rPr>
          <w:rFonts w:ascii="Tahoma" w:hAnsi="Tahoma" w:cs="Tahoma"/>
          <w:color w:val="FE6700"/>
          <w:sz w:val="22"/>
        </w:rPr>
        <w:t xml:space="preserve"> 2008 R2 Small Business</w:t>
      </w:r>
      <w:bookmarkEnd w:id="1404"/>
      <w:bookmarkEnd w:id="1406"/>
    </w:p>
    <w:bookmarkEnd w:id="1405"/>
    <w:p w:rsidR="00A81E83" w:rsidRPr="004B208C" w:rsidRDefault="00A81E83" w:rsidP="00BD4B91">
      <w:pPr>
        <w:rPr>
          <w:rFonts w:cs="Tahoma"/>
        </w:rPr>
      </w:pPr>
    </w:p>
    <w:p w:rsidR="00CA0E2D" w:rsidRPr="004B208C" w:rsidRDefault="00A81E83" w:rsidP="00CA0E2D">
      <w:pPr>
        <w:spacing w:after="60" w:line="276" w:lineRule="auto"/>
        <w:ind w:left="720"/>
        <w:rPr>
          <w:rFonts w:cs="Tahoma"/>
        </w:rPr>
      </w:pPr>
      <w:r w:rsidRPr="004B208C">
        <w:rPr>
          <w:rFonts w:eastAsia="Calibri" w:cs="Tahoma"/>
          <w:b/>
          <w:szCs w:val="18"/>
        </w:rPr>
        <w:t>Outorgas de Licença Associadas ao término da validade da edição do SQL Server Small Business</w:t>
      </w:r>
    </w:p>
    <w:p w:rsidR="00A81E83" w:rsidRPr="004B208C" w:rsidRDefault="00A81E83" w:rsidP="00CA0E2D">
      <w:pPr>
        <w:spacing w:after="200"/>
        <w:ind w:left="720"/>
        <w:rPr>
          <w:rFonts w:cs="Tahoma"/>
        </w:rPr>
      </w:pPr>
      <w:r w:rsidRPr="004B208C">
        <w:rPr>
          <w:rFonts w:eastAsia="Calibri" w:cs="Tahoma"/>
          <w:szCs w:val="18"/>
        </w:rPr>
        <w:t>O SQL Server 2008 R2 para Small Business será a última versão da edição do SQL Server para Small Business.</w:t>
      </w:r>
      <w:r w:rsidR="00172F11">
        <w:rPr>
          <w:rFonts w:eastAsia="Calibri" w:cs="Tahoma"/>
          <w:szCs w:val="18"/>
        </w:rPr>
        <w:t xml:space="preserve"> </w:t>
      </w:r>
      <w:r w:rsidRPr="004B208C">
        <w:rPr>
          <w:rFonts w:eastAsia="Calibri" w:cs="Tahoma"/>
          <w:szCs w:val="18"/>
        </w:rPr>
        <w:t>Como exceção, os clientes de Licenciamento por Volume com Software Assurance ativo para licenças do SQL Server 2008 R2 para Small Business em 1º de abril de 2012 poderão fazer atualização e</w:t>
      </w:r>
      <w:r w:rsidR="004C2861">
        <w:rPr>
          <w:rFonts w:eastAsia="Calibri" w:cs="Tahoma"/>
          <w:szCs w:val="18"/>
        </w:rPr>
        <w:t> </w:t>
      </w:r>
      <w:r w:rsidRPr="004B208C">
        <w:rPr>
          <w:rFonts w:eastAsia="Calibri" w:cs="Tahoma"/>
          <w:szCs w:val="18"/>
        </w:rPr>
        <w:t>usar o SQL Server 2012 Standard Server (ou qualquer versão posterior desse produto disponibilizado durante sua cobertura) no lugar da edição do SQL Server Workgroup e adquirir o Software Assurance para</w:t>
      </w:r>
      <w:r w:rsidR="004C2861">
        <w:rPr>
          <w:rFonts w:eastAsia="Calibri" w:cs="Tahoma"/>
          <w:szCs w:val="18"/>
        </w:rPr>
        <w:t> </w:t>
      </w:r>
      <w:r w:rsidRPr="004B208C">
        <w:rPr>
          <w:rFonts w:eastAsia="Calibri" w:cs="Tahoma"/>
          <w:szCs w:val="18"/>
        </w:rPr>
        <w:t>SQL Server Standard quando sua cobertura atual expirar. 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w:t>
      </w:r>
      <w:r w:rsidR="004C2861">
        <w:rPr>
          <w:rFonts w:eastAsia="Calibri" w:cs="Tahoma"/>
          <w:szCs w:val="18"/>
        </w:rPr>
        <w:t> </w:t>
      </w:r>
      <w:r w:rsidRPr="004B208C">
        <w:rPr>
          <w:rFonts w:eastAsia="Calibri" w:cs="Tahoma"/>
          <w:szCs w:val="18"/>
        </w:rPr>
        <w:t>Software Assurance para CAL do SQL Server quando sua cobertura atual expirar.</w:t>
      </w:r>
      <w:r w:rsidR="00172F11">
        <w:rPr>
          <w:rFonts w:eastAsia="Calibri" w:cs="Tahoma"/>
          <w:szCs w:val="18"/>
        </w:rPr>
        <w:t xml:space="preserve"> </w:t>
      </w:r>
      <w:r w:rsidRPr="004B208C">
        <w:rPr>
          <w:rFonts w:eastAsia="Calibri" w:cs="Tahoma"/>
          <w:szCs w:val="18"/>
        </w:rPr>
        <w:t xml:space="preserve">As licenças do SQL </w:t>
      </w:r>
      <w:r w:rsidRPr="004B208C">
        <w:rPr>
          <w:rFonts w:eastAsia="Calibri" w:cs="Tahoma"/>
          <w:szCs w:val="18"/>
        </w:rPr>
        <w:lastRenderedPageBreak/>
        <w:t>Server Small Business dos clientes não são mais válidas quando eles adquirem o Software Assurance do SQL Server Standard sob esta oferta.</w:t>
      </w:r>
    </w:p>
    <w:p w:rsidR="00CA0E2D" w:rsidRPr="004B208C" w:rsidRDefault="00A81E83" w:rsidP="00CA0E2D">
      <w:pPr>
        <w:spacing w:after="60" w:line="276" w:lineRule="auto"/>
        <w:ind w:left="720"/>
        <w:rPr>
          <w:rFonts w:cs="Tahoma"/>
        </w:rPr>
      </w:pPr>
      <w:r w:rsidRPr="004B208C">
        <w:rPr>
          <w:rFonts w:cs="Tahoma"/>
          <w:b/>
        </w:rPr>
        <w:t>Para os clientes localizados na República Popular da</w:t>
      </w:r>
      <w:r w:rsidRPr="004B208C">
        <w:rPr>
          <w:rFonts w:cs="Tahoma"/>
        </w:rPr>
        <w:t xml:space="preserve"> </w:t>
      </w:r>
      <w:r w:rsidRPr="004B208C">
        <w:rPr>
          <w:rFonts w:cs="Tahoma"/>
          <w:b/>
        </w:rPr>
        <w:t>China e para os que estão adquirindo licenças e Software Assurance para SQL Server 2008 R2</w:t>
      </w:r>
    </w:p>
    <w:p w:rsidR="00CA0E2D" w:rsidRPr="004B208C" w:rsidRDefault="00A81E83" w:rsidP="00CA0E2D">
      <w:pPr>
        <w:ind w:left="720"/>
        <w:rPr>
          <w:rFonts w:cs="Tahoma"/>
        </w:rPr>
      </w:pPr>
      <w:r w:rsidRPr="004B208C">
        <w:rPr>
          <w:rFonts w:cs="Tahoma"/>
        </w:rPr>
        <w:t>As referências a 1</w:t>
      </w:r>
      <w:r w:rsidRPr="004B208C">
        <w:rPr>
          <w:rFonts w:cs="Tahoma"/>
          <w:vertAlign w:val="superscript"/>
        </w:rPr>
        <w:t>º</w:t>
      </w:r>
      <w:r w:rsidRPr="004B208C">
        <w:rPr>
          <w:rFonts w:cs="Tahoma"/>
        </w:rPr>
        <w:t xml:space="preserve"> de abril de 2012 nesta nota da lista de produtos não são aplicáveis. A data aplicável para</w:t>
      </w:r>
      <w:r w:rsidR="009803C5">
        <w:rPr>
          <w:rFonts w:cs="Tahoma"/>
        </w:rPr>
        <w:t> </w:t>
      </w:r>
      <w:r w:rsidRPr="004B208C">
        <w:rPr>
          <w:rFonts w:cs="Tahoma"/>
        </w:rPr>
        <w:t>esses clientes é 1</w:t>
      </w:r>
      <w:r w:rsidRPr="004B208C">
        <w:rPr>
          <w:rFonts w:cs="Tahoma"/>
          <w:vertAlign w:val="superscript"/>
        </w:rPr>
        <w:t>º</w:t>
      </w:r>
      <w:r w:rsidRPr="004B208C">
        <w:rPr>
          <w:rFonts w:cs="Tahoma"/>
        </w:rPr>
        <w:t xml:space="preserve"> de julho de 2012.</w:t>
      </w:r>
    </w:p>
    <w:p w:rsidR="00CA0E2D" w:rsidRPr="004B208C" w:rsidRDefault="00CA0E2D" w:rsidP="009803C5">
      <w:pPr>
        <w:rPr>
          <w:rFonts w:cs="Tahoma"/>
        </w:rPr>
      </w:pPr>
    </w:p>
    <w:p w:rsidR="002512D3" w:rsidRPr="004B208C" w:rsidRDefault="002512D3">
      <w:pPr>
        <w:rPr>
          <w:rFonts w:cs="Tahoma"/>
        </w:rPr>
      </w:pPr>
      <w:bookmarkStart w:id="1407" w:name="_Toc336338342"/>
      <w:bookmarkStart w:id="1408" w:name="Srv_84SQL2008R2Webproc"/>
    </w:p>
    <w:p w:rsidR="00A81E83" w:rsidRPr="004B208C" w:rsidRDefault="00A560B6" w:rsidP="00A81E83">
      <w:pPr>
        <w:pStyle w:val="Heading3"/>
        <w:rPr>
          <w:rFonts w:ascii="Tahoma" w:hAnsi="Tahoma" w:cs="Tahoma"/>
        </w:rPr>
      </w:pPr>
      <w:bookmarkStart w:id="1409" w:name="_77_75_SQL"/>
      <w:bookmarkStart w:id="1410" w:name="_Toc370981455"/>
      <w:bookmarkEnd w:id="1409"/>
      <w:r w:rsidRPr="004B208C">
        <w:rPr>
          <w:rFonts w:ascii="Tahoma" w:hAnsi="Tahoma" w:cs="Tahoma"/>
          <w:caps/>
          <w:color w:val="F66400"/>
          <w:sz w:val="22"/>
          <w:vertAlign w:val="superscript"/>
        </w:rPr>
        <w:t>81</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2008 R2 Web Processor</w:t>
      </w:r>
      <w:bookmarkEnd w:id="1407"/>
      <w:bookmarkEnd w:id="1410"/>
    </w:p>
    <w:bookmarkEnd w:id="1408"/>
    <w:p w:rsidR="00A81E83" w:rsidRPr="004B208C" w:rsidRDefault="00A81E83" w:rsidP="008558DC">
      <w:pPr>
        <w:rPr>
          <w:rFonts w:cs="Tahoma"/>
        </w:rPr>
      </w:pPr>
    </w:p>
    <w:p w:rsidR="008558DC" w:rsidRPr="004B208C" w:rsidRDefault="00A81E83" w:rsidP="008558DC">
      <w:pPr>
        <w:spacing w:after="60"/>
        <w:ind w:left="720"/>
        <w:rPr>
          <w:rFonts w:cs="Tahoma"/>
        </w:rPr>
      </w:pPr>
      <w:r w:rsidRPr="004B208C">
        <w:rPr>
          <w:rFonts w:eastAsia="Calibri" w:cs="Tahoma"/>
          <w:b/>
          <w:szCs w:val="18"/>
        </w:rPr>
        <w:t>Outorgas de Licença Associadas à Alteração no Modelo de Licenciamento</w:t>
      </w:r>
    </w:p>
    <w:p w:rsidR="00A81E83" w:rsidRPr="004B208C" w:rsidRDefault="00A81E83" w:rsidP="008558DC">
      <w:pPr>
        <w:ind w:left="720"/>
        <w:rPr>
          <w:rFonts w:cs="Tahoma"/>
        </w:rPr>
      </w:pPr>
      <w:r w:rsidRPr="004B208C">
        <w:rPr>
          <w:rFonts w:eastAsia="Calibri" w:cs="Tahoma"/>
          <w:szCs w:val="18"/>
        </w:rPr>
        <w:t>O SQL Server 2008 R2 será a última versão do SQL Server licenciada sob o modelo de licenciamento por</w:t>
      </w:r>
      <w:r w:rsidR="00C84F74">
        <w:rPr>
          <w:rFonts w:eastAsia="Calibri" w:cs="Tahoma"/>
          <w:szCs w:val="18"/>
        </w:rPr>
        <w:t> </w:t>
      </w:r>
      <w:r w:rsidRPr="004B208C">
        <w:rPr>
          <w:rFonts w:eastAsia="Calibri" w:cs="Tahoma"/>
          <w:szCs w:val="18"/>
        </w:rPr>
        <w:t>processador e a última versão da edição da Web do SQL Server sob programas de usuário final de Licenciamento por Volume.</w:t>
      </w:r>
      <w:r w:rsidR="00172F11">
        <w:rPr>
          <w:rFonts w:eastAsia="Calibri" w:cs="Tahoma"/>
          <w:szCs w:val="18"/>
        </w:rPr>
        <w:t xml:space="preserve"> </w:t>
      </w:r>
      <w:r w:rsidRPr="004B208C">
        <w:rPr>
          <w:rFonts w:eastAsia="Calibri" w:cs="Tahoma"/>
          <w:szCs w:val="18"/>
        </w:rPr>
        <w:t xml:space="preserve">Como uma exceção, aos clientes de Licenciamento por Volume com Software Assurance ativo para licenças do processador do SQL Server 2008 R2 Web em 1º de abril de 2012 (“licenças qualificadas”) são concedidas as seguintes opções. </w:t>
      </w:r>
      <w:r w:rsidRPr="004B208C">
        <w:rPr>
          <w:rFonts w:cs="Tahoma"/>
        </w:rPr>
        <w:t>As licenças do processador do SQL Server 2008 R2 Web</w:t>
      </w:r>
      <w:r w:rsidRPr="004B208C">
        <w:rPr>
          <w:rFonts w:cs="Tahoma"/>
          <w:bCs/>
          <w:color w:val="000000"/>
          <w:szCs w:val="18"/>
        </w:rPr>
        <w:t xml:space="preserve"> 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 dessas opções.</w:t>
      </w:r>
      <w:r w:rsidR="00172F11">
        <w:rPr>
          <w:rFonts w:cs="Tahoma"/>
          <w:bCs/>
          <w:color w:val="000000"/>
          <w:szCs w:val="18"/>
        </w:rPr>
        <w:t xml:space="preserve"> </w:t>
      </w:r>
      <w:r w:rsidRPr="004B208C">
        <w:rPr>
          <w:rFonts w:cs="Tahoma"/>
          <w:bCs/>
          <w:color w:val="000000"/>
          <w:szCs w:val="18"/>
        </w:rPr>
        <w:t>As licenças adquiridas depois de 1º de abril de 2015 ou sob um prazo de registro subsequente, um contrato separado ou qualquer registro com uma data de início de vigência após 1º</w:t>
      </w:r>
      <w:r w:rsidR="004C2861">
        <w:rPr>
          <w:rFonts w:cs="Tahoma"/>
          <w:bCs/>
          <w:color w:val="000000"/>
          <w:szCs w:val="18"/>
        </w:rPr>
        <w:t> </w:t>
      </w:r>
      <w:r w:rsidRPr="004B208C">
        <w:rPr>
          <w:rFonts w:cs="Tahoma"/>
          <w:bCs/>
          <w:color w:val="000000"/>
          <w:szCs w:val="18"/>
        </w:rPr>
        <w:t>de</w:t>
      </w:r>
      <w:r w:rsidR="004C2861">
        <w:rPr>
          <w:rFonts w:cs="Tahoma"/>
          <w:bCs/>
          <w:color w:val="000000"/>
          <w:szCs w:val="18"/>
        </w:rPr>
        <w:t> </w:t>
      </w:r>
      <w:r w:rsidRPr="004B208C">
        <w:rPr>
          <w:rFonts w:cs="Tahoma"/>
          <w:bCs/>
          <w:color w:val="000000"/>
          <w:szCs w:val="18"/>
        </w:rPr>
        <w:t>abril de 2012 não são licenças qualificadas.</w:t>
      </w:r>
    </w:p>
    <w:p w:rsidR="008558DC" w:rsidRPr="004B208C" w:rsidRDefault="008558DC" w:rsidP="008558DC">
      <w:pPr>
        <w:ind w:left="720"/>
        <w:rPr>
          <w:rFonts w:cs="Tahoma"/>
        </w:rPr>
      </w:pPr>
    </w:p>
    <w:p w:rsidR="008558DC" w:rsidRPr="004B208C" w:rsidRDefault="008558DC" w:rsidP="008558DC">
      <w:pPr>
        <w:spacing w:after="60"/>
        <w:ind w:left="720"/>
        <w:rPr>
          <w:rFonts w:cs="Tahoma"/>
        </w:rPr>
      </w:pPr>
      <w:r w:rsidRPr="004B208C">
        <w:rPr>
          <w:rFonts w:eastAsia="Calibri" w:cs="Tahoma"/>
          <w:b/>
          <w:szCs w:val="18"/>
        </w:rPr>
        <w:t>Prazo Atual</w:t>
      </w:r>
    </w:p>
    <w:p w:rsidR="008558DC" w:rsidRPr="004B208C" w:rsidRDefault="00A81E83" w:rsidP="008558DC">
      <w:pPr>
        <w:ind w:left="720"/>
        <w:rPr>
          <w:rFonts w:cs="Tahoma"/>
        </w:rPr>
      </w:pPr>
      <w:r w:rsidRPr="004B208C">
        <w:rPr>
          <w:rFonts w:eastAsia="Calibri" w:cs="Tahoma"/>
          <w:szCs w:val="18"/>
        </w:rPr>
        <w:t>Durante o prazo atual da sua cobertura de Software Assurance a partir de 1º de abril de 2012, os clientes (incluindo aqueles sob contratos de assinatura) podem, sob qualquer licença qualificada, atualizar e usar o 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172F11">
        <w:rPr>
          <w:rFonts w:eastAsia="Calibri" w:cs="Tahoma"/>
          <w:szCs w:val="18"/>
        </w:rPr>
        <w:t xml:space="preserve"> </w:t>
      </w:r>
      <w:r w:rsidRPr="004B208C">
        <w:rPr>
          <w:rFonts w:eastAsia="Calibri" w:cs="Tahoma"/>
          <w:szCs w:val="18"/>
        </w:rPr>
        <w:t>Os clientes devem consultar os Direitos de Uso do Produto para SQL Server 2012 Standard Core quanto aos termos de licença para Mobilidade de Licença.</w:t>
      </w:r>
    </w:p>
    <w:p w:rsidR="008558DC" w:rsidRDefault="008558DC" w:rsidP="008558DC">
      <w:pPr>
        <w:ind w:left="720"/>
        <w:rPr>
          <w:rFonts w:cs="Tahoma"/>
        </w:rPr>
      </w:pPr>
    </w:p>
    <w:p w:rsidR="008558DC" w:rsidRPr="004B208C" w:rsidRDefault="00A81E83" w:rsidP="008558DC">
      <w:pPr>
        <w:spacing w:after="60"/>
        <w:ind w:left="720"/>
        <w:rPr>
          <w:rFonts w:cs="Tahoma"/>
        </w:rPr>
      </w:pPr>
      <w:r w:rsidRPr="004B208C">
        <w:rPr>
          <w:rFonts w:eastAsia="Calibri" w:cs="Tahoma"/>
          <w:b/>
          <w:szCs w:val="18"/>
        </w:rPr>
        <w:t>Primeiro Prazo de Renovação (antes de 1º de abril de 2015)</w:t>
      </w:r>
    </w:p>
    <w:p w:rsidR="00A81E83" w:rsidRPr="004B208C" w:rsidRDefault="00A81E83" w:rsidP="008558DC">
      <w:pPr>
        <w:ind w:left="720"/>
        <w:rPr>
          <w:rFonts w:cs="Tahoma"/>
        </w:rPr>
      </w:pPr>
      <w:r w:rsidRPr="004B208C">
        <w:rPr>
          <w:rFonts w:eastAsia="Calibri" w:cs="Tahoma"/>
          <w:szCs w:val="18"/>
        </w:rPr>
        <w:t>Na sua primeira renovação de Software Assurance em ou depois de 1º de abril de 2012 (mas antes de 1º</w:t>
      </w:r>
      <w:r w:rsidR="004C2861">
        <w:rPr>
          <w:rFonts w:eastAsia="Calibri" w:cs="Tahoma"/>
          <w:szCs w:val="18"/>
        </w:rPr>
        <w:t> </w:t>
      </w:r>
      <w:r w:rsidRPr="004B208C">
        <w:rPr>
          <w:rFonts w:eastAsia="Calibri" w:cs="Tahoma"/>
          <w:szCs w:val="18"/>
        </w:rPr>
        <w:t>de abril de 2015), para cada servidor que um cliente tiver licenciado corretamente sob os direitos de uso do</w:t>
      </w:r>
      <w:r w:rsidR="004C2861">
        <w:rPr>
          <w:rFonts w:eastAsia="Calibri" w:cs="Tahoma"/>
          <w:szCs w:val="18"/>
        </w:rPr>
        <w:t> </w:t>
      </w:r>
      <w:r w:rsidRPr="004B208C">
        <w:rPr>
          <w:rFonts w:eastAsia="Calibri" w:cs="Tahoma"/>
          <w:szCs w:val="18"/>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4B208C" w:rsidRDefault="00A81E83" w:rsidP="00A1385C">
      <w:pPr>
        <w:numPr>
          <w:ilvl w:val="0"/>
          <w:numId w:val="111"/>
        </w:numPr>
        <w:tabs>
          <w:tab w:val="left" w:pos="1800"/>
        </w:tabs>
        <w:spacing w:after="60"/>
        <w:rPr>
          <w:rFonts w:cs="Tahoma"/>
        </w:rPr>
      </w:pPr>
      <w:r w:rsidRPr="004B208C">
        <w:rPr>
          <w:rFonts w:eastAsia="Calibri" w:cs="Tahoma"/>
          <w:szCs w:val="18"/>
        </w:rPr>
        <w:t xml:space="preserve">um número igual ao menor número de licenças qualificadas atribuído ao servidor ou o número total de processadores físicos no servidor multiplicado pelo maior de: </w:t>
      </w:r>
    </w:p>
    <w:p w:rsidR="00A81E83" w:rsidRPr="004B208C" w:rsidRDefault="00A81E83" w:rsidP="00A1385C">
      <w:pPr>
        <w:numPr>
          <w:ilvl w:val="3"/>
          <w:numId w:val="53"/>
        </w:numPr>
        <w:spacing w:after="60"/>
        <w:ind w:left="2160"/>
        <w:rPr>
          <w:rFonts w:cs="Tahoma"/>
        </w:rPr>
      </w:pPr>
      <w:r w:rsidRPr="004B208C">
        <w:rPr>
          <w:rFonts w:eastAsia="Calibri" w:cs="Tahoma"/>
          <w:szCs w:val="18"/>
        </w:rPr>
        <w:t>Quatro OU</w:t>
      </w:r>
    </w:p>
    <w:p w:rsidR="00A81E83" w:rsidRPr="004B208C" w:rsidRDefault="00A81E83" w:rsidP="00A1385C">
      <w:pPr>
        <w:numPr>
          <w:ilvl w:val="3"/>
          <w:numId w:val="53"/>
        </w:numPr>
        <w:spacing w:after="60"/>
        <w:ind w:left="2160"/>
        <w:rPr>
          <w:rFonts w:cs="Tahoma"/>
        </w:rPr>
      </w:pPr>
      <w:r w:rsidRPr="004B208C">
        <w:rPr>
          <w:rFonts w:eastAsia="Calibri" w:cs="Tahoma"/>
          <w:szCs w:val="18"/>
        </w:rPr>
        <w:t>o número real de núcleos por processador físico multiplicado pelo fator do núcleo apropriado.</w:t>
      </w:r>
      <w:r w:rsidR="00172F11">
        <w:rPr>
          <w:rFonts w:eastAsia="Calibri" w:cs="Tahoma"/>
          <w:szCs w:val="18"/>
        </w:rPr>
        <w:t xml:space="preserve"> </w:t>
      </w:r>
      <w:r w:rsidRPr="004B208C">
        <w:rPr>
          <w:rFonts w:eastAsia="Calibri" w:cs="Tahoma"/>
          <w:szCs w:val="18"/>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8558DC" w:rsidRPr="004B208C" w:rsidRDefault="00A81E83" w:rsidP="00A1385C">
      <w:pPr>
        <w:numPr>
          <w:ilvl w:val="0"/>
          <w:numId w:val="111"/>
        </w:numPr>
        <w:tabs>
          <w:tab w:val="left" w:pos="1800"/>
        </w:tabs>
        <w:spacing w:after="60"/>
        <w:rPr>
          <w:rFonts w:cs="Tahoma"/>
        </w:rPr>
      </w:pPr>
      <w:r w:rsidRPr="004B208C">
        <w:rPr>
          <w:rFonts w:eastAsia="Calibri" w:cs="Tahoma"/>
          <w:szCs w:val="18"/>
        </w:rPr>
        <w:t>um número igual ao número das licenças qualificadas atribuído ao servidor em excesso do número real de processadores físicos no servidor multiplicado por quatro.</w:t>
      </w:r>
    </w:p>
    <w:p w:rsidR="00E5029B" w:rsidRDefault="00E5029B">
      <w:pPr>
        <w:rPr>
          <w:rFonts w:cs="Tahoma"/>
        </w:rPr>
      </w:pPr>
    </w:p>
    <w:p w:rsidR="00832805" w:rsidRDefault="00832805">
      <w:pPr>
        <w:rPr>
          <w:rFonts w:cs="Tahoma"/>
        </w:rPr>
      </w:pPr>
    </w:p>
    <w:p w:rsidR="00832805" w:rsidRDefault="00832805">
      <w:pPr>
        <w:rPr>
          <w:rFonts w:cs="Tahoma"/>
        </w:rPr>
      </w:pPr>
    </w:p>
    <w:p w:rsidR="00832805" w:rsidRPr="004B208C" w:rsidRDefault="00832805">
      <w:pPr>
        <w:rPr>
          <w:rFonts w:cs="Tahoma"/>
        </w:rPr>
      </w:pPr>
    </w:p>
    <w:p w:rsidR="008558DC" w:rsidRPr="004B208C" w:rsidRDefault="00A81E83" w:rsidP="008558DC">
      <w:pPr>
        <w:spacing w:after="60"/>
        <w:ind w:left="720"/>
        <w:rPr>
          <w:rFonts w:cs="Tahoma"/>
        </w:rPr>
      </w:pPr>
      <w:r w:rsidRPr="004B208C">
        <w:rPr>
          <w:rFonts w:eastAsia="Calibri" w:cs="Tahoma"/>
          <w:b/>
          <w:szCs w:val="18"/>
        </w:rPr>
        <w:lastRenderedPageBreak/>
        <w:t>Primeiro Prazo de Renovação (em ou após 1º de abril de 2015)</w:t>
      </w:r>
    </w:p>
    <w:p w:rsidR="00A81E83" w:rsidRPr="004B208C" w:rsidRDefault="00A81E83" w:rsidP="008558DC">
      <w:pPr>
        <w:ind w:left="720"/>
        <w:contextualSpacing/>
        <w:rPr>
          <w:rFonts w:cs="Tahoma"/>
        </w:rPr>
      </w:pPr>
      <w:r w:rsidRPr="004B208C">
        <w:rPr>
          <w:rFonts w:eastAsia="Calibri" w:cs="Tahoma"/>
          <w:color w:val="000000"/>
          <w:szCs w:val="18"/>
        </w:rPr>
        <w:t>Os clientes que renovaram primeiro a cobertura em ou depois de 1o. de abril de 2015</w:t>
      </w:r>
      <w:r w:rsidRPr="004B208C">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8558DC" w:rsidRPr="004B208C" w:rsidRDefault="008558DC" w:rsidP="008558DC">
      <w:pPr>
        <w:ind w:left="720"/>
        <w:contextualSpacing/>
        <w:rPr>
          <w:rFonts w:cs="Tahoma"/>
        </w:rPr>
      </w:pPr>
    </w:p>
    <w:p w:rsidR="00A81E83" w:rsidRPr="004B208C" w:rsidRDefault="00A81E83" w:rsidP="00A1385C">
      <w:pPr>
        <w:numPr>
          <w:ilvl w:val="3"/>
          <w:numId w:val="84"/>
        </w:numPr>
        <w:spacing w:after="60"/>
        <w:ind w:left="1440"/>
        <w:rPr>
          <w:rFonts w:cs="Tahoma"/>
        </w:rPr>
      </w:pPr>
      <w:r w:rsidRPr="004B208C">
        <w:rPr>
          <w:rFonts w:eastAsia="Calibri" w:cs="Tahoma"/>
          <w:szCs w:val="18"/>
        </w:rPr>
        <w:t>Conforme fornecido no primeiro parágrafo desta nota do produto, as licenças adquiridas antes de 1</w:t>
      </w:r>
      <w:r w:rsidRPr="004B208C">
        <w:rPr>
          <w:rFonts w:eastAsia="Calibri" w:cs="Tahoma"/>
          <w:szCs w:val="18"/>
          <w:vertAlign w:val="superscript"/>
        </w:rPr>
        <w:t>º</w:t>
      </w:r>
      <w:r w:rsidRPr="004B208C">
        <w:rPr>
          <w:rFonts w:eastAsia="Calibri" w:cs="Tahoma"/>
          <w:szCs w:val="18"/>
        </w:rPr>
        <w:t xml:space="preserve"> de abril de 2015 são licenças qualificadas, e os clientes poderão renovar o SA de acordo com os</w:t>
      </w:r>
      <w:r w:rsidR="009803C5">
        <w:rPr>
          <w:rFonts w:eastAsia="Calibri" w:cs="Tahoma"/>
          <w:szCs w:val="18"/>
        </w:rPr>
        <w:t> </w:t>
      </w:r>
      <w:r w:rsidRPr="004B208C">
        <w:rPr>
          <w:rFonts w:eastAsia="Calibri" w:cs="Tahoma"/>
          <w:szCs w:val="18"/>
        </w:rPr>
        <w:t>termos na seção “Primeiro Prazo de Renovação (Antes de 1</w:t>
      </w:r>
      <w:r w:rsidRPr="004B208C">
        <w:rPr>
          <w:rFonts w:eastAsia="Calibri" w:cs="Tahoma"/>
          <w:szCs w:val="18"/>
          <w:vertAlign w:val="superscript"/>
        </w:rPr>
        <w:t>º</w:t>
      </w:r>
      <w:r w:rsidRPr="004B208C">
        <w:rPr>
          <w:rFonts w:eastAsia="Calibri" w:cs="Tahoma"/>
          <w:szCs w:val="18"/>
        </w:rPr>
        <w:t xml:space="preserve"> de abril de 2015)“ acima e</w:t>
      </w:r>
    </w:p>
    <w:p w:rsidR="00A81E83" w:rsidRPr="004B208C" w:rsidRDefault="00A81E83" w:rsidP="00A1385C">
      <w:pPr>
        <w:numPr>
          <w:ilvl w:val="3"/>
          <w:numId w:val="84"/>
        </w:numPr>
        <w:spacing w:after="60"/>
        <w:ind w:left="1440"/>
        <w:rPr>
          <w:rFonts w:cs="Tahoma"/>
        </w:rPr>
      </w:pPr>
      <w:r w:rsidRPr="004B208C">
        <w:rPr>
          <w:rFonts w:eastAsia="Calibri" w:cs="Tahoma"/>
          <w:szCs w:val="18"/>
        </w:rPr>
        <w:t>Para as licenças adquiridas depois de 1</w:t>
      </w:r>
      <w:r w:rsidRPr="004B208C">
        <w:rPr>
          <w:rFonts w:eastAsia="Calibri" w:cs="Tahoma"/>
          <w:szCs w:val="18"/>
          <w:vertAlign w:val="superscript"/>
        </w:rPr>
        <w:t>º</w:t>
      </w:r>
      <w:r w:rsidRPr="004B208C">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rsidR="00A81E83" w:rsidRPr="004B208C" w:rsidRDefault="00A81E83" w:rsidP="00A1385C">
      <w:pPr>
        <w:numPr>
          <w:ilvl w:val="3"/>
          <w:numId w:val="84"/>
        </w:numPr>
        <w:spacing w:after="60"/>
        <w:ind w:left="1440"/>
        <w:rPr>
          <w:rFonts w:cs="Tahoma"/>
        </w:rPr>
      </w:pPr>
      <w:r w:rsidRPr="004B208C">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p>
    <w:p w:rsidR="008558DC" w:rsidRPr="004B208C" w:rsidRDefault="008558DC" w:rsidP="008558DC">
      <w:pPr>
        <w:ind w:left="720"/>
        <w:contextualSpacing/>
        <w:rPr>
          <w:rFonts w:cs="Tahoma"/>
        </w:rPr>
      </w:pPr>
    </w:p>
    <w:p w:rsidR="008558DC" w:rsidRPr="004B208C" w:rsidRDefault="00A81E83" w:rsidP="008558DC">
      <w:pPr>
        <w:spacing w:after="60"/>
        <w:ind w:left="720"/>
        <w:rPr>
          <w:rFonts w:cs="Tahoma"/>
        </w:rPr>
      </w:pPr>
      <w:r w:rsidRPr="004B208C">
        <w:rPr>
          <w:rFonts w:eastAsia="Calibri" w:cs="Tahoma"/>
          <w:b/>
          <w:szCs w:val="18"/>
        </w:rPr>
        <w:t>Para os clientes com cobertura de Software Assurance que expiram antes de 1º de abril de 2015 que optaram pela não renovação</w:t>
      </w:r>
    </w:p>
    <w:p w:rsidR="00A81E83" w:rsidRPr="004B208C" w:rsidRDefault="00A81E83" w:rsidP="008558DC">
      <w:pPr>
        <w:ind w:left="720"/>
        <w:contextualSpacing/>
        <w:rPr>
          <w:rFonts w:cs="Tahoma"/>
        </w:rPr>
      </w:pPr>
      <w:r w:rsidRPr="004B208C">
        <w:rPr>
          <w:rFonts w:eastAsia="Calibri" w:cs="Tahoma"/>
          <w:szCs w:val="18"/>
        </w:rPr>
        <w:t xml:space="preserve">Os clientes do Enterprise Subscription </w:t>
      </w:r>
      <w:r w:rsidRPr="004B208C">
        <w:rPr>
          <w:rFonts w:cs="Tahoma"/>
          <w:bCs/>
          <w:color w:val="000000"/>
          <w:szCs w:val="18"/>
        </w:rPr>
        <w:t xml:space="preserve">e Open Value Subscription </w:t>
      </w:r>
      <w:r w:rsidRPr="004B208C">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w:t>
      </w:r>
      <w:r w:rsidR="004C2861">
        <w:rPr>
          <w:rFonts w:eastAsia="Calibri" w:cs="Tahoma"/>
          <w:szCs w:val="18"/>
        </w:rPr>
        <w:t> </w:t>
      </w:r>
      <w:r w:rsidRPr="004B208C">
        <w:rPr>
          <w:rFonts w:eastAsia="Calibri" w:cs="Tahoma"/>
          <w:szCs w:val="18"/>
        </w:rPr>
        <w:t>SQL Server 2008 R2 ou SQL Server 2012 sob essas licenças da seguinte forma:</w:t>
      </w:r>
    </w:p>
    <w:p w:rsidR="00A81E83" w:rsidRPr="004B208C" w:rsidRDefault="00A81E83" w:rsidP="00A1385C">
      <w:pPr>
        <w:numPr>
          <w:ilvl w:val="0"/>
          <w:numId w:val="85"/>
        </w:numPr>
        <w:tabs>
          <w:tab w:val="left" w:pos="1800"/>
        </w:tabs>
        <w:spacing w:after="60"/>
        <w:ind w:left="1800"/>
        <w:rPr>
          <w:rFonts w:cs="Tahoma"/>
        </w:rPr>
      </w:pPr>
      <w:r w:rsidRPr="004B208C">
        <w:rPr>
          <w:rFonts w:eastAsia="Calibri" w:cs="Tahoma"/>
          <w:b/>
          <w:szCs w:val="18"/>
        </w:rPr>
        <w:t>SQL Server 2008 R2 Web:</w:t>
      </w:r>
      <w:r w:rsidRPr="004B208C">
        <w:rPr>
          <w:rFonts w:eastAsia="Calibri" w:cs="Tahoma"/>
          <w:szCs w:val="18"/>
        </w:rPr>
        <w:t xml:space="preserve"> O uso contínuo do referido software está sujeito aos direitos de uso do produto de licença do processador do SQL Server 2008 R2 Web. Os clientes não têm mais direitos sob Mobilidade de Licença nos Farms de Servidores nem Mobilidade de Licença por meio de Software Assurance. </w:t>
      </w:r>
    </w:p>
    <w:p w:rsidR="00A81E83" w:rsidRPr="004B208C" w:rsidRDefault="00A81E83" w:rsidP="00A1385C">
      <w:pPr>
        <w:numPr>
          <w:ilvl w:val="0"/>
          <w:numId w:val="85"/>
        </w:numPr>
        <w:tabs>
          <w:tab w:val="left" w:pos="1800"/>
        </w:tabs>
        <w:spacing w:after="60"/>
        <w:ind w:left="1800"/>
        <w:rPr>
          <w:rFonts w:cs="Tahoma"/>
        </w:rPr>
      </w:pPr>
      <w:r w:rsidRPr="004B208C">
        <w:rPr>
          <w:rFonts w:eastAsia="Calibri" w:cs="Tahoma"/>
          <w:b/>
          <w:szCs w:val="18"/>
        </w:rPr>
        <w:t xml:space="preserve">SQL Server 2012 Standard Core: </w:t>
      </w:r>
      <w:r w:rsidRPr="004B208C">
        <w:rPr>
          <w:rFonts w:eastAsia="Calibri" w:cs="Tahoma"/>
          <w:szCs w:val="18"/>
        </w:rPr>
        <w:t xml:space="preserve">O uso desta versão do software está sujeito aos direitos de uso do produto de licença do processador do SQL Server 2008 R2 Standard, no entanto: </w:t>
      </w:r>
    </w:p>
    <w:p w:rsidR="00A81E83" w:rsidRPr="004C2861" w:rsidRDefault="00A81E83" w:rsidP="00A1385C">
      <w:pPr>
        <w:numPr>
          <w:ilvl w:val="1"/>
          <w:numId w:val="50"/>
        </w:numPr>
        <w:tabs>
          <w:tab w:val="left" w:pos="2160"/>
        </w:tabs>
        <w:spacing w:after="60"/>
        <w:ind w:left="2160"/>
        <w:rPr>
          <w:rFonts w:cs="Tahoma"/>
        </w:rPr>
      </w:pPr>
      <w:r w:rsidRPr="004B208C">
        <w:rPr>
          <w:rFonts w:eastAsia="Calibri" w:cs="Tahoma"/>
          <w:szCs w:val="18"/>
        </w:rPr>
        <w:t xml:space="preserve">os clientes não têm mais direitos sob Mobilidade de Licença nos Farms de Servidores nem Mobilidade de Licença por meio de Software Assurance e </w:t>
      </w:r>
    </w:p>
    <w:p w:rsidR="00A81E83" w:rsidRPr="004B208C" w:rsidRDefault="00A81E83" w:rsidP="00A1385C">
      <w:pPr>
        <w:numPr>
          <w:ilvl w:val="1"/>
          <w:numId w:val="50"/>
        </w:numPr>
        <w:tabs>
          <w:tab w:val="left" w:pos="2160"/>
        </w:tabs>
        <w:spacing w:after="60"/>
        <w:ind w:left="2160"/>
        <w:rPr>
          <w:rFonts w:cs="Tahoma"/>
        </w:rPr>
      </w:pPr>
      <w:r w:rsidRPr="004B208C">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4B208C" w:rsidRDefault="00A81E83" w:rsidP="00A1385C">
      <w:pPr>
        <w:numPr>
          <w:ilvl w:val="2"/>
          <w:numId w:val="50"/>
        </w:numPr>
        <w:tabs>
          <w:tab w:val="left" w:pos="2520"/>
        </w:tabs>
        <w:spacing w:after="60"/>
        <w:ind w:left="2520"/>
        <w:rPr>
          <w:rFonts w:cs="Tahoma"/>
        </w:rPr>
      </w:pPr>
      <w:r w:rsidRPr="004B208C">
        <w:rPr>
          <w:rFonts w:eastAsia="Calibri" w:cs="Tahoma"/>
          <w:szCs w:val="18"/>
        </w:rPr>
        <w:t>Para um número de licenças igual ao menor do (x) número total de licenças do processador atribuídas a um servidor licenciado que antecede imediatamente a</w:t>
      </w:r>
      <w:r w:rsidR="009803C5">
        <w:rPr>
          <w:rFonts w:eastAsia="Calibri" w:cs="Tahoma"/>
          <w:szCs w:val="18"/>
        </w:rPr>
        <w:t> </w:t>
      </w:r>
      <w:r w:rsidRPr="004B208C">
        <w:rPr>
          <w:rFonts w:eastAsia="Calibri" w:cs="Tahoma"/>
          <w:szCs w:val="18"/>
        </w:rPr>
        <w:t xml:space="preserve">expiração do Software Assurance ou (y) o número total de processadores físicos naquele servidor, a equivalência de licença principal é maior do que: </w:t>
      </w:r>
    </w:p>
    <w:p w:rsidR="00A81E83" w:rsidRPr="00F56D02" w:rsidRDefault="00A81E83" w:rsidP="00A1385C">
      <w:pPr>
        <w:numPr>
          <w:ilvl w:val="0"/>
          <w:numId w:val="136"/>
        </w:numPr>
        <w:tabs>
          <w:tab w:val="left" w:pos="2880"/>
        </w:tabs>
        <w:spacing w:after="60"/>
        <w:ind w:left="2880"/>
        <w:rPr>
          <w:rFonts w:cs="Tahoma"/>
        </w:rPr>
      </w:pPr>
      <w:r w:rsidRPr="00F56D02">
        <w:rPr>
          <w:rFonts w:eastAsia="Calibri" w:cs="Tahoma"/>
          <w:szCs w:val="18"/>
        </w:rPr>
        <w:t xml:space="preserve">quatro núcleos por licença de processador OU </w:t>
      </w:r>
    </w:p>
    <w:p w:rsidR="00A81E83" w:rsidRPr="004B208C" w:rsidRDefault="00A81E83" w:rsidP="00A1385C">
      <w:pPr>
        <w:numPr>
          <w:ilvl w:val="0"/>
          <w:numId w:val="136"/>
        </w:numPr>
        <w:tabs>
          <w:tab w:val="left" w:pos="2880"/>
        </w:tabs>
        <w:spacing w:after="60"/>
        <w:ind w:left="2880"/>
        <w:rPr>
          <w:rFonts w:cs="Tahoma"/>
        </w:rPr>
      </w:pPr>
      <w:r w:rsidRPr="004B208C">
        <w:rPr>
          <w:rFonts w:eastAsia="Calibri" w:cs="Tahoma"/>
          <w:szCs w:val="18"/>
        </w:rPr>
        <w:t>um número de núcleos por licença do processador com base no número real de</w:t>
      </w:r>
      <w:r w:rsidR="009803C5">
        <w:rPr>
          <w:rFonts w:eastAsia="Calibri" w:cs="Tahoma"/>
          <w:szCs w:val="18"/>
        </w:rPr>
        <w:t> </w:t>
      </w:r>
      <w:r w:rsidRPr="004B208C">
        <w:rPr>
          <w:rFonts w:eastAsia="Calibri" w:cs="Tahoma"/>
          <w:szCs w:val="18"/>
        </w:rPr>
        <w:t>núcleos por processador físico multiplicado pelo fator de núcleo apropriado. (Nos</w:t>
      </w:r>
      <w:r w:rsidR="009803C5">
        <w:rPr>
          <w:rFonts w:eastAsia="Calibri" w:cs="Tahoma"/>
          <w:szCs w:val="18"/>
        </w:rPr>
        <w:t> </w:t>
      </w:r>
      <w:r w:rsidRPr="004B208C">
        <w:rPr>
          <w:rFonts w:eastAsia="Calibri" w:cs="Tahoma"/>
          <w:szCs w:val="18"/>
        </w:rPr>
        <w:t xml:space="preserve">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8558DC" w:rsidRPr="004B208C" w:rsidRDefault="00A81E83" w:rsidP="00A1385C">
      <w:pPr>
        <w:numPr>
          <w:ilvl w:val="2"/>
          <w:numId w:val="50"/>
        </w:numPr>
        <w:tabs>
          <w:tab w:val="left" w:pos="2520"/>
        </w:tabs>
        <w:spacing w:after="60"/>
        <w:ind w:left="2520"/>
        <w:rPr>
          <w:rFonts w:cs="Tahoma"/>
        </w:rPr>
      </w:pPr>
      <w:r w:rsidRPr="004B208C">
        <w:rPr>
          <w:rFonts w:eastAsia="Calibri" w:cs="Tahoma"/>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4B208C" w:rsidRDefault="00A81E83" w:rsidP="00A1385C">
      <w:pPr>
        <w:numPr>
          <w:ilvl w:val="1"/>
          <w:numId w:val="50"/>
        </w:numPr>
        <w:tabs>
          <w:tab w:val="left" w:pos="2160"/>
        </w:tabs>
        <w:spacing w:after="60"/>
        <w:ind w:left="2160"/>
        <w:rPr>
          <w:rFonts w:cs="Tahoma"/>
        </w:rPr>
      </w:pPr>
      <w:r w:rsidRPr="004B208C">
        <w:rPr>
          <w:rFonts w:eastAsia="Calibri" w:cs="Tahoma"/>
          <w:szCs w:val="18"/>
        </w:rPr>
        <w:t xml:space="preserve">Os Clientes poderão transferir as Licenças para outro servidor. No entanto, se o cliente transferir uma licença para outro servidor, o cliente terá que seguir os direitos de uso do SQL Server 2012. Ao transferir licenças principais para servidores sob os direitos de uso </w:t>
      </w:r>
      <w:r w:rsidRPr="004B208C">
        <w:rPr>
          <w:rFonts w:eastAsia="Calibri" w:cs="Tahoma"/>
          <w:szCs w:val="18"/>
        </w:rPr>
        <w:lastRenderedPageBreak/>
        <w:t>do SQL 2012, o cliente poderá combinar a equivalência de núcleo de suas licenças existentes com as licenças principais do SQL Server 2012 adicionais.</w:t>
      </w:r>
    </w:p>
    <w:p w:rsidR="00A81E83" w:rsidRPr="004B208C" w:rsidRDefault="00A81E83" w:rsidP="00A1385C">
      <w:pPr>
        <w:numPr>
          <w:ilvl w:val="1"/>
          <w:numId w:val="50"/>
        </w:numPr>
        <w:tabs>
          <w:tab w:val="left" w:pos="2160"/>
        </w:tabs>
        <w:spacing w:after="60"/>
        <w:ind w:left="2160"/>
        <w:rPr>
          <w:rFonts w:cs="Tahoma"/>
        </w:rPr>
      </w:pPr>
      <w:r w:rsidRPr="004B208C">
        <w:rPr>
          <w:rFonts w:eastAsia="Calibri" w:cs="Tahoma"/>
          <w:szCs w:val="18"/>
        </w:rPr>
        <w:t>A equivalência de licença principal dos clientes não implica que eles podem atribuir uma única licença de processador a núcleos por dois ou mais processadores.</w:t>
      </w:r>
    </w:p>
    <w:p w:rsidR="00B06AAC" w:rsidRPr="004B208C" w:rsidRDefault="00B06AAC" w:rsidP="00B06AAC">
      <w:pPr>
        <w:tabs>
          <w:tab w:val="left" w:pos="2160"/>
        </w:tabs>
        <w:spacing w:after="60"/>
        <w:rPr>
          <w:rFonts w:cs="Tahoma"/>
        </w:rPr>
      </w:pPr>
    </w:p>
    <w:p w:rsidR="00B06AAC" w:rsidRPr="004B208C" w:rsidRDefault="00A81E83" w:rsidP="00B06AAC">
      <w:pPr>
        <w:tabs>
          <w:tab w:val="left" w:pos="720"/>
        </w:tabs>
        <w:spacing w:after="60"/>
        <w:ind w:left="720"/>
        <w:rPr>
          <w:rFonts w:cs="Tahoma"/>
        </w:rPr>
      </w:pPr>
      <w:r w:rsidRPr="004B208C">
        <w:rPr>
          <w:rFonts w:eastAsia="Calibri" w:cs="Tahoma"/>
          <w:b/>
          <w:szCs w:val="18"/>
        </w:rPr>
        <w:t>Para os clientes com cobertura de Software Assurance que expiram em ou depois de 1º de abril de 2015 que optaram pela não renovação</w:t>
      </w:r>
    </w:p>
    <w:p w:rsidR="00A81E83" w:rsidRPr="004B208C" w:rsidRDefault="00A81E83" w:rsidP="00B06AAC">
      <w:pPr>
        <w:tabs>
          <w:tab w:val="left" w:pos="720"/>
        </w:tabs>
        <w:ind w:left="720"/>
        <w:contextualSpacing/>
        <w:rPr>
          <w:rFonts w:cs="Tahoma"/>
        </w:rPr>
      </w:pPr>
      <w:r w:rsidRPr="004B208C">
        <w:rPr>
          <w:rFonts w:eastAsia="Calibri" w:cs="Tahoma"/>
          <w:color w:val="000000"/>
          <w:szCs w:val="18"/>
        </w:rPr>
        <w:t xml:space="preserve">Os clientes do Enterprise Subscription </w:t>
      </w:r>
      <w:r w:rsidRPr="004B208C">
        <w:rPr>
          <w:rFonts w:cs="Tahoma"/>
          <w:bCs/>
          <w:color w:val="000000"/>
          <w:szCs w:val="18"/>
        </w:rPr>
        <w:t xml:space="preserve">e Open Value Subscription </w:t>
      </w:r>
      <w:r w:rsidRPr="004B208C">
        <w:rPr>
          <w:rFonts w:eastAsia="Calibri" w:cs="Tahoma"/>
          <w:color w:val="000000"/>
          <w:szCs w:val="18"/>
        </w:rPr>
        <w:t>com cobertura expirando em ou depois de</w:t>
      </w:r>
      <w:r w:rsidR="004C2861">
        <w:rPr>
          <w:rFonts w:eastAsia="Calibri" w:cs="Tahoma"/>
          <w:color w:val="000000"/>
          <w:szCs w:val="18"/>
        </w:rPr>
        <w:t> </w:t>
      </w:r>
      <w:r w:rsidRPr="004B208C">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rsidR="00B06AAC" w:rsidRPr="004B208C" w:rsidRDefault="00B06AAC" w:rsidP="00B06AAC">
      <w:pPr>
        <w:tabs>
          <w:tab w:val="left" w:pos="720"/>
        </w:tabs>
        <w:ind w:left="720"/>
        <w:contextualSpacing/>
        <w:rPr>
          <w:rFonts w:cs="Tahoma"/>
        </w:rPr>
      </w:pPr>
    </w:p>
    <w:p w:rsidR="00A81E83" w:rsidRPr="004C2861" w:rsidRDefault="00A81E83" w:rsidP="00A1385C">
      <w:pPr>
        <w:numPr>
          <w:ilvl w:val="0"/>
          <w:numId w:val="134"/>
        </w:numPr>
        <w:spacing w:after="60"/>
        <w:ind w:left="1440"/>
        <w:rPr>
          <w:rFonts w:cs="Tahoma"/>
        </w:rPr>
      </w:pPr>
      <w:r w:rsidRPr="004C2861">
        <w:rPr>
          <w:rFonts w:eastAsia="Calibri" w:cs="Tahoma"/>
          <w:szCs w:val="18"/>
        </w:rPr>
        <w:t>Conforme fornecido no primeiro parágrafo desta nota de produto, as licenças adquiridas antes de</w:t>
      </w:r>
      <w:r w:rsidR="009803C5">
        <w:rPr>
          <w:rFonts w:eastAsia="Calibri" w:cs="Tahoma"/>
          <w:szCs w:val="18"/>
        </w:rPr>
        <w:t> </w:t>
      </w:r>
      <w:r w:rsidRPr="004C2861">
        <w:rPr>
          <w:rFonts w:eastAsia="Calibri" w:cs="Tahoma"/>
          <w:szCs w:val="18"/>
        </w:rPr>
        <w:t>1</w:t>
      </w:r>
      <w:r w:rsidRPr="004C2861">
        <w:rPr>
          <w:rFonts w:eastAsia="Calibri" w:cs="Tahoma"/>
          <w:szCs w:val="18"/>
          <w:vertAlign w:val="superscript"/>
        </w:rPr>
        <w:t>º</w:t>
      </w:r>
      <w:r w:rsidRPr="004C2861">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4B208C" w:rsidRDefault="00A81E83" w:rsidP="00A1385C">
      <w:pPr>
        <w:numPr>
          <w:ilvl w:val="0"/>
          <w:numId w:val="134"/>
        </w:numPr>
        <w:spacing w:after="60"/>
        <w:ind w:left="1440"/>
        <w:rPr>
          <w:rFonts w:cs="Tahoma"/>
        </w:rPr>
      </w:pPr>
      <w:r w:rsidRPr="004B208C">
        <w:rPr>
          <w:rFonts w:eastAsia="Calibri" w:cs="Tahoma"/>
          <w:szCs w:val="18"/>
        </w:rPr>
        <w:t>Para as licenças adquiridas depois de 1</w:t>
      </w:r>
      <w:r w:rsidRPr="004B208C">
        <w:rPr>
          <w:rFonts w:eastAsia="Calibri" w:cs="Tahoma"/>
          <w:szCs w:val="18"/>
          <w:vertAlign w:val="superscript"/>
        </w:rPr>
        <w:t>º</w:t>
      </w:r>
      <w:r w:rsidRPr="004B208C">
        <w:rPr>
          <w:rFonts w:eastAsia="Calibri" w:cs="Tahoma"/>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2512D3" w:rsidRPr="004B208C" w:rsidRDefault="002512D3">
      <w:pPr>
        <w:rPr>
          <w:rFonts w:cs="Tahoma"/>
        </w:rPr>
      </w:pPr>
    </w:p>
    <w:p w:rsidR="00B06AAC" w:rsidRPr="004B208C" w:rsidRDefault="00A81E83" w:rsidP="00B06AAC">
      <w:pPr>
        <w:tabs>
          <w:tab w:val="left" w:pos="720"/>
        </w:tabs>
        <w:spacing w:after="60"/>
        <w:ind w:left="720"/>
        <w:rPr>
          <w:rFonts w:cs="Tahoma"/>
        </w:rPr>
      </w:pPr>
      <w:r w:rsidRPr="004B208C">
        <w:rPr>
          <w:rFonts w:cs="Tahoma"/>
          <w:b/>
        </w:rPr>
        <w:t>Para os clientes localizados na República Popular da</w:t>
      </w:r>
      <w:r w:rsidRPr="004B208C">
        <w:rPr>
          <w:rFonts w:cs="Tahoma"/>
        </w:rPr>
        <w:t xml:space="preserve"> </w:t>
      </w:r>
      <w:r w:rsidRPr="004B208C">
        <w:rPr>
          <w:rFonts w:cs="Tahoma"/>
          <w:b/>
        </w:rPr>
        <w:t>China e para os que estão adquirindo licenças de processador e Software Assurance para SQL Server 2008 R2</w:t>
      </w:r>
    </w:p>
    <w:p w:rsidR="00A81E83" w:rsidRPr="004B208C" w:rsidRDefault="00A81E83" w:rsidP="00B06AAC">
      <w:pPr>
        <w:tabs>
          <w:tab w:val="left" w:pos="720"/>
        </w:tabs>
        <w:ind w:left="720"/>
        <w:contextualSpacing/>
        <w:rPr>
          <w:rFonts w:cs="Tahoma"/>
        </w:rPr>
      </w:pPr>
      <w:r w:rsidRPr="004B208C">
        <w:rPr>
          <w:rFonts w:cs="Tahoma"/>
        </w:rPr>
        <w:t>As referências a 1</w:t>
      </w:r>
      <w:r w:rsidRPr="004B208C">
        <w:rPr>
          <w:rFonts w:cs="Tahoma"/>
          <w:vertAlign w:val="superscript"/>
        </w:rPr>
        <w:t>º</w:t>
      </w:r>
      <w:r w:rsidRPr="004B208C">
        <w:rPr>
          <w:rFonts w:cs="Tahoma"/>
        </w:rPr>
        <w:t xml:space="preserve"> de abril de 2012 e 1</w:t>
      </w:r>
      <w:r w:rsidRPr="004B208C">
        <w:rPr>
          <w:rFonts w:cs="Tahoma"/>
          <w:vertAlign w:val="superscript"/>
        </w:rPr>
        <w:t>º</w:t>
      </w:r>
      <w:r w:rsidRPr="004B208C">
        <w:rPr>
          <w:rFonts w:cs="Tahoma"/>
        </w:rPr>
        <w:t xml:space="preserve"> de abril de 2015 nesta nota da lista de produtos não são aplicáveis. As datas aplicáveis para esses clientes são 1</w:t>
      </w:r>
      <w:r w:rsidRPr="004B208C">
        <w:rPr>
          <w:rFonts w:cs="Tahoma"/>
          <w:vertAlign w:val="superscript"/>
        </w:rPr>
        <w:t>º</w:t>
      </w:r>
      <w:r w:rsidRPr="004B208C">
        <w:rPr>
          <w:rFonts w:cs="Tahoma"/>
        </w:rPr>
        <w:t xml:space="preserve"> de julho de 2012 e 1</w:t>
      </w:r>
      <w:r w:rsidRPr="004B208C">
        <w:rPr>
          <w:rFonts w:cs="Tahoma"/>
          <w:vertAlign w:val="superscript"/>
        </w:rPr>
        <w:t>º</w:t>
      </w:r>
      <w:r w:rsidRPr="004B208C">
        <w:rPr>
          <w:rFonts w:cs="Tahoma"/>
        </w:rPr>
        <w:t xml:space="preserve"> de julho de 2015, respectivamente.</w:t>
      </w:r>
    </w:p>
    <w:p w:rsidR="004C2861" w:rsidRDefault="004C2861" w:rsidP="008558DC">
      <w:pPr>
        <w:rPr>
          <w:rFonts w:cs="Tahoma"/>
        </w:rPr>
      </w:pPr>
    </w:p>
    <w:p w:rsidR="004C2861" w:rsidRPr="004B208C" w:rsidRDefault="004C2861" w:rsidP="008558DC">
      <w:pPr>
        <w:rPr>
          <w:rFonts w:cs="Tahoma"/>
        </w:rPr>
      </w:pPr>
    </w:p>
    <w:p w:rsidR="00A81E83" w:rsidRPr="004B208C" w:rsidRDefault="00A560B6" w:rsidP="00BD4B91">
      <w:pPr>
        <w:pStyle w:val="Heading3"/>
        <w:rPr>
          <w:rFonts w:ascii="Tahoma" w:hAnsi="Tahoma" w:cs="Tahoma"/>
        </w:rPr>
      </w:pPr>
      <w:bookmarkStart w:id="1411" w:name="_85_84_SQL"/>
      <w:bookmarkStart w:id="1412" w:name="_78_76_SQL"/>
      <w:bookmarkStart w:id="1413" w:name="_83_SQL_Server®"/>
      <w:bookmarkStart w:id="1414" w:name="Srv_85SQL2008R2Workgroup5ClientAddon"/>
      <w:bookmarkStart w:id="1415" w:name="_Toc336338343"/>
      <w:bookmarkStart w:id="1416" w:name="_Toc370981456"/>
      <w:bookmarkEnd w:id="1411"/>
      <w:bookmarkEnd w:id="1412"/>
      <w:bookmarkEnd w:id="1413"/>
      <w:r w:rsidRPr="004B208C">
        <w:rPr>
          <w:rFonts w:ascii="Tahoma" w:hAnsi="Tahoma" w:cs="Tahoma"/>
          <w:color w:val="F66400"/>
          <w:sz w:val="22"/>
          <w:vertAlign w:val="superscript"/>
        </w:rPr>
        <w:t>82</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2008 R2 Workgroup (Complementar para 5 Clientes)</w:t>
      </w:r>
      <w:bookmarkEnd w:id="1414"/>
      <w:bookmarkEnd w:id="1415"/>
      <w:bookmarkEnd w:id="1416"/>
    </w:p>
    <w:p w:rsidR="00A81E83" w:rsidRPr="004C2861" w:rsidRDefault="00A81E83" w:rsidP="00DA46D5">
      <w:pPr>
        <w:pStyle w:val="EndnoteText"/>
        <w:ind w:left="0"/>
        <w:rPr>
          <w:rFonts w:ascii="Tahoma" w:hAnsi="Tahoma" w:cs="Tahoma"/>
          <w:sz w:val="18"/>
          <w:szCs w:val="18"/>
        </w:rPr>
      </w:pPr>
    </w:p>
    <w:p w:rsidR="00DA46D5" w:rsidRPr="004B208C" w:rsidRDefault="00A81E83" w:rsidP="00DA46D5">
      <w:pPr>
        <w:spacing w:after="60"/>
        <w:ind w:left="720"/>
        <w:rPr>
          <w:rFonts w:cs="Tahoma"/>
        </w:rPr>
      </w:pPr>
      <w:r w:rsidRPr="004B208C">
        <w:rPr>
          <w:rFonts w:cs="Tahoma"/>
          <w:b/>
        </w:rPr>
        <w:t>Outorgas de Licença Associadas ao término da validade da edição do SQL Server Workgroup</w:t>
      </w:r>
    </w:p>
    <w:p w:rsidR="00A81E83" w:rsidRPr="004B208C" w:rsidRDefault="00A81E83" w:rsidP="00DA46D5">
      <w:pPr>
        <w:ind w:left="720"/>
        <w:rPr>
          <w:rFonts w:cs="Tahoma"/>
        </w:rPr>
      </w:pPr>
      <w:r w:rsidRPr="004B208C">
        <w:rPr>
          <w:rFonts w:eastAsia="Calibri" w:cs="Tahoma"/>
          <w:szCs w:val="18"/>
        </w:rPr>
        <w:t>O SQL Server 2008 R2 Workgroup será a última versão da edição do SQL Server Workgroup.</w:t>
      </w:r>
      <w:r w:rsidR="00172F11">
        <w:rPr>
          <w:rFonts w:eastAsia="Calibri" w:cs="Tahoma"/>
          <w:szCs w:val="18"/>
        </w:rPr>
        <w:t xml:space="preserve"> </w:t>
      </w:r>
      <w:r w:rsidRPr="004B208C">
        <w:rPr>
          <w:rFonts w:eastAsia="Calibri" w:cs="Tahoma"/>
          <w:szCs w:val="18"/>
        </w:rPr>
        <w:t>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w:t>
      </w:r>
      <w:r w:rsidR="00172F11">
        <w:rPr>
          <w:rFonts w:eastAsia="Calibri" w:cs="Tahoma"/>
          <w:szCs w:val="18"/>
        </w:rPr>
        <w:t xml:space="preserve"> </w:t>
      </w:r>
      <w:r w:rsidRPr="004B208C">
        <w:rPr>
          <w:rFonts w:eastAsia="Calibri" w:cs="Tahoma"/>
          <w:szCs w:val="18"/>
        </w:rPr>
        <w:t>As licenças do SQL Server Workgroup dos clientes não são mais válidas quando eles adquirem o Software Assurance do SQL Server Standard sob esta oferta.</w:t>
      </w:r>
    </w:p>
    <w:p w:rsidR="000D5F24" w:rsidRPr="004B208C" w:rsidRDefault="000D5F24">
      <w:pPr>
        <w:rPr>
          <w:rFonts w:cs="Tahoma"/>
        </w:rPr>
      </w:pPr>
    </w:p>
    <w:p w:rsidR="00DA46D5" w:rsidRPr="004B208C" w:rsidRDefault="00A81E83" w:rsidP="00DA46D5">
      <w:pPr>
        <w:spacing w:after="60"/>
        <w:ind w:left="720"/>
        <w:rPr>
          <w:rFonts w:cs="Tahoma"/>
        </w:rPr>
      </w:pPr>
      <w:r w:rsidRPr="004B208C">
        <w:rPr>
          <w:rFonts w:cs="Tahoma"/>
          <w:b/>
        </w:rPr>
        <w:t>Para os clientes localizados na República Popular da</w:t>
      </w:r>
      <w:r w:rsidRPr="004B208C">
        <w:rPr>
          <w:rFonts w:cs="Tahoma"/>
        </w:rPr>
        <w:t xml:space="preserve"> </w:t>
      </w:r>
      <w:r w:rsidRPr="004B208C">
        <w:rPr>
          <w:rFonts w:cs="Tahoma"/>
          <w:b/>
        </w:rPr>
        <w:t>China e para os que estão adquirindo licenças e Software Assurance para SQL Server 2008 R2</w:t>
      </w:r>
    </w:p>
    <w:p w:rsidR="00A81E83" w:rsidRPr="004B208C" w:rsidRDefault="00A81E83" w:rsidP="00DA46D5">
      <w:pPr>
        <w:ind w:left="720"/>
        <w:rPr>
          <w:rFonts w:cs="Tahoma"/>
        </w:rPr>
      </w:pPr>
      <w:r w:rsidRPr="004B208C">
        <w:rPr>
          <w:rFonts w:cs="Tahoma"/>
        </w:rPr>
        <w:t>As referências a 1</w:t>
      </w:r>
      <w:r w:rsidRPr="004B208C">
        <w:rPr>
          <w:rFonts w:cs="Tahoma"/>
          <w:vertAlign w:val="superscript"/>
        </w:rPr>
        <w:t>º</w:t>
      </w:r>
      <w:r w:rsidRPr="004B208C">
        <w:rPr>
          <w:rFonts w:cs="Tahoma"/>
        </w:rPr>
        <w:t xml:space="preserve"> de abril de 2012 nesta nota da lista de produtos não são aplicáveis. A data aplicável para</w:t>
      </w:r>
      <w:r w:rsidR="009803C5">
        <w:rPr>
          <w:rFonts w:cs="Tahoma"/>
        </w:rPr>
        <w:t> </w:t>
      </w:r>
      <w:r w:rsidRPr="004B208C">
        <w:rPr>
          <w:rFonts w:cs="Tahoma"/>
        </w:rPr>
        <w:t>esses clientes é 1</w:t>
      </w:r>
      <w:r w:rsidRPr="004B208C">
        <w:rPr>
          <w:rFonts w:cs="Tahoma"/>
          <w:vertAlign w:val="superscript"/>
        </w:rPr>
        <w:t>º</w:t>
      </w:r>
      <w:r w:rsidRPr="004B208C">
        <w:rPr>
          <w:rFonts w:cs="Tahoma"/>
        </w:rPr>
        <w:t xml:space="preserve"> de julho de 2012.</w:t>
      </w:r>
    </w:p>
    <w:p w:rsidR="00DA46D5" w:rsidRPr="004B208C" w:rsidRDefault="00DA46D5" w:rsidP="00DA46D5">
      <w:pPr>
        <w:ind w:left="720"/>
        <w:rPr>
          <w:rFonts w:cs="Tahoma"/>
        </w:rPr>
      </w:pPr>
    </w:p>
    <w:p w:rsidR="00DA46D5" w:rsidRPr="004B208C" w:rsidRDefault="00DA46D5" w:rsidP="00DA46D5">
      <w:pPr>
        <w:ind w:left="720"/>
        <w:rPr>
          <w:rFonts w:cs="Tahoma"/>
        </w:rPr>
      </w:pPr>
    </w:p>
    <w:p w:rsidR="00586FCE" w:rsidRPr="004B208C" w:rsidRDefault="00D629A3" w:rsidP="00DA46D5">
      <w:pPr>
        <w:ind w:left="720"/>
        <w:rPr>
          <w:rFonts w:cs="Tahoma"/>
        </w:rPr>
      </w:pPr>
      <w:r w:rsidRPr="004B208C">
        <w:rPr>
          <w:rFonts w:eastAsia="Calibri" w:cs="Tahoma"/>
          <w:color w:val="000000"/>
          <w:sz w:val="2"/>
          <w:szCs w:val="18"/>
        </w:rPr>
        <w:t>3</w:t>
      </w:r>
    </w:p>
    <w:p w:rsidR="00A81E83" w:rsidRPr="004B208C" w:rsidRDefault="00A560B6" w:rsidP="001760D6">
      <w:pPr>
        <w:pStyle w:val="Heading3"/>
        <w:keepNext/>
        <w:ind w:left="720" w:hanging="720"/>
        <w:rPr>
          <w:rFonts w:ascii="Tahoma" w:hAnsi="Tahoma" w:cs="Tahoma"/>
        </w:rPr>
      </w:pPr>
      <w:bookmarkStart w:id="1417" w:name="_79_77_SQL"/>
      <w:bookmarkStart w:id="1418" w:name="_81_SQL_Server®"/>
      <w:bookmarkStart w:id="1419" w:name="_84_SQL_Server®"/>
      <w:bookmarkStart w:id="1420" w:name="_Toc336338344"/>
      <w:bookmarkStart w:id="1421" w:name="Srv_72SQLSvr08R2WorkgroupProc"/>
      <w:bookmarkStart w:id="1422" w:name="_Toc370981457"/>
      <w:bookmarkEnd w:id="1417"/>
      <w:bookmarkEnd w:id="1418"/>
      <w:bookmarkEnd w:id="1419"/>
      <w:r w:rsidRPr="004B208C">
        <w:rPr>
          <w:rFonts w:ascii="Tahoma" w:hAnsi="Tahoma" w:cs="Tahoma"/>
          <w:color w:val="F66400"/>
          <w:sz w:val="22"/>
          <w:vertAlign w:val="superscript"/>
        </w:rPr>
        <w:t>83</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2008 R2 Workgroup Processor</w:t>
      </w:r>
      <w:bookmarkEnd w:id="1420"/>
      <w:bookmarkEnd w:id="1422"/>
    </w:p>
    <w:bookmarkEnd w:id="1421"/>
    <w:p w:rsidR="00A81E83" w:rsidRPr="004B208C" w:rsidRDefault="00A81E83" w:rsidP="000C03F3">
      <w:pPr>
        <w:ind w:left="720"/>
        <w:rPr>
          <w:rFonts w:cs="Tahoma"/>
        </w:rPr>
      </w:pPr>
    </w:p>
    <w:p w:rsidR="000C03F3" w:rsidRPr="004B208C" w:rsidRDefault="00A81E83" w:rsidP="000C03F3">
      <w:pPr>
        <w:spacing w:after="60"/>
        <w:ind w:left="720"/>
        <w:rPr>
          <w:rFonts w:cs="Tahoma"/>
        </w:rPr>
      </w:pPr>
      <w:r w:rsidRPr="004B208C">
        <w:rPr>
          <w:rFonts w:eastAsia="Calibri" w:cs="Tahoma"/>
          <w:b/>
          <w:color w:val="000000"/>
          <w:szCs w:val="18"/>
        </w:rPr>
        <w:t>Outorgas de Licença Associadas à Alteração no Modelo de Licenciamento</w:t>
      </w:r>
    </w:p>
    <w:p w:rsidR="00A81E83" w:rsidRPr="004B208C" w:rsidRDefault="00A81E83" w:rsidP="000C03F3">
      <w:pPr>
        <w:ind w:left="720"/>
        <w:rPr>
          <w:rFonts w:cs="Tahoma"/>
        </w:rPr>
      </w:pPr>
      <w:r w:rsidRPr="004B208C">
        <w:rPr>
          <w:rFonts w:eastAsia="Calibri" w:cs="Tahoma"/>
          <w:color w:val="000000"/>
          <w:szCs w:val="18"/>
        </w:rPr>
        <w:t>O SQL Server 2008 R2 será a última versão do SQL Server licenciada sob o modelo de licenciamento por processador e a última versão da edição do SQL Server Workgroup.</w:t>
      </w:r>
      <w:r w:rsidR="00172F11">
        <w:rPr>
          <w:rFonts w:eastAsia="Calibri" w:cs="Tahoma"/>
          <w:color w:val="000000"/>
          <w:szCs w:val="18"/>
        </w:rPr>
        <w:t xml:space="preserve"> </w:t>
      </w:r>
      <w:r w:rsidRPr="004B208C">
        <w:rPr>
          <w:rFonts w:eastAsia="Calibri" w:cs="Tahoma"/>
          <w:color w:val="000000"/>
          <w:szCs w:val="18"/>
        </w:rPr>
        <w:t xml:space="preserve">Como uma exceção, aos clientes de Licenciamento por Volume com Software Assurance ativo para licenças do processador do SQL Server 2008 R2 Workgroup em 1º de abril de 2012 (“licenças qualificadas”) são concedidas as seguintes opções. As licenças do processador do SQL Server 2008 R2 Workgroup </w:t>
      </w:r>
      <w:r w:rsidRPr="004B208C">
        <w:rPr>
          <w:rFonts w:cs="Tahoma"/>
          <w:bCs/>
          <w:color w:val="000000"/>
          <w:szCs w:val="18"/>
        </w:rPr>
        <w:t>adquiridas posteriormente no mesmo prazo de</w:t>
      </w:r>
      <w:r w:rsidR="004C2861">
        <w:rPr>
          <w:rFonts w:cs="Tahoma"/>
          <w:bCs/>
          <w:color w:val="000000"/>
          <w:szCs w:val="18"/>
        </w:rPr>
        <w:t> </w:t>
      </w:r>
      <w:r w:rsidRPr="004B208C">
        <w:rPr>
          <w:rFonts w:cs="Tahoma"/>
          <w:bCs/>
          <w:color w:val="000000"/>
          <w:szCs w:val="18"/>
        </w:rPr>
        <w:t xml:space="preserve">registro, mas antes de 1º de abril de 2015 como parte de um processo de adequação (“true-up”) </w:t>
      </w:r>
      <w:r w:rsidRPr="004B208C">
        <w:rPr>
          <w:rFonts w:cs="Tahoma"/>
          <w:bCs/>
          <w:color w:val="000000"/>
          <w:szCs w:val="18"/>
        </w:rPr>
        <w:lastRenderedPageBreak/>
        <w:t>programado do cliente Enterprise, Enterprise Subscription, Open Value Subscription ou Enrollment for Education Solutions também são “licenças qualificadas” para fins dessas opções.</w:t>
      </w:r>
      <w:r w:rsidR="00172F11">
        <w:rPr>
          <w:rFonts w:cs="Tahoma"/>
          <w:bCs/>
          <w:color w:val="000000"/>
          <w:szCs w:val="18"/>
        </w:rPr>
        <w:t xml:space="preserve"> </w:t>
      </w:r>
      <w:r w:rsidRPr="004B208C">
        <w:rPr>
          <w:rFonts w:cs="Tahoma"/>
          <w:bCs/>
          <w:color w:val="000000"/>
          <w:szCs w:val="18"/>
        </w:rPr>
        <w:t>As licenças adquiridas depois de 1º de abril de 2015 ou sob um prazo de registro subsequente, um contrato separado ou qualquer registro com uma data de início de vigência após 1º de abril de 2012 não são licenças qualificadas.</w:t>
      </w:r>
    </w:p>
    <w:p w:rsidR="000C03F3" w:rsidRPr="004B208C" w:rsidRDefault="000C03F3" w:rsidP="000C03F3">
      <w:pPr>
        <w:ind w:left="720"/>
        <w:rPr>
          <w:rFonts w:cs="Tahoma"/>
        </w:rPr>
      </w:pPr>
    </w:p>
    <w:p w:rsidR="000C03F3" w:rsidRPr="004B208C" w:rsidRDefault="000C03F3" w:rsidP="000C03F3">
      <w:pPr>
        <w:spacing w:after="60"/>
        <w:ind w:left="720"/>
        <w:rPr>
          <w:rFonts w:cs="Tahoma"/>
        </w:rPr>
      </w:pPr>
      <w:r w:rsidRPr="004B208C">
        <w:rPr>
          <w:rFonts w:eastAsia="Calibri" w:cs="Tahoma"/>
          <w:b/>
          <w:color w:val="000000"/>
          <w:szCs w:val="18"/>
        </w:rPr>
        <w:t>Prazo Atual</w:t>
      </w:r>
    </w:p>
    <w:p w:rsidR="00A81E83" w:rsidRPr="004B208C" w:rsidRDefault="00A81E83" w:rsidP="000C03F3">
      <w:pPr>
        <w:tabs>
          <w:tab w:val="left" w:pos="720"/>
        </w:tabs>
        <w:ind w:left="720"/>
        <w:rPr>
          <w:rFonts w:cs="Tahoma"/>
        </w:rPr>
      </w:pPr>
      <w:r w:rsidRPr="004B208C">
        <w:rPr>
          <w:rFonts w:eastAsia="Calibri" w:cs="Tahoma"/>
          <w:szCs w:val="18"/>
        </w:rPr>
        <w:t>Durante o prazo atual da sua cobertura de Software Assurance a partir de 1º de abril de 2012, os clientes (incluindo aqueles sob contratos de assinatura) podem, sob qualquer licença qualificada, atualizar e usar o</w:t>
      </w:r>
      <w:r w:rsidR="004C2861">
        <w:rPr>
          <w:rFonts w:eastAsia="Calibri" w:cs="Tahoma"/>
          <w:szCs w:val="18"/>
        </w:rPr>
        <w:t> </w:t>
      </w:r>
      <w:r w:rsidRPr="004B208C">
        <w:rPr>
          <w:rFonts w:eastAsia="Calibri" w:cs="Tahoma"/>
          <w:szCs w:val="18"/>
        </w:rPr>
        <w:t>SQL Server 2012 Standard Core em vez do SQL Server 2008 R2 Workgroup sujeito aos direitos de uso do</w:t>
      </w:r>
      <w:r w:rsidR="004C2861">
        <w:rPr>
          <w:rFonts w:eastAsia="Calibri" w:cs="Tahoma"/>
          <w:szCs w:val="18"/>
        </w:rPr>
        <w:t> </w:t>
      </w:r>
      <w:r w:rsidRPr="004B208C">
        <w:rPr>
          <w:rFonts w:eastAsia="Calibri" w:cs="Tahoma"/>
          <w:szCs w:val="18"/>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Os clientes devem consultar os Direitos de Uso do Produto para SQL Server 2012 Standard Core quanto aos termos de licença para Mobilidade de Licença.</w:t>
      </w:r>
    </w:p>
    <w:p w:rsidR="000C03F3" w:rsidRPr="004B208C" w:rsidRDefault="000C03F3" w:rsidP="000C03F3">
      <w:pPr>
        <w:tabs>
          <w:tab w:val="left" w:pos="720"/>
        </w:tabs>
        <w:ind w:left="720"/>
        <w:rPr>
          <w:rFonts w:cs="Tahoma"/>
        </w:rPr>
      </w:pPr>
    </w:p>
    <w:p w:rsidR="000C03F3" w:rsidRPr="004B208C" w:rsidRDefault="00A81E83" w:rsidP="000C03F3">
      <w:pPr>
        <w:spacing w:after="60"/>
        <w:ind w:left="720"/>
        <w:rPr>
          <w:rFonts w:cs="Tahoma"/>
        </w:rPr>
      </w:pPr>
      <w:r w:rsidRPr="004B208C">
        <w:rPr>
          <w:rFonts w:eastAsia="Calibri" w:cs="Tahoma"/>
          <w:b/>
          <w:color w:val="000000"/>
          <w:szCs w:val="18"/>
        </w:rPr>
        <w:t>Primeiro Prazo de Renovação (antes de 1º de abril de 2015)</w:t>
      </w:r>
    </w:p>
    <w:p w:rsidR="00A81E83" w:rsidRPr="004B208C" w:rsidRDefault="00A81E83" w:rsidP="000C03F3">
      <w:pPr>
        <w:tabs>
          <w:tab w:val="left" w:pos="720"/>
        </w:tabs>
        <w:ind w:left="720"/>
        <w:rPr>
          <w:rFonts w:cs="Tahoma"/>
        </w:rPr>
      </w:pPr>
      <w:r w:rsidRPr="004B208C">
        <w:rPr>
          <w:rFonts w:eastAsia="Calibri" w:cs="Tahoma"/>
          <w:szCs w:val="18"/>
        </w:rPr>
        <w:t>Na sua primeira renovação de Software Assurance em ou depois de 1º de abril de 2012 (mas antes de 1º</w:t>
      </w:r>
      <w:r w:rsidR="004C2861">
        <w:rPr>
          <w:rFonts w:eastAsia="Calibri" w:cs="Tahoma"/>
          <w:szCs w:val="18"/>
        </w:rPr>
        <w:t> </w:t>
      </w:r>
      <w:r w:rsidRPr="004B208C">
        <w:rPr>
          <w:rFonts w:eastAsia="Calibri" w:cs="Tahoma"/>
          <w:szCs w:val="18"/>
        </w:rPr>
        <w:t>de abril de 2015), para cada servidor que um cliente tiver licenciado corretamente sob os direitos de uso do 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A81E83" w:rsidRPr="004B208C" w:rsidRDefault="00A81E83" w:rsidP="00A1385C">
      <w:pPr>
        <w:numPr>
          <w:ilvl w:val="0"/>
          <w:numId w:val="112"/>
        </w:numPr>
        <w:tabs>
          <w:tab w:val="left" w:pos="1440"/>
        </w:tabs>
        <w:ind w:left="1440"/>
        <w:rPr>
          <w:rFonts w:cs="Tahoma"/>
        </w:rPr>
      </w:pPr>
      <w:r w:rsidRPr="004B208C">
        <w:rPr>
          <w:rFonts w:eastAsia="Calibri" w:cs="Tahoma"/>
          <w:szCs w:val="18"/>
        </w:rPr>
        <w:t xml:space="preserve">um número igual ao menor número de licenças qualificadas atribuído ao servidor ou o número total de processadores físicos no servidor multiplicado pelo maior de: </w:t>
      </w:r>
    </w:p>
    <w:p w:rsidR="00A81E83" w:rsidRPr="004C2861" w:rsidRDefault="00A81E83" w:rsidP="00A1385C">
      <w:pPr>
        <w:numPr>
          <w:ilvl w:val="0"/>
          <w:numId w:val="86"/>
        </w:numPr>
        <w:tabs>
          <w:tab w:val="left" w:pos="1800"/>
        </w:tabs>
        <w:ind w:left="1800"/>
        <w:rPr>
          <w:rFonts w:cs="Tahoma"/>
        </w:rPr>
      </w:pPr>
      <w:r w:rsidRPr="004B208C">
        <w:rPr>
          <w:rFonts w:eastAsia="Calibri" w:cs="Tahoma"/>
          <w:szCs w:val="18"/>
        </w:rPr>
        <w:t>Quatro OU</w:t>
      </w:r>
    </w:p>
    <w:p w:rsidR="00A81E83" w:rsidRPr="004B208C" w:rsidRDefault="00A81E83" w:rsidP="00A1385C">
      <w:pPr>
        <w:numPr>
          <w:ilvl w:val="0"/>
          <w:numId w:val="86"/>
        </w:numPr>
        <w:tabs>
          <w:tab w:val="left" w:pos="1800"/>
        </w:tabs>
        <w:ind w:left="1800"/>
        <w:rPr>
          <w:rFonts w:cs="Tahoma"/>
        </w:rPr>
      </w:pPr>
      <w:r w:rsidRPr="004B208C">
        <w:rPr>
          <w:rFonts w:eastAsia="Calibri" w:cs="Tahoma"/>
          <w:szCs w:val="18"/>
        </w:rPr>
        <w:t>o número real de núcleos por processador físico multiplicado pelo fator do núcleo apropriado.</w:t>
      </w:r>
      <w:r w:rsidR="00172F11">
        <w:rPr>
          <w:rFonts w:eastAsia="Calibri" w:cs="Tahoma"/>
          <w:szCs w:val="18"/>
        </w:rPr>
        <w:t xml:space="preserve"> </w:t>
      </w:r>
      <w:r w:rsidRPr="004B208C">
        <w:rPr>
          <w:rFonts w:eastAsia="Calibri" w:cs="Tahoma"/>
          <w:szCs w:val="18"/>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4B208C" w:rsidRDefault="00A81E83" w:rsidP="00A1385C">
      <w:pPr>
        <w:numPr>
          <w:ilvl w:val="0"/>
          <w:numId w:val="112"/>
        </w:numPr>
        <w:tabs>
          <w:tab w:val="left" w:pos="1440"/>
        </w:tabs>
        <w:ind w:left="1440"/>
        <w:rPr>
          <w:rFonts w:cs="Tahoma"/>
        </w:rPr>
      </w:pPr>
      <w:r w:rsidRPr="004B208C">
        <w:rPr>
          <w:rFonts w:eastAsia="Calibri" w:cs="Tahoma"/>
          <w:szCs w:val="18"/>
        </w:rPr>
        <w:t>um número igual ao número das licenças qualificadas atribuído ao servidor em excesso do número real de processadores físicos no servidor multiplicado por quatro.</w:t>
      </w:r>
    </w:p>
    <w:p w:rsidR="000C03F3" w:rsidRPr="004B208C" w:rsidRDefault="000C03F3" w:rsidP="000C03F3">
      <w:pPr>
        <w:tabs>
          <w:tab w:val="left" w:pos="1440"/>
        </w:tabs>
        <w:rPr>
          <w:rFonts w:cs="Tahoma"/>
        </w:rPr>
      </w:pPr>
    </w:p>
    <w:p w:rsidR="000C03F3" w:rsidRPr="004B208C" w:rsidRDefault="00A81E83" w:rsidP="000C03F3">
      <w:pPr>
        <w:spacing w:after="60"/>
        <w:ind w:left="720"/>
        <w:rPr>
          <w:rFonts w:cs="Tahoma"/>
        </w:rPr>
      </w:pPr>
      <w:r w:rsidRPr="004B208C">
        <w:rPr>
          <w:rFonts w:eastAsia="Calibri" w:cs="Tahoma"/>
          <w:b/>
          <w:szCs w:val="18"/>
        </w:rPr>
        <w:t>Primeiro Prazo de Renovação (em ou após 1º de abril de 2015)</w:t>
      </w:r>
    </w:p>
    <w:p w:rsidR="00A81E83" w:rsidRPr="004B208C" w:rsidRDefault="00A81E83" w:rsidP="000C03F3">
      <w:pPr>
        <w:ind w:left="720"/>
        <w:rPr>
          <w:rFonts w:cs="Tahoma"/>
        </w:rPr>
      </w:pPr>
      <w:r w:rsidRPr="004B208C">
        <w:rPr>
          <w:rFonts w:eastAsia="Calibri" w:cs="Tahoma"/>
          <w:color w:val="000000"/>
          <w:szCs w:val="18"/>
        </w:rPr>
        <w:t>Os clientes que renovaram primeiro a cobertura em ou depois de 1o. de abril de 2015</w:t>
      </w:r>
      <w:r w:rsidRPr="004B208C">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0C03F3" w:rsidRPr="004B208C" w:rsidRDefault="000C03F3" w:rsidP="000C03F3">
      <w:pPr>
        <w:ind w:left="720"/>
        <w:rPr>
          <w:rFonts w:cs="Tahoma"/>
        </w:rPr>
      </w:pPr>
    </w:p>
    <w:p w:rsidR="00A81E83" w:rsidRPr="004B208C" w:rsidRDefault="00A81E83" w:rsidP="00A1385C">
      <w:pPr>
        <w:numPr>
          <w:ilvl w:val="3"/>
          <w:numId w:val="87"/>
        </w:numPr>
        <w:tabs>
          <w:tab w:val="left" w:pos="1170"/>
        </w:tabs>
        <w:spacing w:after="60"/>
        <w:ind w:left="1440" w:hanging="360"/>
        <w:rPr>
          <w:rFonts w:cs="Tahoma"/>
        </w:rPr>
      </w:pPr>
      <w:r w:rsidRPr="004B208C">
        <w:rPr>
          <w:rFonts w:eastAsia="Calibri" w:cs="Tahoma"/>
          <w:szCs w:val="18"/>
        </w:rPr>
        <w:t>Conforme fornecido no primeiro parágrafo desta nota do produto, as licenças adquiridas antes de 1</w:t>
      </w:r>
      <w:r w:rsidRPr="004B208C">
        <w:rPr>
          <w:rFonts w:eastAsia="Calibri" w:cs="Tahoma"/>
          <w:szCs w:val="18"/>
          <w:vertAlign w:val="superscript"/>
        </w:rPr>
        <w:t>º</w:t>
      </w:r>
      <w:r w:rsidRPr="004B208C">
        <w:rPr>
          <w:rFonts w:eastAsia="Calibri" w:cs="Tahoma"/>
          <w:szCs w:val="18"/>
        </w:rPr>
        <w:t xml:space="preserve"> de abril de 2015 são licenças qualificadas, e os clientes poderão renovar o SA de acordo com os</w:t>
      </w:r>
      <w:r w:rsidR="004C2861">
        <w:rPr>
          <w:rFonts w:eastAsia="Calibri" w:cs="Tahoma"/>
          <w:szCs w:val="18"/>
        </w:rPr>
        <w:t> </w:t>
      </w:r>
      <w:r w:rsidRPr="004B208C">
        <w:rPr>
          <w:rFonts w:eastAsia="Calibri" w:cs="Tahoma"/>
          <w:szCs w:val="18"/>
        </w:rPr>
        <w:t>termos na seção “Primeiro Prazo de Renovação (Antes de 1</w:t>
      </w:r>
      <w:r w:rsidRPr="004B208C">
        <w:rPr>
          <w:rFonts w:eastAsia="Calibri" w:cs="Tahoma"/>
          <w:szCs w:val="18"/>
          <w:vertAlign w:val="superscript"/>
        </w:rPr>
        <w:t>º</w:t>
      </w:r>
      <w:r w:rsidRPr="004B208C">
        <w:rPr>
          <w:rFonts w:eastAsia="Calibri" w:cs="Tahoma"/>
          <w:szCs w:val="18"/>
        </w:rPr>
        <w:t xml:space="preserve"> de abril de 2015)“ acima e</w:t>
      </w:r>
    </w:p>
    <w:p w:rsidR="00A81E83" w:rsidRPr="004B208C" w:rsidRDefault="00A81E83" w:rsidP="00A1385C">
      <w:pPr>
        <w:numPr>
          <w:ilvl w:val="3"/>
          <w:numId w:val="87"/>
        </w:numPr>
        <w:tabs>
          <w:tab w:val="left" w:pos="1170"/>
        </w:tabs>
        <w:spacing w:after="60"/>
        <w:ind w:left="1440" w:hanging="360"/>
        <w:rPr>
          <w:rFonts w:cs="Tahoma"/>
        </w:rPr>
      </w:pPr>
      <w:r w:rsidRPr="004B208C">
        <w:rPr>
          <w:rFonts w:eastAsia="Calibri" w:cs="Tahoma"/>
          <w:szCs w:val="18"/>
        </w:rPr>
        <w:t>Para as licenças adquiridas depois de 1</w:t>
      </w:r>
      <w:r w:rsidRPr="004B208C">
        <w:rPr>
          <w:rFonts w:eastAsia="Calibri" w:cs="Tahoma"/>
          <w:szCs w:val="18"/>
          <w:vertAlign w:val="superscript"/>
        </w:rPr>
        <w:t>º</w:t>
      </w:r>
      <w:r w:rsidRPr="004B208C">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Workgroup. Para o uso contínuo do SQL Server 2012 em processadores que exigem mais de quatro licenças principais por processador, o</w:t>
      </w:r>
      <w:r w:rsidR="004C2861">
        <w:rPr>
          <w:rFonts w:eastAsia="Calibri" w:cs="Tahoma"/>
          <w:szCs w:val="18"/>
        </w:rPr>
        <w:t> </w:t>
      </w:r>
      <w:r w:rsidRPr="004B208C">
        <w:rPr>
          <w:rFonts w:eastAsia="Calibri" w:cs="Tahoma"/>
          <w:szCs w:val="18"/>
        </w:rPr>
        <w:t>cliente tem que adquirir licenças principais adicionais.</w:t>
      </w:r>
    </w:p>
    <w:p w:rsidR="00A81E83" w:rsidRPr="004B208C" w:rsidRDefault="00A81E83" w:rsidP="00A1385C">
      <w:pPr>
        <w:numPr>
          <w:ilvl w:val="3"/>
          <w:numId w:val="87"/>
        </w:numPr>
        <w:tabs>
          <w:tab w:val="left" w:pos="1170"/>
        </w:tabs>
        <w:spacing w:after="60"/>
        <w:ind w:left="1440" w:hanging="360"/>
        <w:rPr>
          <w:rFonts w:cs="Tahoma"/>
        </w:rPr>
      </w:pPr>
      <w:r w:rsidRPr="004B208C">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172F11">
        <w:rPr>
          <w:rFonts w:eastAsia="Calibri" w:cs="Tahoma"/>
          <w:szCs w:val="18"/>
        </w:rPr>
        <w:t xml:space="preserve"> </w:t>
      </w:r>
    </w:p>
    <w:p w:rsidR="000C03F3" w:rsidRPr="004B208C" w:rsidRDefault="000C03F3" w:rsidP="000C03F3">
      <w:pPr>
        <w:tabs>
          <w:tab w:val="left" w:pos="720"/>
        </w:tabs>
        <w:ind w:left="720"/>
        <w:rPr>
          <w:rFonts w:cs="Tahoma"/>
        </w:rPr>
      </w:pPr>
    </w:p>
    <w:p w:rsidR="000C03F3" w:rsidRPr="004B208C" w:rsidRDefault="00A81E83" w:rsidP="001760D6">
      <w:pPr>
        <w:keepNext/>
        <w:tabs>
          <w:tab w:val="left" w:pos="720"/>
          <w:tab w:val="left" w:pos="1800"/>
        </w:tabs>
        <w:spacing w:after="60"/>
        <w:ind w:left="720"/>
        <w:rPr>
          <w:rFonts w:cs="Tahoma"/>
        </w:rPr>
      </w:pPr>
      <w:r w:rsidRPr="004B208C">
        <w:rPr>
          <w:rFonts w:eastAsia="Calibri" w:cs="Tahoma"/>
          <w:b/>
          <w:szCs w:val="18"/>
        </w:rPr>
        <w:t>Para os clientes com cobertura de Software Assurance que expiram antes de 1º de abril de 2015 que optaram pela não renovação</w:t>
      </w:r>
    </w:p>
    <w:p w:rsidR="00A81E83" w:rsidRPr="004B208C" w:rsidRDefault="00A81E83" w:rsidP="000C03F3">
      <w:pPr>
        <w:tabs>
          <w:tab w:val="left" w:pos="720"/>
          <w:tab w:val="left" w:pos="1800"/>
        </w:tabs>
        <w:ind w:left="720"/>
        <w:rPr>
          <w:rFonts w:cs="Tahoma"/>
        </w:rPr>
      </w:pPr>
      <w:r w:rsidRPr="004B208C">
        <w:rPr>
          <w:rFonts w:eastAsia="Calibri" w:cs="Tahoma"/>
          <w:szCs w:val="18"/>
        </w:rPr>
        <w:t xml:space="preserve">Os clientes do Enterprise Subscription </w:t>
      </w:r>
      <w:r w:rsidRPr="004B208C">
        <w:rPr>
          <w:rFonts w:cs="Tahoma"/>
          <w:bCs/>
          <w:color w:val="000000"/>
          <w:szCs w:val="18"/>
        </w:rPr>
        <w:t xml:space="preserve">e Open Value Subscription </w:t>
      </w:r>
      <w:r w:rsidRPr="004B208C">
        <w:rPr>
          <w:rFonts w:eastAsia="Calibri" w:cs="Tahoma"/>
          <w:szCs w:val="18"/>
        </w:rPr>
        <w:t>com cobertura expirando antes de 1º de abril de 2015 que optarem por comprar licenças de processador e quaisquer outros clientes que adquirirem licenças perpétuas sob este contrato e optarem por não renovar o Software Assurance poderão executar o</w:t>
      </w:r>
      <w:r w:rsidR="004C2861">
        <w:rPr>
          <w:rFonts w:eastAsia="Calibri" w:cs="Tahoma"/>
          <w:szCs w:val="18"/>
        </w:rPr>
        <w:t> </w:t>
      </w:r>
      <w:r w:rsidRPr="004B208C">
        <w:rPr>
          <w:rFonts w:eastAsia="Calibri" w:cs="Tahoma"/>
          <w:szCs w:val="18"/>
        </w:rPr>
        <w:t>SQL Server 2008 R2 ou SQL Server 2012 sob essas licenças da seguinte forma:</w:t>
      </w:r>
    </w:p>
    <w:p w:rsidR="000C03F3" w:rsidRPr="004B208C" w:rsidRDefault="000C03F3" w:rsidP="000C03F3">
      <w:pPr>
        <w:tabs>
          <w:tab w:val="left" w:pos="720"/>
          <w:tab w:val="left" w:pos="1800"/>
        </w:tabs>
        <w:ind w:left="720"/>
        <w:rPr>
          <w:rFonts w:cs="Tahoma"/>
        </w:rPr>
      </w:pPr>
    </w:p>
    <w:p w:rsidR="00A81E83" w:rsidRPr="004B208C" w:rsidRDefault="00A81E83" w:rsidP="00A1385C">
      <w:pPr>
        <w:numPr>
          <w:ilvl w:val="0"/>
          <w:numId w:val="56"/>
        </w:numPr>
        <w:tabs>
          <w:tab w:val="left" w:pos="1440"/>
        </w:tabs>
        <w:spacing w:after="60"/>
        <w:ind w:left="1440"/>
        <w:rPr>
          <w:rFonts w:cs="Tahoma"/>
        </w:rPr>
      </w:pPr>
      <w:r w:rsidRPr="004B208C">
        <w:rPr>
          <w:rFonts w:eastAsia="Calibri" w:cs="Tahoma"/>
          <w:b/>
          <w:szCs w:val="18"/>
        </w:rPr>
        <w:lastRenderedPageBreak/>
        <w:t>CAL do SQL Server 2008 R2 Workgroup:</w:t>
      </w:r>
      <w:r w:rsidRPr="004B208C">
        <w:rPr>
          <w:rFonts w:eastAsia="Calibri" w:cs="Tahoma"/>
          <w:szCs w:val="18"/>
        </w:rPr>
        <w:t xml:space="preserve"> O uso contínuo do referido software está sujeito aos direitos de uso do produto de licença do processador do SQL Server 2008 R2 Workgroup. Os clientes não têm mais direitos sob Mobilidade de Licença nos Farms de Servidores nem Mobilidade de Licença por meio de Software Assurance. </w:t>
      </w:r>
    </w:p>
    <w:p w:rsidR="00A81E83" w:rsidRPr="004B208C" w:rsidRDefault="00A81E83" w:rsidP="00A1385C">
      <w:pPr>
        <w:numPr>
          <w:ilvl w:val="0"/>
          <w:numId w:val="56"/>
        </w:numPr>
        <w:tabs>
          <w:tab w:val="left" w:pos="1440"/>
        </w:tabs>
        <w:spacing w:after="60"/>
        <w:ind w:left="1440"/>
        <w:rPr>
          <w:rFonts w:cs="Tahoma"/>
        </w:rPr>
      </w:pPr>
      <w:r w:rsidRPr="004B208C">
        <w:rPr>
          <w:rFonts w:eastAsia="Calibri" w:cs="Tahoma"/>
          <w:b/>
          <w:szCs w:val="18"/>
        </w:rPr>
        <w:t xml:space="preserve">SQL Server 2012 Standard Core: </w:t>
      </w:r>
      <w:r w:rsidRPr="004B208C">
        <w:rPr>
          <w:rFonts w:eastAsia="Calibri" w:cs="Tahoma"/>
          <w:szCs w:val="18"/>
        </w:rPr>
        <w:t>O uso desta versão do software está sujeito aos direitos de</w:t>
      </w:r>
      <w:r w:rsidR="009803C5">
        <w:rPr>
          <w:rFonts w:eastAsia="Calibri" w:cs="Tahoma"/>
          <w:szCs w:val="18"/>
        </w:rPr>
        <w:t> </w:t>
      </w:r>
      <w:r w:rsidRPr="004B208C">
        <w:rPr>
          <w:rFonts w:eastAsia="Calibri" w:cs="Tahoma"/>
          <w:szCs w:val="18"/>
        </w:rPr>
        <w:t xml:space="preserve">uso do produto de licença do processador do SQL Server 2008 R2 Standard, no entanto: </w:t>
      </w:r>
    </w:p>
    <w:p w:rsidR="00A81E83" w:rsidRPr="004B208C" w:rsidRDefault="00A81E83" w:rsidP="00A1385C">
      <w:pPr>
        <w:numPr>
          <w:ilvl w:val="1"/>
          <w:numId w:val="56"/>
        </w:numPr>
        <w:tabs>
          <w:tab w:val="left" w:pos="1800"/>
        </w:tabs>
        <w:spacing w:after="60"/>
        <w:ind w:left="1800"/>
        <w:rPr>
          <w:rFonts w:cs="Tahoma"/>
        </w:rPr>
      </w:pPr>
      <w:r w:rsidRPr="004B208C">
        <w:rPr>
          <w:rFonts w:eastAsia="Calibri" w:cs="Tahoma"/>
          <w:szCs w:val="18"/>
        </w:rPr>
        <w:t xml:space="preserve">os clientes não têm mais direitos sob Mobilidade de Licença nos Farms de Servidores nem Mobilidade de Licença por meio de Software Assurance e </w:t>
      </w:r>
    </w:p>
    <w:p w:rsidR="00A81E83" w:rsidRPr="004C2861" w:rsidRDefault="00A81E83" w:rsidP="00A1385C">
      <w:pPr>
        <w:numPr>
          <w:ilvl w:val="1"/>
          <w:numId w:val="56"/>
        </w:numPr>
        <w:tabs>
          <w:tab w:val="left" w:pos="1800"/>
        </w:tabs>
        <w:spacing w:after="60"/>
        <w:ind w:left="1800"/>
        <w:rPr>
          <w:rFonts w:cs="Tahoma"/>
          <w:spacing w:val="-4"/>
        </w:rPr>
      </w:pPr>
      <w:r w:rsidRPr="004C2861">
        <w:rPr>
          <w:rFonts w:eastAsia="Calibri" w:cs="Tahoma"/>
          <w:spacing w:val="-4"/>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4B208C" w:rsidRDefault="00A81E83" w:rsidP="00A1385C">
      <w:pPr>
        <w:numPr>
          <w:ilvl w:val="2"/>
          <w:numId w:val="56"/>
        </w:numPr>
        <w:tabs>
          <w:tab w:val="left" w:pos="2160"/>
        </w:tabs>
        <w:spacing w:after="60"/>
        <w:rPr>
          <w:rFonts w:cs="Tahoma"/>
        </w:rPr>
      </w:pPr>
      <w:r w:rsidRPr="004B208C">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9803C5">
        <w:rPr>
          <w:rFonts w:eastAsia="Calibri" w:cs="Tahoma"/>
          <w:szCs w:val="18"/>
        </w:rPr>
        <w:t> </w:t>
      </w:r>
      <w:r w:rsidRPr="004B208C">
        <w:rPr>
          <w:rFonts w:eastAsia="Calibri" w:cs="Tahoma"/>
          <w:szCs w:val="18"/>
        </w:rPr>
        <w:t xml:space="preserve">equivalência de licença principal é maior do que: </w:t>
      </w:r>
    </w:p>
    <w:p w:rsidR="00A81E83" w:rsidRPr="004C2861" w:rsidRDefault="00A81E83" w:rsidP="00A1385C">
      <w:pPr>
        <w:numPr>
          <w:ilvl w:val="0"/>
          <w:numId w:val="135"/>
        </w:numPr>
        <w:tabs>
          <w:tab w:val="left" w:pos="2520"/>
        </w:tabs>
        <w:spacing w:after="60"/>
        <w:ind w:left="2520"/>
        <w:rPr>
          <w:rFonts w:cs="Tahoma"/>
        </w:rPr>
      </w:pPr>
      <w:r w:rsidRPr="004C2861">
        <w:rPr>
          <w:rFonts w:eastAsia="Calibri" w:cs="Tahoma"/>
          <w:szCs w:val="18"/>
        </w:rPr>
        <w:t xml:space="preserve">quatro núcleos por licença de processador OU </w:t>
      </w:r>
    </w:p>
    <w:p w:rsidR="00A81E83" w:rsidRPr="00832805" w:rsidRDefault="00A81E83" w:rsidP="00A1385C">
      <w:pPr>
        <w:numPr>
          <w:ilvl w:val="0"/>
          <w:numId w:val="135"/>
        </w:numPr>
        <w:tabs>
          <w:tab w:val="left" w:pos="2520"/>
        </w:tabs>
        <w:spacing w:after="60"/>
        <w:ind w:left="2520"/>
        <w:rPr>
          <w:rFonts w:cs="Tahoma"/>
        </w:rPr>
      </w:pPr>
      <w:r w:rsidRPr="00832805">
        <w:rPr>
          <w:rFonts w:eastAsia="Calibri" w:cs="Tahoma"/>
          <w:szCs w:val="18"/>
        </w:rPr>
        <w:t>um número de núcleos por licença do processador com base no número real de núcleos por processador físico multiplicado pelo fator de núcleo apropriado. (Nos casos em que o</w:t>
      </w:r>
      <w:r w:rsidR="009803C5" w:rsidRPr="00832805">
        <w:rPr>
          <w:rFonts w:eastAsia="Calibri" w:cs="Tahoma"/>
          <w:szCs w:val="18"/>
        </w:rPr>
        <w:t> </w:t>
      </w:r>
      <w:r w:rsidRPr="00832805">
        <w:rPr>
          <w:rFonts w:eastAsia="Calibri" w:cs="Tahoma"/>
          <w:szCs w:val="18"/>
        </w:rPr>
        <w:t>número real de núcleos por processador físico excede quatro, os clientes devem manter um registro da configuração do software SQL Server executando no servidor) instâncias licenciadas executando em ambientes do sistema operacional no servidor licenciado) e</w:t>
      </w:r>
      <w:r w:rsidR="009803C5" w:rsidRPr="00832805">
        <w:rPr>
          <w:rFonts w:eastAsia="Calibri" w:cs="Tahoma"/>
          <w:szCs w:val="18"/>
        </w:rPr>
        <w:t> </w:t>
      </w:r>
      <w:r w:rsidRPr="00832805">
        <w:rPr>
          <w:rFonts w:eastAsia="Calibri" w:cs="Tahoma"/>
          <w:szCs w:val="18"/>
        </w:rPr>
        <w:t>o</w:t>
      </w:r>
      <w:r w:rsidR="009803C5" w:rsidRPr="00832805">
        <w:rPr>
          <w:rFonts w:eastAsia="Calibri" w:cs="Tahoma"/>
          <w:szCs w:val="18"/>
        </w:rPr>
        <w:t> </w:t>
      </w:r>
      <w:r w:rsidRPr="00832805">
        <w:rPr>
          <w:rFonts w:eastAsia="Calibri" w:cs="Tahoma"/>
          <w:szCs w:val="18"/>
        </w:rPr>
        <w:t>hardware físico oferecendo suporte ao software que está antecedendo a expiração do</w:t>
      </w:r>
      <w:r w:rsidR="009803C5" w:rsidRPr="00832805">
        <w:rPr>
          <w:rFonts w:eastAsia="Calibri" w:cs="Tahoma"/>
          <w:szCs w:val="18"/>
        </w:rPr>
        <w:t> </w:t>
      </w:r>
      <w:r w:rsidRPr="00832805">
        <w:rPr>
          <w:rFonts w:eastAsia="Calibri" w:cs="Tahoma"/>
          <w:szCs w:val="18"/>
        </w:rPr>
        <w:t xml:space="preserve">Software Assurance usando a ferramenta Microsoft MAP ou qualquer software equivalente.) </w:t>
      </w:r>
    </w:p>
    <w:p w:rsidR="00A81E83" w:rsidRPr="004B208C" w:rsidRDefault="00A81E83" w:rsidP="00A1385C">
      <w:pPr>
        <w:numPr>
          <w:ilvl w:val="1"/>
          <w:numId w:val="56"/>
        </w:numPr>
        <w:tabs>
          <w:tab w:val="left" w:pos="1800"/>
        </w:tabs>
        <w:spacing w:after="60"/>
        <w:ind w:left="1800"/>
        <w:rPr>
          <w:rFonts w:cs="Tahoma"/>
        </w:rPr>
      </w:pPr>
      <w:r w:rsidRPr="004B208C">
        <w:rPr>
          <w:rFonts w:eastAsia="Calibri" w:cs="Tahoma"/>
          <w:szCs w:val="18"/>
        </w:rPr>
        <w:t>Para qualquer licença de processador com um Software Assurance expirando atribuído ao mesmo servidor licenciado em excesso do número real de processadores físicos no servidor, a</w:t>
      </w:r>
      <w:r w:rsidR="004C2861">
        <w:rPr>
          <w:rFonts w:eastAsia="Calibri" w:cs="Tahoma"/>
          <w:szCs w:val="18"/>
        </w:rPr>
        <w:t> </w:t>
      </w:r>
      <w:r w:rsidRPr="004B208C">
        <w:rPr>
          <w:rFonts w:eastAsia="Calibri" w:cs="Tahoma"/>
          <w:szCs w:val="18"/>
        </w:rPr>
        <w:t>equivalência de núcleo é de quatro núcleos por licença de processador.</w:t>
      </w:r>
    </w:p>
    <w:p w:rsidR="00A81E83" w:rsidRPr="004B208C" w:rsidRDefault="00A81E83" w:rsidP="00A1385C">
      <w:pPr>
        <w:numPr>
          <w:ilvl w:val="1"/>
          <w:numId w:val="56"/>
        </w:numPr>
        <w:tabs>
          <w:tab w:val="left" w:pos="1800"/>
        </w:tabs>
        <w:spacing w:after="60"/>
        <w:ind w:left="1800"/>
        <w:rPr>
          <w:rFonts w:cs="Tahoma"/>
        </w:rPr>
      </w:pPr>
      <w:r w:rsidRPr="004B208C">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4B208C" w:rsidRDefault="00A81E83" w:rsidP="00A1385C">
      <w:pPr>
        <w:numPr>
          <w:ilvl w:val="1"/>
          <w:numId w:val="56"/>
        </w:numPr>
        <w:tabs>
          <w:tab w:val="left" w:pos="1800"/>
        </w:tabs>
        <w:spacing w:after="60"/>
        <w:ind w:left="1800"/>
        <w:rPr>
          <w:rFonts w:cs="Tahoma"/>
        </w:rPr>
      </w:pPr>
      <w:r w:rsidRPr="004B208C">
        <w:rPr>
          <w:rFonts w:eastAsia="Calibri" w:cs="Tahoma"/>
          <w:szCs w:val="18"/>
        </w:rPr>
        <w:t>A equivalência de licença principal dos clientes não implica que eles podem atribuir uma única licença de processador a núcleos por dois ou mais processadores.</w:t>
      </w:r>
    </w:p>
    <w:p w:rsidR="000C03F3" w:rsidRPr="004B208C" w:rsidRDefault="000C03F3" w:rsidP="000C03F3">
      <w:pPr>
        <w:tabs>
          <w:tab w:val="left" w:pos="1800"/>
        </w:tabs>
        <w:spacing w:after="60"/>
        <w:rPr>
          <w:rFonts w:cs="Tahoma"/>
        </w:rPr>
      </w:pPr>
    </w:p>
    <w:p w:rsidR="000C03F3" w:rsidRPr="004B208C" w:rsidRDefault="00A81E83" w:rsidP="000C03F3">
      <w:pPr>
        <w:tabs>
          <w:tab w:val="left" w:pos="720"/>
        </w:tabs>
        <w:spacing w:after="60"/>
        <w:ind w:left="720"/>
        <w:rPr>
          <w:rFonts w:cs="Tahoma"/>
        </w:rPr>
      </w:pPr>
      <w:r w:rsidRPr="004B208C">
        <w:rPr>
          <w:rFonts w:eastAsia="Calibri" w:cs="Tahoma"/>
          <w:b/>
          <w:color w:val="000000"/>
          <w:szCs w:val="18"/>
        </w:rPr>
        <w:t>Para os clientes com cobertura de Software Assurance que expiram em ou depois de 1º de abril de 2015 que optaram pela não renovação</w:t>
      </w:r>
    </w:p>
    <w:p w:rsidR="00A81E83" w:rsidRPr="004B208C" w:rsidRDefault="00A81E83" w:rsidP="000C03F3">
      <w:pPr>
        <w:tabs>
          <w:tab w:val="left" w:pos="720"/>
        </w:tabs>
        <w:ind w:left="720"/>
        <w:rPr>
          <w:rFonts w:cs="Tahoma"/>
        </w:rPr>
      </w:pPr>
      <w:r w:rsidRPr="004B208C">
        <w:rPr>
          <w:rFonts w:eastAsia="Calibri" w:cs="Tahoma"/>
          <w:color w:val="000000"/>
          <w:szCs w:val="18"/>
        </w:rPr>
        <w:t xml:space="preserve">Os clientes do Enterprise Subscription </w:t>
      </w:r>
      <w:r w:rsidRPr="004B208C">
        <w:rPr>
          <w:rFonts w:cs="Tahoma"/>
          <w:bCs/>
          <w:color w:val="000000"/>
          <w:szCs w:val="18"/>
        </w:rPr>
        <w:t xml:space="preserve">e Open Value Subscription </w:t>
      </w:r>
      <w:r w:rsidRPr="004B208C">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rsidR="000C03F3" w:rsidRPr="004B208C" w:rsidRDefault="000C03F3" w:rsidP="000C03F3">
      <w:pPr>
        <w:tabs>
          <w:tab w:val="left" w:pos="720"/>
        </w:tabs>
        <w:ind w:left="720"/>
        <w:rPr>
          <w:rFonts w:cs="Tahoma"/>
        </w:rPr>
      </w:pPr>
    </w:p>
    <w:p w:rsidR="00A81E83" w:rsidRPr="00F56D02" w:rsidRDefault="00A81E83" w:rsidP="00A1385C">
      <w:pPr>
        <w:numPr>
          <w:ilvl w:val="0"/>
          <w:numId w:val="137"/>
        </w:numPr>
        <w:spacing w:after="60"/>
        <w:ind w:left="1440"/>
        <w:rPr>
          <w:rFonts w:cs="Tahoma"/>
        </w:rPr>
      </w:pPr>
      <w:r w:rsidRPr="00F56D02">
        <w:rPr>
          <w:rFonts w:eastAsia="Calibri" w:cs="Tahoma"/>
          <w:szCs w:val="18"/>
        </w:rPr>
        <w:t>Conforme fornecido no primeiro parágrafo desta nota de produto, as licenças adquiridas antes de 1</w:t>
      </w:r>
      <w:r w:rsidRPr="00F56D02">
        <w:rPr>
          <w:rFonts w:eastAsia="Calibri" w:cs="Tahoma"/>
          <w:szCs w:val="18"/>
          <w:vertAlign w:val="superscript"/>
        </w:rPr>
        <w:t>º</w:t>
      </w:r>
      <w:r w:rsidRPr="00F56D02">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4B208C" w:rsidRDefault="00A81E83" w:rsidP="00A1385C">
      <w:pPr>
        <w:numPr>
          <w:ilvl w:val="0"/>
          <w:numId w:val="137"/>
        </w:numPr>
        <w:spacing w:after="60"/>
        <w:ind w:left="1440"/>
        <w:rPr>
          <w:rFonts w:cs="Tahoma"/>
        </w:rPr>
      </w:pPr>
      <w:r w:rsidRPr="004B208C">
        <w:rPr>
          <w:rFonts w:eastAsia="Calibri" w:cs="Tahoma"/>
          <w:color w:val="000000"/>
          <w:szCs w:val="18"/>
        </w:rPr>
        <w:t>Para as licenças adquiridas depois de 1</w:t>
      </w:r>
      <w:r w:rsidRPr="004B208C">
        <w:rPr>
          <w:rFonts w:eastAsia="Calibri" w:cs="Tahoma"/>
          <w:color w:val="000000"/>
          <w:szCs w:val="18"/>
          <w:vertAlign w:val="superscript"/>
        </w:rPr>
        <w:t>º</w:t>
      </w:r>
      <w:r w:rsidRPr="004B208C">
        <w:rPr>
          <w:rFonts w:eastAsia="Calibri" w:cs="Tahoma"/>
          <w:color w:val="000000"/>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0C03F3" w:rsidRPr="004B208C" w:rsidRDefault="000C03F3" w:rsidP="000C03F3">
      <w:pPr>
        <w:rPr>
          <w:rFonts w:cs="Tahoma"/>
        </w:rPr>
      </w:pPr>
    </w:p>
    <w:p w:rsidR="000C03F3" w:rsidRPr="00F56D02" w:rsidRDefault="00A81E83" w:rsidP="000C03F3">
      <w:pPr>
        <w:pStyle w:val="ListParagraph"/>
        <w:tabs>
          <w:tab w:val="left" w:pos="720"/>
        </w:tabs>
        <w:spacing w:after="60"/>
        <w:contextualSpacing w:val="0"/>
        <w:rPr>
          <w:rFonts w:ascii="Tahoma" w:hAnsi="Tahoma" w:cs="Tahoma"/>
          <w:sz w:val="18"/>
          <w:szCs w:val="18"/>
        </w:rPr>
      </w:pPr>
      <w:r w:rsidRPr="00F56D02">
        <w:rPr>
          <w:rFonts w:ascii="Tahoma" w:hAnsi="Tahoma" w:cs="Tahoma"/>
          <w:b/>
          <w:color w:val="000000"/>
          <w:sz w:val="18"/>
          <w:szCs w:val="18"/>
        </w:rPr>
        <w:t>Para os clientes localizados na República Popular da</w:t>
      </w:r>
      <w:r w:rsidRPr="00F56D02">
        <w:rPr>
          <w:rFonts w:ascii="Tahoma" w:hAnsi="Tahoma" w:cs="Tahoma"/>
          <w:color w:val="000000"/>
          <w:sz w:val="18"/>
          <w:szCs w:val="18"/>
        </w:rPr>
        <w:t xml:space="preserve"> </w:t>
      </w:r>
      <w:r w:rsidRPr="00F56D02">
        <w:rPr>
          <w:rFonts w:ascii="Tahoma" w:hAnsi="Tahoma" w:cs="Tahoma"/>
          <w:b/>
          <w:color w:val="000000"/>
          <w:sz w:val="18"/>
          <w:szCs w:val="18"/>
        </w:rPr>
        <w:t>China e para os que estão adquirindo licenças de processador e Software Assurance para SQL Server 2008 R2</w:t>
      </w:r>
    </w:p>
    <w:p w:rsidR="00A81E83" w:rsidRPr="00F56D02" w:rsidRDefault="00A81E83" w:rsidP="000C03F3">
      <w:pPr>
        <w:pStyle w:val="ListParagraph"/>
        <w:tabs>
          <w:tab w:val="left" w:pos="720"/>
        </w:tabs>
        <w:contextualSpacing w:val="0"/>
        <w:rPr>
          <w:rFonts w:ascii="Tahoma" w:hAnsi="Tahoma" w:cs="Tahoma"/>
          <w:sz w:val="18"/>
          <w:szCs w:val="18"/>
        </w:rPr>
      </w:pPr>
      <w:r w:rsidRPr="00F56D02">
        <w:rPr>
          <w:rFonts w:ascii="Tahoma" w:hAnsi="Tahoma" w:cs="Tahoma"/>
          <w:color w:val="000000"/>
          <w:sz w:val="18"/>
          <w:szCs w:val="18"/>
        </w:rPr>
        <w:t>As referências a 1</w:t>
      </w:r>
      <w:r w:rsidRPr="00F56D02">
        <w:rPr>
          <w:rFonts w:ascii="Tahoma" w:hAnsi="Tahoma" w:cs="Tahoma"/>
          <w:color w:val="000000"/>
          <w:sz w:val="18"/>
          <w:szCs w:val="18"/>
          <w:vertAlign w:val="superscript"/>
        </w:rPr>
        <w:t>º</w:t>
      </w:r>
      <w:r w:rsidRPr="00F56D02">
        <w:rPr>
          <w:rFonts w:ascii="Tahoma" w:hAnsi="Tahoma" w:cs="Tahoma"/>
          <w:color w:val="000000"/>
          <w:sz w:val="18"/>
          <w:szCs w:val="18"/>
        </w:rPr>
        <w:t xml:space="preserve"> de abril de 2012 e 1</w:t>
      </w:r>
      <w:r w:rsidRPr="00F56D02">
        <w:rPr>
          <w:rFonts w:ascii="Tahoma" w:hAnsi="Tahoma" w:cs="Tahoma"/>
          <w:color w:val="000000"/>
          <w:sz w:val="18"/>
          <w:szCs w:val="18"/>
          <w:vertAlign w:val="superscript"/>
        </w:rPr>
        <w:t>º</w:t>
      </w:r>
      <w:r w:rsidRPr="00F56D02">
        <w:rPr>
          <w:rFonts w:ascii="Tahoma" w:hAnsi="Tahoma" w:cs="Tahoma"/>
          <w:color w:val="000000"/>
          <w:sz w:val="18"/>
          <w:szCs w:val="18"/>
        </w:rPr>
        <w:t xml:space="preserve"> de abril de 2015 nesta nota da lista de produtos não são aplicáveis. As datas aplicáveis para esses clientes são 1</w:t>
      </w:r>
      <w:r w:rsidRPr="00F56D02">
        <w:rPr>
          <w:rFonts w:ascii="Tahoma" w:hAnsi="Tahoma" w:cs="Tahoma"/>
          <w:color w:val="000000"/>
          <w:sz w:val="18"/>
          <w:szCs w:val="18"/>
          <w:vertAlign w:val="superscript"/>
        </w:rPr>
        <w:t>º</w:t>
      </w:r>
      <w:r w:rsidRPr="00F56D02">
        <w:rPr>
          <w:rFonts w:ascii="Tahoma" w:hAnsi="Tahoma" w:cs="Tahoma"/>
          <w:color w:val="000000"/>
          <w:sz w:val="18"/>
          <w:szCs w:val="18"/>
        </w:rPr>
        <w:t xml:space="preserve"> de julho de 2012 e 1</w:t>
      </w:r>
      <w:r w:rsidRPr="00F56D02">
        <w:rPr>
          <w:rFonts w:ascii="Tahoma" w:hAnsi="Tahoma" w:cs="Tahoma"/>
          <w:color w:val="000000"/>
          <w:sz w:val="18"/>
          <w:szCs w:val="18"/>
          <w:vertAlign w:val="superscript"/>
        </w:rPr>
        <w:t>º</w:t>
      </w:r>
      <w:r w:rsidRPr="00F56D02">
        <w:rPr>
          <w:rFonts w:ascii="Tahoma" w:hAnsi="Tahoma" w:cs="Tahoma"/>
          <w:color w:val="000000"/>
          <w:sz w:val="18"/>
          <w:szCs w:val="18"/>
        </w:rPr>
        <w:t xml:space="preserve"> de julho de 2015, respectivamente.</w:t>
      </w:r>
    </w:p>
    <w:p w:rsidR="00A81E83" w:rsidRPr="004B208C" w:rsidRDefault="00A81E83" w:rsidP="000C03F3">
      <w:pPr>
        <w:tabs>
          <w:tab w:val="left" w:pos="1080"/>
          <w:tab w:val="left" w:pos="1800"/>
        </w:tabs>
        <w:rPr>
          <w:rFonts w:cs="Tahoma"/>
        </w:rPr>
      </w:pPr>
      <w:bookmarkStart w:id="1423" w:name="Srv_87SQLServer2012Developer"/>
    </w:p>
    <w:p w:rsidR="00A81E83" w:rsidRPr="004B208C" w:rsidRDefault="00A560B6" w:rsidP="00EF5637">
      <w:pPr>
        <w:pStyle w:val="Heading3"/>
        <w:rPr>
          <w:rFonts w:ascii="Tahoma" w:hAnsi="Tahoma" w:cs="Tahoma"/>
        </w:rPr>
      </w:pPr>
      <w:bookmarkStart w:id="1424" w:name="_80_78_SQL"/>
      <w:bookmarkStart w:id="1425" w:name="_85_SQL_Server®"/>
      <w:bookmarkStart w:id="1426" w:name="_Toc336338345"/>
      <w:bookmarkStart w:id="1427" w:name="_Toc370981458"/>
      <w:bookmarkEnd w:id="1424"/>
      <w:bookmarkEnd w:id="1425"/>
      <w:r w:rsidRPr="004B208C">
        <w:rPr>
          <w:rFonts w:ascii="Tahoma" w:hAnsi="Tahoma" w:cs="Tahoma"/>
          <w:color w:val="F66400"/>
          <w:sz w:val="22"/>
          <w:vertAlign w:val="superscript"/>
        </w:rPr>
        <w:lastRenderedPageBreak/>
        <w:t>84</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2012 Developer</w:t>
      </w:r>
      <w:bookmarkEnd w:id="1426"/>
      <w:bookmarkEnd w:id="1427"/>
    </w:p>
    <w:bookmarkEnd w:id="1423"/>
    <w:p w:rsidR="00A81E83" w:rsidRPr="004B208C" w:rsidRDefault="00A81E83" w:rsidP="00EF5637">
      <w:pPr>
        <w:rPr>
          <w:rFonts w:cs="Tahoma"/>
        </w:rPr>
      </w:pPr>
    </w:p>
    <w:p w:rsidR="000C03F3" w:rsidRPr="004B208C" w:rsidRDefault="00A81E83" w:rsidP="000C03F3">
      <w:pPr>
        <w:spacing w:after="60"/>
        <w:ind w:left="720"/>
        <w:rPr>
          <w:rFonts w:cs="Tahoma"/>
        </w:rPr>
      </w:pPr>
      <w:r w:rsidRPr="004B208C">
        <w:rPr>
          <w:rFonts w:cs="Tahoma"/>
          <w:b/>
          <w:color w:val="000000"/>
          <w:szCs w:val="18"/>
        </w:rPr>
        <w:t>Notificação Importante</w:t>
      </w:r>
    </w:p>
    <w:p w:rsidR="00A81E83" w:rsidRPr="004B208C" w:rsidRDefault="00A81E83" w:rsidP="00EF5637">
      <w:pPr>
        <w:ind w:left="720"/>
        <w:rPr>
          <w:rFonts w:cs="Tahoma"/>
        </w:rPr>
      </w:pPr>
      <w:r w:rsidRPr="004B208C">
        <w:rPr>
          <w:rFonts w:cs="Tahoma"/>
          <w:color w:val="000000"/>
          <w:szCs w:val="18"/>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w:t>
      </w:r>
      <w:r w:rsidR="00172F11">
        <w:rPr>
          <w:rFonts w:cs="Tahoma"/>
          <w:color w:val="000000"/>
          <w:szCs w:val="18"/>
        </w:rPr>
        <w:t xml:space="preserve"> </w:t>
      </w:r>
      <w:r w:rsidRPr="004B208C">
        <w:rPr>
          <w:rFonts w:cs="Tahoma"/>
          <w:color w:val="000000"/>
          <w:szCs w:val="18"/>
        </w:rPr>
        <w:t>Esse recurso não pode ser desativado.</w:t>
      </w:r>
      <w:r w:rsidR="00172F11">
        <w:rPr>
          <w:rFonts w:cs="Tahoma"/>
          <w:color w:val="000000"/>
          <w:szCs w:val="18"/>
        </w:rPr>
        <w:t xml:space="preserve"> </w:t>
      </w:r>
      <w:r w:rsidRPr="004B208C">
        <w:rPr>
          <w:rFonts w:cs="Tahoma"/>
          <w:color w:val="000000"/>
          <w:szCs w:val="18"/>
        </w:rPr>
        <w:t>Os arquivos atualizados não podem ser removidos e os arquivos originais podem não ser recuperáveis.</w:t>
      </w:r>
      <w:r w:rsidR="00172F11">
        <w:rPr>
          <w:rFonts w:cs="Tahoma"/>
          <w:color w:val="000000"/>
          <w:szCs w:val="18"/>
        </w:rPr>
        <w:t xml:space="preserve"> </w:t>
      </w:r>
      <w:r w:rsidRPr="004B208C">
        <w:rPr>
          <w:rFonts w:cs="Tahoma"/>
          <w:color w:val="000000"/>
          <w:szCs w:val="18"/>
        </w:rPr>
        <w:t>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r w:rsidR="00172F11">
        <w:rPr>
          <w:rFonts w:cs="Tahoma"/>
          <w:color w:val="000000"/>
          <w:szCs w:val="18"/>
        </w:rPr>
        <w:t xml:space="preserve"> </w:t>
      </w:r>
    </w:p>
    <w:p w:rsidR="00A81E83" w:rsidRPr="004B208C" w:rsidRDefault="00A81E83" w:rsidP="00EF5637">
      <w:pPr>
        <w:ind w:left="720"/>
        <w:rPr>
          <w:rFonts w:cs="Tahoma"/>
        </w:rPr>
      </w:pPr>
    </w:p>
    <w:p w:rsidR="0086448F" w:rsidRPr="004B208C" w:rsidRDefault="0086448F" w:rsidP="00EF5637">
      <w:pPr>
        <w:ind w:left="720"/>
        <w:rPr>
          <w:rFonts w:cs="Tahoma"/>
        </w:rPr>
      </w:pPr>
    </w:p>
    <w:p w:rsidR="00A81E83" w:rsidRPr="004B208C" w:rsidRDefault="00A560B6" w:rsidP="00EF5637">
      <w:pPr>
        <w:pStyle w:val="Heading3"/>
        <w:rPr>
          <w:rFonts w:ascii="Tahoma" w:hAnsi="Tahoma" w:cs="Tahoma"/>
        </w:rPr>
      </w:pPr>
      <w:bookmarkStart w:id="1428" w:name="_81_79_SQL"/>
      <w:bookmarkStart w:id="1429" w:name="_86_SQL_Server®"/>
      <w:bookmarkStart w:id="1430" w:name="_Toc336338346"/>
      <w:bookmarkStart w:id="1431" w:name="Srv_88SQLServer2012Enterprise"/>
      <w:bookmarkStart w:id="1432" w:name="_Toc370981459"/>
      <w:bookmarkEnd w:id="1428"/>
      <w:bookmarkEnd w:id="1429"/>
      <w:r w:rsidRPr="004B208C">
        <w:rPr>
          <w:rFonts w:ascii="Tahoma" w:hAnsi="Tahoma" w:cs="Tahoma"/>
          <w:color w:val="F66400"/>
          <w:sz w:val="22"/>
          <w:vertAlign w:val="superscript"/>
        </w:rPr>
        <w:t>85</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2012 Enterprise</w:t>
      </w:r>
      <w:bookmarkEnd w:id="1430"/>
      <w:bookmarkEnd w:id="1432"/>
    </w:p>
    <w:bookmarkEnd w:id="1431"/>
    <w:p w:rsidR="00A81E83" w:rsidRPr="004B208C" w:rsidRDefault="00A81E83" w:rsidP="00C321B6">
      <w:pPr>
        <w:rPr>
          <w:rFonts w:cs="Tahoma"/>
        </w:rPr>
      </w:pPr>
    </w:p>
    <w:p w:rsidR="00A81E83" w:rsidRPr="004B208C" w:rsidRDefault="00A81E83" w:rsidP="00C321B6">
      <w:pPr>
        <w:ind w:left="720"/>
        <w:rPr>
          <w:rFonts w:cs="Tahoma"/>
        </w:rPr>
      </w:pPr>
      <w:r w:rsidRPr="004B208C">
        <w:rPr>
          <w:rFonts w:eastAsia="Calibri" w:cs="Tahoma"/>
          <w:color w:val="000000"/>
          <w:szCs w:val="18"/>
        </w:rPr>
        <w:t>O SQL Server 2012 Enterprise é a próxima versão do SQL Server Enterprise, e a CAL do SQL Server 2012 é</w:t>
      </w:r>
      <w:r w:rsidR="00C84F74">
        <w:rPr>
          <w:rFonts w:eastAsia="Calibri" w:cs="Tahoma"/>
          <w:color w:val="000000"/>
          <w:szCs w:val="18"/>
        </w:rPr>
        <w:t> </w:t>
      </w:r>
      <w:r w:rsidRPr="004B208C">
        <w:rPr>
          <w:rFonts w:eastAsia="Calibri" w:cs="Tahoma"/>
          <w:color w:val="000000"/>
          <w:szCs w:val="18"/>
        </w:rPr>
        <w:t>a próxima versão da CAL do SQL Server.</w:t>
      </w:r>
    </w:p>
    <w:p w:rsidR="00C321B6" w:rsidRPr="004B208C" w:rsidRDefault="00C321B6" w:rsidP="00C321B6">
      <w:pPr>
        <w:ind w:left="720"/>
        <w:rPr>
          <w:rFonts w:cs="Tahoma"/>
        </w:rPr>
      </w:pPr>
    </w:p>
    <w:p w:rsidR="00C321B6" w:rsidRPr="004B208C" w:rsidRDefault="00A81E83" w:rsidP="00C321B6">
      <w:pPr>
        <w:spacing w:after="60"/>
        <w:ind w:left="720"/>
        <w:rPr>
          <w:rFonts w:cs="Tahoma"/>
        </w:rPr>
      </w:pPr>
      <w:r w:rsidRPr="004B208C">
        <w:rPr>
          <w:rFonts w:eastAsia="Calibri" w:cs="Tahoma"/>
          <w:b/>
          <w:color w:val="000000"/>
          <w:szCs w:val="18"/>
        </w:rPr>
        <w:t>Clientes de CAL/SQL Server Enterprise Server – Opção de Renovação de Software Assurance Especial</w:t>
      </w:r>
    </w:p>
    <w:p w:rsidR="00A81E83" w:rsidRPr="0086448F" w:rsidRDefault="00A81E83" w:rsidP="00C321B6">
      <w:pPr>
        <w:ind w:left="720"/>
        <w:rPr>
          <w:rFonts w:cs="Tahoma"/>
          <w:spacing w:val="-2"/>
        </w:rPr>
      </w:pPr>
      <w:r w:rsidRPr="0086448F">
        <w:rPr>
          <w:rFonts w:eastAsia="Calibri" w:cs="Tahoma"/>
          <w:color w:val="000000"/>
          <w:spacing w:val="-2"/>
          <w:szCs w:val="18"/>
        </w:rPr>
        <w:t>Os clientes com Software Assurance ativo para licenças do SQL Server Enterprise Server/CAL a partir de 1o.</w:t>
      </w:r>
      <w:r w:rsidR="0086448F" w:rsidRPr="0086448F">
        <w:rPr>
          <w:rFonts w:eastAsia="Calibri" w:cs="Tahoma"/>
          <w:color w:val="000000"/>
          <w:spacing w:val="-2"/>
          <w:szCs w:val="18"/>
        </w:rPr>
        <w:t> </w:t>
      </w:r>
      <w:r w:rsidRPr="0086448F">
        <w:rPr>
          <w:rFonts w:eastAsia="Calibri" w:cs="Tahoma"/>
          <w:color w:val="000000"/>
          <w:spacing w:val="-2"/>
          <w:szCs w:val="18"/>
        </w:rPr>
        <w:t>de abril de 2012 podem, opcionalmente, renovar sua cobertura para Enterprise, adquirir Software Assurance para</w:t>
      </w:r>
      <w:r w:rsidR="0086448F">
        <w:rPr>
          <w:rFonts w:eastAsia="Calibri" w:cs="Tahoma"/>
          <w:color w:val="000000"/>
          <w:spacing w:val="-2"/>
          <w:szCs w:val="18"/>
        </w:rPr>
        <w:t> </w:t>
      </w:r>
      <w:r w:rsidRPr="0086448F">
        <w:rPr>
          <w:rFonts w:eastAsia="Calibri" w:cs="Tahoma"/>
          <w:color w:val="000000"/>
          <w:spacing w:val="-2"/>
          <w:szCs w:val="18"/>
        </w:rPr>
        <w:t>licenças de número igual para SQL Server 2012 Business Intelligence sem adquirir as licenças básicas.</w:t>
      </w:r>
      <w:r w:rsidR="00172F11" w:rsidRPr="0086448F">
        <w:rPr>
          <w:rFonts w:eastAsia="Calibri" w:cs="Tahoma"/>
          <w:color w:val="000000"/>
          <w:spacing w:val="-2"/>
          <w:szCs w:val="18"/>
        </w:rPr>
        <w:t xml:space="preserve"> </w:t>
      </w:r>
      <w:r w:rsidRPr="0086448F">
        <w:rPr>
          <w:rFonts w:eastAsia="Calibri" w:cs="Tahoma"/>
          <w:color w:val="000000"/>
          <w:spacing w:val="-2"/>
          <w:szCs w:val="18"/>
        </w:rPr>
        <w:t>Mediante a aquisição do Software Assurance do SQL Server 2012 Business Intelligence sob</w:t>
      </w:r>
      <w:r w:rsidR="0086448F" w:rsidRPr="0086448F">
        <w:rPr>
          <w:rFonts w:eastAsia="Calibri" w:cs="Tahoma"/>
          <w:color w:val="000000"/>
          <w:spacing w:val="-2"/>
          <w:szCs w:val="18"/>
        </w:rPr>
        <w:t> </w:t>
      </w:r>
      <w:r w:rsidRPr="0086448F">
        <w:rPr>
          <w:rFonts w:eastAsia="Calibri" w:cs="Tahoma"/>
          <w:color w:val="000000"/>
          <w:spacing w:val="-2"/>
          <w:szCs w:val="18"/>
        </w:rPr>
        <w:t>esta oferta, os clientes não poderão mais usar o SQL Server Enterprise sob as licenças qualificadas.</w:t>
      </w:r>
      <w:r w:rsidR="00172F11" w:rsidRPr="0086448F">
        <w:rPr>
          <w:rFonts w:eastAsia="Calibri" w:cs="Tahoma"/>
          <w:color w:val="000000"/>
          <w:spacing w:val="-2"/>
          <w:szCs w:val="18"/>
        </w:rPr>
        <w:t xml:space="preserve"> </w:t>
      </w:r>
      <w:r w:rsidRPr="0086448F">
        <w:rPr>
          <w:rFonts w:eastAsia="Calibri" w:cs="Tahoma"/>
          <w:color w:val="000000"/>
          <w:spacing w:val="-2"/>
          <w:szCs w:val="18"/>
        </w:rPr>
        <w:t>Os clientes que adquirem Software Assurance para SQL Server Business Intelligence sob esta oferta também não terão a opção de reverter a cobertura do SQL Server Enterprise para suas licenças qualificadas do SQL Server Enterprise.</w:t>
      </w:r>
    </w:p>
    <w:p w:rsidR="002512D3" w:rsidRPr="004B208C" w:rsidRDefault="002512D3">
      <w:pPr>
        <w:rPr>
          <w:rFonts w:cs="Tahoma"/>
        </w:rPr>
      </w:pPr>
    </w:p>
    <w:p w:rsidR="00C321B6" w:rsidRPr="004B208C" w:rsidRDefault="00A81E83" w:rsidP="00C321B6">
      <w:pPr>
        <w:spacing w:after="60"/>
        <w:ind w:left="720"/>
        <w:rPr>
          <w:rFonts w:cs="Tahoma"/>
        </w:rPr>
      </w:pPr>
      <w:r w:rsidRPr="004B208C">
        <w:rPr>
          <w:rFonts w:eastAsia="Calibri" w:cs="Tahoma"/>
          <w:b/>
          <w:color w:val="000000"/>
          <w:szCs w:val="18"/>
        </w:rPr>
        <w:t>Opções de Fornecimento do SQL Server 2012</w:t>
      </w:r>
    </w:p>
    <w:p w:rsidR="00A81E83" w:rsidRPr="004B208C" w:rsidRDefault="00A81E83" w:rsidP="00C321B6">
      <w:pPr>
        <w:ind w:left="720"/>
        <w:rPr>
          <w:rFonts w:cs="Tahoma"/>
        </w:rPr>
      </w:pPr>
      <w:r w:rsidRPr="004B208C">
        <w:rPr>
          <w:rFonts w:eastAsia="Calibri" w:cs="Tahoma"/>
          <w:color w:val="000000"/>
          <w:szCs w:val="18"/>
        </w:rPr>
        <w:t>Os clientes podem usar apenas o software correspondente ao modelo de licenciamento sob o qual suas licenças do SQL Server são adquiridas.</w:t>
      </w:r>
      <w:r w:rsidR="00172F11">
        <w:rPr>
          <w:rFonts w:eastAsia="Calibri" w:cs="Tahoma"/>
          <w:color w:val="000000"/>
          <w:szCs w:val="18"/>
        </w:rPr>
        <w:t xml:space="preserve"> </w:t>
      </w:r>
    </w:p>
    <w:p w:rsidR="00C321B6" w:rsidRPr="004B208C" w:rsidRDefault="00C321B6" w:rsidP="00C321B6">
      <w:pPr>
        <w:ind w:left="720"/>
        <w:rPr>
          <w:rFonts w:cs="Tahoma"/>
        </w:rPr>
      </w:pPr>
    </w:p>
    <w:p w:rsidR="00C321B6" w:rsidRPr="004B208C" w:rsidRDefault="00A81E83" w:rsidP="00C321B6">
      <w:pPr>
        <w:spacing w:after="60"/>
        <w:ind w:left="720"/>
        <w:rPr>
          <w:rFonts w:cs="Tahoma"/>
        </w:rPr>
      </w:pPr>
      <w:r w:rsidRPr="004B208C">
        <w:rPr>
          <w:rFonts w:eastAsia="Calibri" w:cs="Tahoma"/>
          <w:b/>
          <w:color w:val="000000"/>
          <w:szCs w:val="18"/>
        </w:rPr>
        <w:t>Opção de Compra (“Buy-out”) do SQL Server sob EAP</w:t>
      </w:r>
    </w:p>
    <w:p w:rsidR="00A81E83" w:rsidRPr="004B208C" w:rsidRDefault="00A81E83" w:rsidP="00C321B6">
      <w:pPr>
        <w:ind w:left="720"/>
        <w:rPr>
          <w:rFonts w:cs="Tahoma"/>
        </w:rPr>
      </w:pPr>
      <w:r w:rsidRPr="004B208C">
        <w:rPr>
          <w:rFonts w:eastAsia="Calibri" w:cs="Tahoma"/>
          <w:color w:val="000000"/>
          <w:szCs w:val="18"/>
        </w:rPr>
        <w:t>Os clientes terão a opção de renovar as licenças do Software Assurance para SQL Server Enterprise Server/CAL depois de 30 de junho de 2012,</w:t>
      </w:r>
      <w:r w:rsidR="00172F11">
        <w:rPr>
          <w:rFonts w:eastAsia="Calibri" w:cs="Tahoma"/>
          <w:b/>
          <w:bCs/>
          <w:color w:val="000000"/>
          <w:szCs w:val="18"/>
        </w:rPr>
        <w:t xml:space="preserve"> </w:t>
      </w:r>
      <w:r w:rsidRPr="004B208C">
        <w:rPr>
          <w:rFonts w:eastAsia="Calibri" w:cs="Tahoma"/>
          <w:color w:val="000000"/>
          <w:szCs w:val="18"/>
        </w:rPr>
        <w:t>no entanto, sua única opção de compra (“buy-out”) no final do prazo do registro será para licenças principais.</w:t>
      </w:r>
    </w:p>
    <w:p w:rsidR="00C321B6" w:rsidRPr="004B208C" w:rsidRDefault="00C321B6" w:rsidP="00C321B6">
      <w:pPr>
        <w:ind w:left="720"/>
        <w:rPr>
          <w:rFonts w:cs="Tahoma"/>
        </w:rPr>
      </w:pPr>
    </w:p>
    <w:p w:rsidR="00C321B6" w:rsidRPr="004B208C" w:rsidRDefault="00A81E83" w:rsidP="00C321B6">
      <w:pPr>
        <w:spacing w:after="60"/>
        <w:ind w:left="720"/>
        <w:rPr>
          <w:rFonts w:cs="Tahoma"/>
        </w:rPr>
      </w:pPr>
      <w:r w:rsidRPr="004B208C">
        <w:rPr>
          <w:rFonts w:eastAsia="Calibri" w:cs="Tahoma"/>
          <w:b/>
          <w:color w:val="000000"/>
          <w:szCs w:val="18"/>
        </w:rPr>
        <w:t>Uso Contínuo do SQL Server 2008 R2 Enterprise</w:t>
      </w:r>
    </w:p>
    <w:p w:rsidR="00A81E83" w:rsidRPr="0086448F" w:rsidRDefault="00A81E83" w:rsidP="00C321B6">
      <w:pPr>
        <w:ind w:left="720"/>
        <w:rPr>
          <w:rFonts w:cs="Tahoma"/>
          <w:spacing w:val="-2"/>
        </w:rPr>
      </w:pPr>
      <w:r w:rsidRPr="0086448F">
        <w:rPr>
          <w:rFonts w:eastAsia="Calibri" w:cs="Tahoma"/>
          <w:color w:val="000000"/>
          <w:spacing w:val="-2"/>
          <w:szCs w:val="18"/>
        </w:rPr>
        <w:t>Os clientes de Software Assurance</w:t>
      </w:r>
      <w:r w:rsidR="00172F11" w:rsidRPr="0086448F">
        <w:rPr>
          <w:rFonts w:eastAsia="Calibri" w:cs="Tahoma"/>
          <w:b/>
          <w:bCs/>
          <w:color w:val="000000"/>
          <w:spacing w:val="-2"/>
          <w:szCs w:val="18"/>
        </w:rPr>
        <w:t xml:space="preserve"> </w:t>
      </w:r>
      <w:r w:rsidRPr="0086448F">
        <w:rPr>
          <w:rFonts w:eastAsia="Calibri" w:cs="Tahoma"/>
          <w:color w:val="000000"/>
          <w:spacing w:val="-2"/>
          <w:szCs w:val="18"/>
        </w:rPr>
        <w:t>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w:t>
      </w:r>
      <w:r w:rsidR="00172F11" w:rsidRPr="0086448F">
        <w:rPr>
          <w:rFonts w:eastAsia="Calibri" w:cs="Tahoma"/>
          <w:color w:val="000000"/>
          <w:spacing w:val="-2"/>
          <w:szCs w:val="18"/>
        </w:rPr>
        <w:t xml:space="preserve"> </w:t>
      </w:r>
      <w:r w:rsidRPr="0086448F">
        <w:rPr>
          <w:rFonts w:eastAsia="Calibri" w:cs="Tahoma"/>
          <w:color w:val="000000"/>
          <w:spacing w:val="-2"/>
          <w:szCs w:val="18"/>
        </w:rPr>
        <w:t>Os clientes que usam o SQL Server 2008 R2 Enterprise sob diretos de fazer downgrade sob as licenças adquiridas depois da renovação de sua cobertura deverão usar o software sob os direitos de uso da versão licenciada.</w:t>
      </w:r>
    </w:p>
    <w:p w:rsidR="00C321B6" w:rsidRPr="004B208C" w:rsidRDefault="00C321B6" w:rsidP="00C321B6">
      <w:pPr>
        <w:ind w:left="720"/>
        <w:rPr>
          <w:rFonts w:cs="Tahoma"/>
        </w:rPr>
      </w:pPr>
    </w:p>
    <w:p w:rsidR="00C321B6" w:rsidRPr="004B208C" w:rsidRDefault="00A81E83" w:rsidP="00C321B6">
      <w:pPr>
        <w:spacing w:after="60"/>
        <w:ind w:left="720"/>
        <w:rPr>
          <w:rFonts w:cs="Tahoma"/>
        </w:rPr>
      </w:pPr>
      <w:r w:rsidRPr="004B208C">
        <w:rPr>
          <w:rFonts w:eastAsia="Calibri" w:cs="Tahoma"/>
          <w:b/>
          <w:color w:val="000000"/>
          <w:szCs w:val="18"/>
        </w:rPr>
        <w:t>Para os clientes localizados na República Popular da China e para os que estão adquirindo licenças e Software Assurance para SQL Server 2008 R2</w:t>
      </w:r>
    </w:p>
    <w:p w:rsidR="00A81E83" w:rsidRPr="004B208C" w:rsidRDefault="00A81E83" w:rsidP="00C321B6">
      <w:pPr>
        <w:ind w:left="720"/>
        <w:rPr>
          <w:rFonts w:cs="Tahoma"/>
        </w:rPr>
      </w:pPr>
      <w:r w:rsidRPr="004B208C">
        <w:rPr>
          <w:rFonts w:cs="Tahoma"/>
        </w:rPr>
        <w:t>As referências a 1</w:t>
      </w:r>
      <w:r w:rsidRPr="004B208C">
        <w:rPr>
          <w:rFonts w:cs="Tahoma"/>
          <w:vertAlign w:val="superscript"/>
        </w:rPr>
        <w:t>º</w:t>
      </w:r>
      <w:r w:rsidRPr="004B208C">
        <w:rPr>
          <w:rFonts w:cs="Tahoma"/>
        </w:rPr>
        <w:t xml:space="preserve"> de abril de 2012 nesta nota da lista de produtos não são aplicáveis. A data aplicável para esses clientes é 1</w:t>
      </w:r>
      <w:r w:rsidRPr="004B208C">
        <w:rPr>
          <w:rFonts w:cs="Tahoma"/>
          <w:vertAlign w:val="superscript"/>
        </w:rPr>
        <w:t>º</w:t>
      </w:r>
      <w:r w:rsidRPr="004B208C">
        <w:rPr>
          <w:rFonts w:cs="Tahoma"/>
        </w:rPr>
        <w:t xml:space="preserve"> de julho de 2012.</w:t>
      </w:r>
    </w:p>
    <w:p w:rsidR="00A81E83" w:rsidRPr="004B208C" w:rsidRDefault="00A81E83" w:rsidP="00C321B6">
      <w:pPr>
        <w:rPr>
          <w:rFonts w:cs="Tahoma"/>
        </w:rPr>
      </w:pPr>
    </w:p>
    <w:p w:rsidR="00A81E83" w:rsidRDefault="00A81E83" w:rsidP="00C321B6">
      <w:pPr>
        <w:rPr>
          <w:rFonts w:cs="Tahoma"/>
        </w:rPr>
      </w:pPr>
    </w:p>
    <w:p w:rsidR="00832805" w:rsidRDefault="00832805" w:rsidP="00C321B6">
      <w:pPr>
        <w:rPr>
          <w:rFonts w:cs="Tahoma"/>
        </w:rPr>
      </w:pPr>
    </w:p>
    <w:p w:rsidR="00832805" w:rsidRDefault="00832805" w:rsidP="00C321B6">
      <w:pPr>
        <w:rPr>
          <w:rFonts w:cs="Tahoma"/>
        </w:rPr>
      </w:pPr>
    </w:p>
    <w:p w:rsidR="00832805" w:rsidRDefault="00832805" w:rsidP="00C321B6">
      <w:pPr>
        <w:rPr>
          <w:rFonts w:cs="Tahoma"/>
        </w:rPr>
      </w:pPr>
    </w:p>
    <w:p w:rsidR="00832805" w:rsidRDefault="00832805" w:rsidP="00C321B6">
      <w:pPr>
        <w:rPr>
          <w:rFonts w:cs="Tahoma"/>
        </w:rPr>
      </w:pPr>
    </w:p>
    <w:p w:rsidR="00832805" w:rsidRPr="004B208C" w:rsidRDefault="00832805" w:rsidP="00C321B6">
      <w:pPr>
        <w:rPr>
          <w:rFonts w:cs="Tahoma"/>
        </w:rPr>
      </w:pPr>
    </w:p>
    <w:p w:rsidR="00A81E83" w:rsidRPr="004B208C" w:rsidRDefault="00A560B6" w:rsidP="001760D6">
      <w:pPr>
        <w:pStyle w:val="Heading3"/>
        <w:keepNext/>
        <w:rPr>
          <w:rFonts w:ascii="Tahoma" w:hAnsi="Tahoma" w:cs="Tahoma"/>
        </w:rPr>
      </w:pPr>
      <w:bookmarkStart w:id="1433" w:name="_80_SQL_Server®"/>
      <w:bookmarkStart w:id="1434" w:name="_87_SQL_Server®"/>
      <w:bookmarkStart w:id="1435" w:name="_Toc336338347"/>
      <w:bookmarkStart w:id="1436" w:name="Srv_89SQLServer2012EnterpriseCore"/>
      <w:bookmarkStart w:id="1437" w:name="_Toc370981460"/>
      <w:bookmarkEnd w:id="1433"/>
      <w:bookmarkEnd w:id="1434"/>
      <w:r w:rsidRPr="004B208C">
        <w:rPr>
          <w:rFonts w:ascii="Tahoma" w:hAnsi="Tahoma" w:cs="Tahoma"/>
          <w:caps/>
          <w:color w:val="F66400"/>
          <w:sz w:val="22"/>
          <w:vertAlign w:val="superscript"/>
        </w:rPr>
        <w:lastRenderedPageBreak/>
        <w:t xml:space="preserve">86 </w:t>
      </w:r>
      <w:r w:rsidRPr="004B208C">
        <w:rPr>
          <w:rFonts w:ascii="Tahoma" w:hAnsi="Tahoma" w:cs="Tahoma"/>
          <w:color w:val="F66400"/>
          <w:sz w:val="22"/>
        </w:rPr>
        <w:t>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2012 Enterprise Core</w:t>
      </w:r>
      <w:bookmarkEnd w:id="1435"/>
      <w:bookmarkEnd w:id="1437"/>
    </w:p>
    <w:bookmarkEnd w:id="1436"/>
    <w:p w:rsidR="00A81E83" w:rsidRPr="004B208C" w:rsidRDefault="00A81E83" w:rsidP="00C321B6">
      <w:pPr>
        <w:pStyle w:val="EndnoteText"/>
        <w:rPr>
          <w:rFonts w:ascii="Tahoma" w:hAnsi="Tahoma" w:cs="Tahoma"/>
        </w:rPr>
      </w:pPr>
    </w:p>
    <w:p w:rsidR="00C321B6" w:rsidRPr="004B208C" w:rsidRDefault="00A81E83" w:rsidP="00C321B6">
      <w:pPr>
        <w:spacing w:after="60"/>
        <w:ind w:left="720"/>
        <w:rPr>
          <w:rFonts w:cs="Tahoma"/>
        </w:rPr>
      </w:pPr>
      <w:r w:rsidRPr="004B208C">
        <w:rPr>
          <w:rFonts w:eastAsia="Calibri" w:cs="Tahoma"/>
          <w:b/>
          <w:color w:val="000000"/>
          <w:szCs w:val="18"/>
        </w:rPr>
        <w:t>Extensão dos Direitos de Uso da Virtualização Ilimitada para SQL Server 2008 R2 Enterprise (por processador)</w:t>
      </w:r>
    </w:p>
    <w:p w:rsidR="00A81E83" w:rsidRPr="004B208C" w:rsidRDefault="00A81E83" w:rsidP="00C321B6">
      <w:pPr>
        <w:ind w:left="720"/>
        <w:rPr>
          <w:rFonts w:cs="Tahoma"/>
        </w:rPr>
      </w:pPr>
      <w:r w:rsidRPr="004B208C">
        <w:rPr>
          <w:rFonts w:eastAsia="Calibri" w:cs="Tahoma"/>
          <w:color w:val="000000"/>
          <w:szCs w:val="18"/>
        </w:rPr>
        <w:t>Não obstante qualquer disposição em contrário nos Direitos de Uso do Produto ou nas versões anteriores da</w:t>
      </w:r>
      <w:r w:rsidR="00C84F74">
        <w:rPr>
          <w:rFonts w:eastAsia="Calibri" w:cs="Tahoma"/>
          <w:color w:val="000000"/>
          <w:szCs w:val="18"/>
        </w:rPr>
        <w:t> </w:t>
      </w:r>
      <w:r w:rsidRPr="004B208C">
        <w:rPr>
          <w:rFonts w:eastAsia="Calibri" w:cs="Tahoma"/>
          <w:color w:val="000000"/>
          <w:szCs w:val="18"/>
        </w:rPr>
        <w:t>Lista de Produtos, se um cliente tiver licenciado todos os processadores físicos em um servidor licenciado e</w:t>
      </w:r>
      <w:r w:rsidR="0086448F">
        <w:rPr>
          <w:rFonts w:eastAsia="Calibri" w:cs="Tahoma"/>
          <w:color w:val="000000"/>
          <w:szCs w:val="18"/>
        </w:rPr>
        <w:t> </w:t>
      </w:r>
      <w:r w:rsidRPr="004B208C">
        <w:rPr>
          <w:rFonts w:eastAsia="Calibri" w:cs="Tahoma"/>
          <w:color w:val="000000"/>
          <w:szCs w:val="18"/>
        </w:rPr>
        <w:t xml:space="preserve">mantiver Software Assurance ativo nessas licenças, o cliente poderá continuar a executar o software para servidores em um número ilimitado de ambientes do sistema operacional naquele servidor. </w:t>
      </w:r>
    </w:p>
    <w:p w:rsidR="00C321B6" w:rsidRPr="004B208C" w:rsidRDefault="00C321B6" w:rsidP="00C321B6">
      <w:pPr>
        <w:ind w:left="720"/>
        <w:rPr>
          <w:rFonts w:cs="Tahoma"/>
        </w:rPr>
      </w:pPr>
    </w:p>
    <w:p w:rsidR="00C321B6" w:rsidRPr="004B208C" w:rsidRDefault="00A81E83" w:rsidP="00C321B6">
      <w:pPr>
        <w:spacing w:after="60"/>
        <w:ind w:left="720"/>
        <w:rPr>
          <w:rFonts w:cs="Tahoma"/>
        </w:rPr>
      </w:pPr>
      <w:r w:rsidRPr="004B208C">
        <w:rPr>
          <w:rFonts w:eastAsia="Calibri" w:cs="Tahoma"/>
          <w:b/>
          <w:color w:val="000000"/>
          <w:szCs w:val="18"/>
        </w:rPr>
        <w:t>Outorgas de Licença Associadas à Alteração no Modelo de Licenciamento</w:t>
      </w:r>
    </w:p>
    <w:p w:rsidR="00A81E83" w:rsidRPr="0086448F" w:rsidRDefault="00A81E83" w:rsidP="00C321B6">
      <w:pPr>
        <w:ind w:left="720"/>
        <w:rPr>
          <w:rFonts w:cs="Tahoma"/>
        </w:rPr>
      </w:pPr>
      <w:r w:rsidRPr="0086448F">
        <w:rPr>
          <w:rFonts w:eastAsia="Calibri" w:cs="Tahoma"/>
          <w:color w:val="000000"/>
          <w:szCs w:val="18"/>
        </w:rPr>
        <w:t>O SQL Server 2008 R2 será a última versão do SQL Server licenciada sob o modelo de licenciamento por processador.</w:t>
      </w:r>
      <w:r w:rsidR="00172F11" w:rsidRPr="0086448F">
        <w:rPr>
          <w:rFonts w:eastAsia="Calibri" w:cs="Tahoma"/>
          <w:color w:val="000000"/>
          <w:szCs w:val="18"/>
        </w:rPr>
        <w:t xml:space="preserve"> </w:t>
      </w:r>
      <w:r w:rsidRPr="0086448F">
        <w:rPr>
          <w:rFonts w:eastAsia="Calibri" w:cs="Tahoma"/>
          <w:color w:val="000000"/>
          <w:szCs w:val="18"/>
        </w:rPr>
        <w:t>Como uma exceção, aos clientes de Licenciamento por Volume com Software Assurance ativo</w:t>
      </w:r>
      <w:r w:rsidR="0086448F">
        <w:rPr>
          <w:rFonts w:eastAsia="Calibri" w:cs="Tahoma"/>
          <w:color w:val="000000"/>
          <w:szCs w:val="18"/>
        </w:rPr>
        <w:t> </w:t>
      </w:r>
      <w:r w:rsidRPr="0086448F">
        <w:rPr>
          <w:rFonts w:eastAsia="Calibri" w:cs="Tahoma"/>
          <w:color w:val="000000"/>
          <w:szCs w:val="18"/>
        </w:rPr>
        <w:t xml:space="preserve">para licenças do processador do SQL Server 2008 R2 Enterprise em 1º de abril de 2012 (“licenças qualificadas”) são concedidas as seguintes opções. As licenças do processador do SQL Server 2008 R2 Enterprise </w:t>
      </w:r>
      <w:r w:rsidRPr="0086448F">
        <w:rPr>
          <w:rFonts w:cs="Tahoma"/>
          <w:bCs/>
          <w:color w:val="000000"/>
          <w:szCs w:val="18"/>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w:t>
      </w:r>
      <w:r w:rsidR="0086448F">
        <w:rPr>
          <w:rFonts w:cs="Tahoma"/>
          <w:bCs/>
          <w:color w:val="000000"/>
          <w:szCs w:val="18"/>
        </w:rPr>
        <w:t> </w:t>
      </w:r>
      <w:r w:rsidRPr="0086448F">
        <w:rPr>
          <w:rFonts w:cs="Tahoma"/>
          <w:bCs/>
          <w:color w:val="000000"/>
          <w:szCs w:val="18"/>
        </w:rPr>
        <w:t>dessas opções.</w:t>
      </w:r>
      <w:r w:rsidR="00172F11" w:rsidRPr="0086448F">
        <w:rPr>
          <w:rFonts w:cs="Tahoma"/>
          <w:bCs/>
          <w:color w:val="000000"/>
          <w:szCs w:val="18"/>
        </w:rPr>
        <w:t xml:space="preserve"> </w:t>
      </w:r>
      <w:r w:rsidRPr="0086448F">
        <w:rPr>
          <w:rFonts w:cs="Tahoma"/>
          <w:bCs/>
          <w:color w:val="000000"/>
          <w:szCs w:val="18"/>
        </w:rPr>
        <w:t>As licenças adquiridas depois de 1º de abril de 2015 ou sob um prazo de registro subsequente, um contrato separado ou qualquer registro com uma data de início de vigência após 1º</w:t>
      </w:r>
      <w:r w:rsidR="0086448F">
        <w:rPr>
          <w:rFonts w:cs="Tahoma"/>
          <w:bCs/>
          <w:color w:val="000000"/>
          <w:szCs w:val="18"/>
        </w:rPr>
        <w:t> </w:t>
      </w:r>
      <w:r w:rsidRPr="0086448F">
        <w:rPr>
          <w:rFonts w:cs="Tahoma"/>
          <w:bCs/>
          <w:color w:val="000000"/>
          <w:szCs w:val="18"/>
        </w:rPr>
        <w:t>de</w:t>
      </w:r>
      <w:r w:rsidR="0086448F">
        <w:rPr>
          <w:rFonts w:cs="Tahoma"/>
          <w:bCs/>
          <w:color w:val="000000"/>
          <w:szCs w:val="18"/>
        </w:rPr>
        <w:t> </w:t>
      </w:r>
      <w:r w:rsidRPr="0086448F">
        <w:rPr>
          <w:rFonts w:cs="Tahoma"/>
          <w:bCs/>
          <w:color w:val="000000"/>
          <w:szCs w:val="18"/>
        </w:rPr>
        <w:t>abril de 2012 não são licenças qualificadas.</w:t>
      </w:r>
    </w:p>
    <w:p w:rsidR="00F94F25" w:rsidRPr="004B208C" w:rsidRDefault="00F94F25" w:rsidP="00F94F25">
      <w:pPr>
        <w:spacing w:after="60"/>
        <w:ind w:left="720"/>
        <w:rPr>
          <w:rFonts w:cs="Tahoma"/>
        </w:rPr>
      </w:pPr>
      <w:r w:rsidRPr="004B208C">
        <w:rPr>
          <w:rFonts w:eastAsia="Calibri" w:cs="Tahoma"/>
          <w:b/>
          <w:color w:val="000000"/>
          <w:szCs w:val="18"/>
        </w:rPr>
        <w:t>Prazo Atual</w:t>
      </w:r>
    </w:p>
    <w:p w:rsidR="00A81E83" w:rsidRPr="004B208C" w:rsidRDefault="00A81E83" w:rsidP="00F94F25">
      <w:pPr>
        <w:ind w:left="720"/>
        <w:rPr>
          <w:rFonts w:cs="Tahoma"/>
        </w:rPr>
      </w:pPr>
      <w:r w:rsidRPr="004B208C">
        <w:rPr>
          <w:rFonts w:eastAsia="Calibri" w:cs="Tahoma"/>
          <w:color w:val="000000"/>
          <w:szCs w:val="18"/>
        </w:rPr>
        <w:t xml:space="preserve">Durante o prazo atual da sua cobertura de Software Assurance a partir de 1º de abril de 2012, os clientes (incluindo aqueles sob contratos de assinatura) podem, sob qualquer licença qualificada, atualizar e usar o SQL Server 2012 Enterprise Core em vez do SQL Server 2008 R2 Enterprise sujeito aos direitos de uso do produto de licença do processador do SQL Server 2008 R2 Enterprise (conforme os Direitos de Uso do Produto de janeiro de 2012). </w:t>
      </w:r>
    </w:p>
    <w:p w:rsidR="00F94F25" w:rsidRPr="004B208C" w:rsidRDefault="00F94F25" w:rsidP="00F94F25">
      <w:pPr>
        <w:ind w:left="720"/>
        <w:rPr>
          <w:rFonts w:cs="Tahoma"/>
        </w:rPr>
      </w:pPr>
    </w:p>
    <w:p w:rsidR="00F94F25" w:rsidRPr="004B208C" w:rsidRDefault="00A81E83" w:rsidP="00F94F25">
      <w:pPr>
        <w:spacing w:after="60"/>
        <w:ind w:left="720"/>
        <w:rPr>
          <w:rFonts w:cs="Tahoma"/>
        </w:rPr>
      </w:pPr>
      <w:r w:rsidRPr="004B208C">
        <w:rPr>
          <w:rFonts w:eastAsia="Calibri" w:cs="Tahoma"/>
          <w:b/>
          <w:color w:val="000000"/>
          <w:szCs w:val="18"/>
        </w:rPr>
        <w:t>Primeiro Prazo de Renovação (antes de 1º de abril de 2015)</w:t>
      </w:r>
    </w:p>
    <w:p w:rsidR="00A81E83" w:rsidRPr="004B208C" w:rsidRDefault="00A81E83" w:rsidP="00F94F25">
      <w:pPr>
        <w:tabs>
          <w:tab w:val="left" w:pos="1440"/>
        </w:tabs>
        <w:ind w:left="720"/>
        <w:rPr>
          <w:rFonts w:cs="Tahoma"/>
        </w:rPr>
      </w:pPr>
      <w:r w:rsidRPr="004B208C">
        <w:rPr>
          <w:rFonts w:eastAsia="Calibri" w:cs="Tahoma"/>
          <w:color w:val="000000"/>
          <w:szCs w:val="18"/>
        </w:rPr>
        <w:t>Na sua primeira renovação de Software Assurance em ou depois de 1º de abril de 2012 (mas antes de 1º</w:t>
      </w:r>
      <w:r w:rsidR="0086448F">
        <w:rPr>
          <w:rFonts w:eastAsia="Calibri" w:cs="Tahoma"/>
          <w:color w:val="000000"/>
          <w:szCs w:val="18"/>
        </w:rPr>
        <w:t> </w:t>
      </w:r>
      <w:r w:rsidRPr="004B208C">
        <w:rPr>
          <w:rFonts w:eastAsia="Calibri" w:cs="Tahoma"/>
          <w:color w:val="000000"/>
          <w:szCs w:val="18"/>
        </w:rPr>
        <w:t>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2512D3" w:rsidRPr="004B208C" w:rsidRDefault="002512D3">
      <w:pPr>
        <w:rPr>
          <w:rFonts w:cs="Tahoma"/>
        </w:rPr>
      </w:pPr>
    </w:p>
    <w:p w:rsidR="00A81E83" w:rsidRPr="004B208C" w:rsidRDefault="00A81E83" w:rsidP="00A1385C">
      <w:pPr>
        <w:numPr>
          <w:ilvl w:val="0"/>
          <w:numId w:val="113"/>
        </w:numPr>
        <w:tabs>
          <w:tab w:val="left" w:pos="1800"/>
        </w:tabs>
        <w:spacing w:after="60"/>
        <w:ind w:left="1440"/>
        <w:rPr>
          <w:rFonts w:cs="Tahoma"/>
        </w:rPr>
      </w:pPr>
      <w:r w:rsidRPr="004B208C">
        <w:rPr>
          <w:rFonts w:eastAsia="Calibri" w:cs="Tahoma"/>
          <w:color w:val="000000"/>
          <w:szCs w:val="18"/>
        </w:rPr>
        <w:t xml:space="preserve">um número igual ao menor número de licenças qualificadas atribuído ao servidor ou o número total de processadores físicos no servidor multiplicado pelo maior de: </w:t>
      </w:r>
    </w:p>
    <w:p w:rsidR="00A81E83" w:rsidRPr="004B208C" w:rsidRDefault="00A81E83" w:rsidP="00A1385C">
      <w:pPr>
        <w:numPr>
          <w:ilvl w:val="3"/>
          <w:numId w:val="88"/>
        </w:numPr>
        <w:tabs>
          <w:tab w:val="left" w:pos="2160"/>
        </w:tabs>
        <w:spacing w:after="60"/>
        <w:ind w:left="2160"/>
        <w:rPr>
          <w:rFonts w:cs="Tahoma"/>
        </w:rPr>
      </w:pPr>
      <w:r w:rsidRPr="004B208C">
        <w:rPr>
          <w:rFonts w:eastAsia="Calibri" w:cs="Tahoma"/>
          <w:color w:val="000000"/>
          <w:szCs w:val="18"/>
        </w:rPr>
        <w:t>Quatro OU</w:t>
      </w:r>
    </w:p>
    <w:p w:rsidR="00A81E83" w:rsidRPr="004B208C" w:rsidRDefault="00A81E83" w:rsidP="00A1385C">
      <w:pPr>
        <w:numPr>
          <w:ilvl w:val="3"/>
          <w:numId w:val="88"/>
        </w:numPr>
        <w:tabs>
          <w:tab w:val="left" w:pos="2160"/>
        </w:tabs>
        <w:spacing w:after="60"/>
        <w:ind w:left="2160"/>
        <w:rPr>
          <w:rFonts w:cs="Tahoma"/>
        </w:rPr>
      </w:pPr>
      <w:r w:rsidRPr="004B208C">
        <w:rPr>
          <w:rFonts w:eastAsia="Calibri" w:cs="Tahoma"/>
          <w:color w:val="000000"/>
          <w:szCs w:val="18"/>
        </w:rPr>
        <w:t>o número real de núcleos por processador físico multiplicado pelo fator do núcleo apropriado.</w:t>
      </w:r>
      <w:r w:rsidR="00172F11">
        <w:rPr>
          <w:rFonts w:eastAsia="Calibri" w:cs="Tahoma"/>
          <w:color w:val="000000"/>
          <w:szCs w:val="18"/>
        </w:rPr>
        <w:t xml:space="preserve"> </w:t>
      </w:r>
      <w:r w:rsidRPr="004B208C">
        <w:rPr>
          <w:rFonts w:eastAsia="Calibri" w:cs="Tahoma"/>
          <w:color w:val="000000"/>
          <w:szCs w:val="18"/>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 </w:t>
      </w:r>
    </w:p>
    <w:p w:rsidR="00A81E83" w:rsidRPr="004B208C" w:rsidRDefault="00A81E83" w:rsidP="00A1385C">
      <w:pPr>
        <w:numPr>
          <w:ilvl w:val="0"/>
          <w:numId w:val="113"/>
        </w:numPr>
        <w:tabs>
          <w:tab w:val="left" w:pos="1800"/>
        </w:tabs>
        <w:spacing w:after="60"/>
        <w:ind w:left="1440"/>
        <w:rPr>
          <w:rFonts w:cs="Tahoma"/>
        </w:rPr>
      </w:pPr>
      <w:r w:rsidRPr="004B208C">
        <w:rPr>
          <w:rFonts w:eastAsia="Calibri" w:cs="Tahoma"/>
          <w:color w:val="000000"/>
          <w:szCs w:val="18"/>
        </w:rPr>
        <w:t>um número igual ao número das licenças qualificadas atribuído ao servidor em excesso do número real de processadores físicos no servidor multiplicado por quatro.</w:t>
      </w:r>
    </w:p>
    <w:p w:rsidR="00F94F25" w:rsidRPr="004B208C" w:rsidRDefault="00F94F25" w:rsidP="00F94F25">
      <w:pPr>
        <w:tabs>
          <w:tab w:val="left" w:pos="1800"/>
        </w:tabs>
        <w:ind w:left="1080"/>
        <w:rPr>
          <w:rFonts w:cs="Tahoma"/>
        </w:rPr>
      </w:pPr>
    </w:p>
    <w:p w:rsidR="00F94F25" w:rsidRPr="004B208C" w:rsidRDefault="007A34E3" w:rsidP="00F94F25">
      <w:pPr>
        <w:spacing w:after="60"/>
        <w:ind w:left="720"/>
        <w:rPr>
          <w:rFonts w:cs="Tahoma"/>
        </w:rPr>
      </w:pPr>
      <w:r w:rsidRPr="004B208C">
        <w:rPr>
          <w:rFonts w:eastAsia="Calibri" w:cs="Tahoma"/>
          <w:b/>
          <w:color w:val="000000"/>
          <w:szCs w:val="18"/>
        </w:rPr>
        <w:t>Primeiro Prazo de Renovação em ou após 1º de abril de 2015</w:t>
      </w:r>
    </w:p>
    <w:p w:rsidR="00A81E83" w:rsidRPr="004B208C" w:rsidRDefault="00A81E83" w:rsidP="00F94F25">
      <w:pPr>
        <w:ind w:left="720"/>
        <w:rPr>
          <w:rFonts w:cs="Tahoma"/>
        </w:rPr>
      </w:pPr>
      <w:r w:rsidRPr="004B208C">
        <w:rPr>
          <w:rFonts w:eastAsia="Calibri" w:cs="Tahoma"/>
          <w:color w:val="000000"/>
          <w:szCs w:val="18"/>
        </w:rPr>
        <w:t>Os clientes que renovaram primeiro a cobertura em ou depois de 1o. de abril de 2015</w:t>
      </w:r>
      <w:r w:rsidRPr="004B208C">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F94F25" w:rsidRPr="004B208C" w:rsidRDefault="00F94F25" w:rsidP="00F94F25">
      <w:pPr>
        <w:ind w:left="720"/>
        <w:rPr>
          <w:rFonts w:cs="Tahoma"/>
        </w:rPr>
      </w:pPr>
    </w:p>
    <w:p w:rsidR="00A81E83" w:rsidRPr="004B208C" w:rsidRDefault="00A81E83" w:rsidP="00A1385C">
      <w:pPr>
        <w:numPr>
          <w:ilvl w:val="3"/>
          <w:numId w:val="89"/>
        </w:numPr>
        <w:spacing w:after="60"/>
        <w:ind w:left="1440" w:hanging="360"/>
        <w:rPr>
          <w:rFonts w:cs="Tahoma"/>
        </w:rPr>
      </w:pPr>
      <w:r w:rsidRPr="004B208C">
        <w:rPr>
          <w:rFonts w:eastAsia="Calibri" w:cs="Tahoma"/>
          <w:szCs w:val="18"/>
        </w:rPr>
        <w:t>Conforme fornecido no primeiro parágrafo desta nota do produto, as licenças adquiridas antes de 1</w:t>
      </w:r>
      <w:r w:rsidRPr="004B208C">
        <w:rPr>
          <w:rFonts w:eastAsia="Calibri" w:cs="Tahoma"/>
          <w:szCs w:val="18"/>
          <w:vertAlign w:val="superscript"/>
        </w:rPr>
        <w:t>º</w:t>
      </w:r>
      <w:r w:rsidRPr="004B208C">
        <w:rPr>
          <w:rFonts w:eastAsia="Calibri" w:cs="Tahoma"/>
          <w:szCs w:val="18"/>
        </w:rPr>
        <w:t xml:space="preserve"> de abril de 2015 são licenças qualificadas, e os clientes poderão renovar o SA de acordo com os termos na seção “Primeiro Prazo de Renovação (Antes de 1</w:t>
      </w:r>
      <w:r w:rsidRPr="004B208C">
        <w:rPr>
          <w:rFonts w:eastAsia="Calibri" w:cs="Tahoma"/>
          <w:szCs w:val="18"/>
          <w:vertAlign w:val="superscript"/>
        </w:rPr>
        <w:t>º</w:t>
      </w:r>
      <w:r w:rsidRPr="004B208C">
        <w:rPr>
          <w:rFonts w:eastAsia="Calibri" w:cs="Tahoma"/>
          <w:szCs w:val="18"/>
        </w:rPr>
        <w:t xml:space="preserve"> de abril de 2015)“ acima e</w:t>
      </w:r>
    </w:p>
    <w:p w:rsidR="00A81E83" w:rsidRPr="004B208C" w:rsidRDefault="00A81E83" w:rsidP="00A1385C">
      <w:pPr>
        <w:numPr>
          <w:ilvl w:val="3"/>
          <w:numId w:val="89"/>
        </w:numPr>
        <w:spacing w:after="60"/>
        <w:ind w:left="1440" w:hanging="360"/>
        <w:rPr>
          <w:rFonts w:cs="Tahoma"/>
        </w:rPr>
      </w:pPr>
      <w:r w:rsidRPr="004B208C">
        <w:rPr>
          <w:rFonts w:eastAsia="Calibri" w:cs="Tahoma"/>
          <w:szCs w:val="18"/>
        </w:rPr>
        <w:lastRenderedPageBreak/>
        <w:t>Para as licenças adquiridas depois de 1</w:t>
      </w:r>
      <w:r w:rsidRPr="004B208C">
        <w:rPr>
          <w:rFonts w:eastAsia="Calibri" w:cs="Tahoma"/>
          <w:szCs w:val="18"/>
          <w:vertAlign w:val="superscript"/>
        </w:rPr>
        <w:t>º</w:t>
      </w:r>
      <w:r w:rsidRPr="004B208C">
        <w:rPr>
          <w:rFonts w:eastAsia="Calibri" w:cs="Tahoma"/>
          <w:szCs w:val="18"/>
        </w:rPr>
        <w:t xml:space="preserve">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w:t>
      </w:r>
      <w:r w:rsidR="0086448F">
        <w:rPr>
          <w:rFonts w:eastAsia="Calibri" w:cs="Tahoma"/>
          <w:szCs w:val="18"/>
        </w:rPr>
        <w:t> </w:t>
      </w:r>
      <w:r w:rsidRPr="004B208C">
        <w:rPr>
          <w:rFonts w:eastAsia="Calibri" w:cs="Tahoma"/>
          <w:szCs w:val="18"/>
        </w:rPr>
        <w:t>cliente tem que adquirir licenças principais adicionais.</w:t>
      </w:r>
    </w:p>
    <w:p w:rsidR="00A81E83" w:rsidRPr="0086448F" w:rsidRDefault="00A81E83" w:rsidP="00A1385C">
      <w:pPr>
        <w:numPr>
          <w:ilvl w:val="0"/>
          <w:numId w:val="138"/>
        </w:numPr>
        <w:spacing w:after="60"/>
        <w:ind w:left="1440"/>
        <w:rPr>
          <w:rFonts w:cs="Tahoma"/>
        </w:rPr>
      </w:pPr>
      <w:r w:rsidRPr="0086448F">
        <w:rPr>
          <w:rFonts w:eastAsia="Calibri" w:cs="Tahoma"/>
          <w:color w:val="000000"/>
          <w:szCs w:val="18"/>
        </w:rPr>
        <w:t xml:space="preserve">As licenças do processador dos clientes não são mais válidas na aquisição do Software Assurance para as licenças principais sob esta oferta. </w:t>
      </w:r>
      <w:r w:rsidRPr="0086448F">
        <w:rPr>
          <w:rFonts w:eastAsia="Calibri" w:cs="Tahoma"/>
          <w:szCs w:val="18"/>
        </w:rPr>
        <w:t>A opção de adquirir o Software Assurance para licenças principais do SQL Server não é aplicável à renovação de cobertura sob os programas de assinatura.</w:t>
      </w:r>
      <w:r w:rsidR="00172F11" w:rsidRPr="0086448F">
        <w:rPr>
          <w:rFonts w:eastAsia="Calibri" w:cs="Tahoma"/>
          <w:szCs w:val="18"/>
        </w:rPr>
        <w:t xml:space="preserve"> </w:t>
      </w:r>
    </w:p>
    <w:p w:rsidR="00F94F25" w:rsidRPr="004B208C" w:rsidRDefault="00F94F25" w:rsidP="00F94F25">
      <w:pPr>
        <w:ind w:left="1440"/>
        <w:rPr>
          <w:rFonts w:cs="Tahoma"/>
        </w:rPr>
      </w:pPr>
    </w:p>
    <w:p w:rsidR="00204D6D" w:rsidRPr="004B208C" w:rsidRDefault="00A81E83" w:rsidP="00204D6D">
      <w:pPr>
        <w:tabs>
          <w:tab w:val="left" w:pos="1440"/>
        </w:tabs>
        <w:spacing w:after="60"/>
        <w:ind w:left="720"/>
        <w:rPr>
          <w:rFonts w:cs="Tahoma"/>
        </w:rPr>
      </w:pPr>
      <w:r w:rsidRPr="004B208C">
        <w:rPr>
          <w:rFonts w:eastAsia="Calibri" w:cs="Tahoma"/>
          <w:b/>
          <w:color w:val="000000"/>
          <w:szCs w:val="18"/>
        </w:rPr>
        <w:t>Para os clientes com cobertura de Software Assurance que expiram antes de 1º de abril de 2015 que optaram pela não renovação</w:t>
      </w:r>
    </w:p>
    <w:p w:rsidR="00A81E83" w:rsidRPr="004B208C" w:rsidRDefault="00A81E83" w:rsidP="00204D6D">
      <w:pPr>
        <w:tabs>
          <w:tab w:val="left" w:pos="1440"/>
        </w:tabs>
        <w:ind w:left="720"/>
        <w:rPr>
          <w:rFonts w:cs="Tahoma"/>
        </w:rPr>
      </w:pPr>
      <w:r w:rsidRPr="004B208C">
        <w:rPr>
          <w:rFonts w:eastAsia="Calibri" w:cs="Tahoma"/>
          <w:color w:val="000000"/>
          <w:szCs w:val="18"/>
        </w:rPr>
        <w:t xml:space="preserve">Os clientes do Enterprise Subscription </w:t>
      </w:r>
      <w:r w:rsidRPr="004B208C">
        <w:rPr>
          <w:rFonts w:cs="Tahoma"/>
          <w:bCs/>
          <w:color w:val="000000"/>
          <w:szCs w:val="18"/>
        </w:rPr>
        <w:t xml:space="preserve">e Open Value Subscription </w:t>
      </w:r>
      <w:r w:rsidRPr="004B208C">
        <w:rPr>
          <w:rFonts w:eastAsia="Calibri" w:cs="Tahoma"/>
          <w:color w:val="000000"/>
          <w:szCs w:val="18"/>
        </w:rPr>
        <w:t>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204D6D" w:rsidRPr="004B208C" w:rsidRDefault="00204D6D" w:rsidP="00204D6D">
      <w:pPr>
        <w:tabs>
          <w:tab w:val="left" w:pos="1440"/>
        </w:tabs>
        <w:ind w:left="720"/>
        <w:rPr>
          <w:rFonts w:cs="Tahoma"/>
        </w:rPr>
      </w:pPr>
    </w:p>
    <w:p w:rsidR="00A81E83" w:rsidRPr="004B208C" w:rsidRDefault="00A81E83" w:rsidP="00A1385C">
      <w:pPr>
        <w:numPr>
          <w:ilvl w:val="0"/>
          <w:numId w:val="51"/>
        </w:numPr>
        <w:spacing w:after="60"/>
        <w:ind w:left="1440"/>
        <w:rPr>
          <w:rFonts w:cs="Tahoma"/>
        </w:rPr>
      </w:pPr>
      <w:r w:rsidRPr="004B208C">
        <w:rPr>
          <w:rFonts w:eastAsia="Calibri" w:cs="Tahoma"/>
          <w:b/>
          <w:color w:val="000000"/>
          <w:szCs w:val="18"/>
        </w:rPr>
        <w:t>SQL Server 2008 R2 Enterprise:</w:t>
      </w:r>
      <w:r w:rsidRPr="004B208C">
        <w:rPr>
          <w:rFonts w:eastAsia="Calibri" w:cs="Tahoma"/>
          <w:color w:val="000000"/>
          <w:szCs w:val="18"/>
        </w:rPr>
        <w:t xml:space="preserve"> 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 </w:t>
      </w:r>
    </w:p>
    <w:p w:rsidR="00A81E83" w:rsidRPr="004B208C" w:rsidRDefault="00A81E83" w:rsidP="00A1385C">
      <w:pPr>
        <w:numPr>
          <w:ilvl w:val="0"/>
          <w:numId w:val="51"/>
        </w:numPr>
        <w:tabs>
          <w:tab w:val="left" w:pos="1800"/>
        </w:tabs>
        <w:spacing w:after="60"/>
        <w:ind w:left="1440"/>
        <w:rPr>
          <w:rFonts w:cs="Tahoma"/>
        </w:rPr>
      </w:pPr>
      <w:r w:rsidRPr="004B208C">
        <w:rPr>
          <w:rFonts w:eastAsia="Calibri" w:cs="Tahoma"/>
          <w:b/>
          <w:color w:val="000000"/>
          <w:szCs w:val="18"/>
        </w:rPr>
        <w:t xml:space="preserve">SQL Server 2012 Enterprise Core: </w:t>
      </w:r>
      <w:r w:rsidRPr="004B208C">
        <w:rPr>
          <w:rFonts w:eastAsia="Calibri" w:cs="Tahoma"/>
          <w:color w:val="000000"/>
          <w:szCs w:val="18"/>
        </w:rPr>
        <w:t>O uso desta versão do software está sujeito aos direitos de</w:t>
      </w:r>
      <w:r w:rsidR="0086448F">
        <w:rPr>
          <w:rFonts w:eastAsia="Calibri" w:cs="Tahoma"/>
          <w:color w:val="000000"/>
          <w:szCs w:val="18"/>
        </w:rPr>
        <w:t> </w:t>
      </w:r>
      <w:r w:rsidRPr="004B208C">
        <w:rPr>
          <w:rFonts w:eastAsia="Calibri" w:cs="Tahoma"/>
          <w:color w:val="000000"/>
          <w:szCs w:val="18"/>
        </w:rPr>
        <w:t xml:space="preserve">uso do produto de licença do processador do SQL Server 2008 R2 Enterprise, no entanto: </w:t>
      </w:r>
    </w:p>
    <w:p w:rsidR="00A81E83" w:rsidRPr="004B208C" w:rsidRDefault="00A81E83" w:rsidP="00A1385C">
      <w:pPr>
        <w:numPr>
          <w:ilvl w:val="1"/>
          <w:numId w:val="51"/>
        </w:numPr>
        <w:tabs>
          <w:tab w:val="left" w:pos="2160"/>
        </w:tabs>
        <w:spacing w:after="60"/>
        <w:ind w:left="2160"/>
        <w:rPr>
          <w:rFonts w:cs="Tahoma"/>
        </w:rPr>
      </w:pPr>
      <w:r w:rsidRPr="004B208C">
        <w:rPr>
          <w:rFonts w:eastAsia="Calibri" w:cs="Tahoma"/>
          <w:color w:val="000000"/>
          <w:szCs w:val="18"/>
        </w:rPr>
        <w:t xml:space="preserve">os clientes não têm mais direitos de uso de Virtualização Ilimitada, Mobilidade de Licença nos Farms de Servidores nem Mobilidade de Licença por meio de Software Assurance e </w:t>
      </w:r>
    </w:p>
    <w:p w:rsidR="00A81E83" w:rsidRPr="004B208C" w:rsidRDefault="00A81E83" w:rsidP="00A1385C">
      <w:pPr>
        <w:numPr>
          <w:ilvl w:val="1"/>
          <w:numId w:val="51"/>
        </w:numPr>
        <w:tabs>
          <w:tab w:val="left" w:pos="2160"/>
          <w:tab w:val="left" w:pos="2970"/>
        </w:tabs>
        <w:spacing w:after="60"/>
        <w:ind w:left="2160"/>
        <w:rPr>
          <w:rFonts w:cs="Tahoma"/>
        </w:rPr>
      </w:pPr>
      <w:r w:rsidRPr="004B208C">
        <w:rPr>
          <w:rFonts w:eastAsia="Calibri" w:cs="Tahoma"/>
          <w:color w:val="000000"/>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4B208C" w:rsidRDefault="00A81E83" w:rsidP="00A1385C">
      <w:pPr>
        <w:numPr>
          <w:ilvl w:val="2"/>
          <w:numId w:val="51"/>
        </w:numPr>
        <w:tabs>
          <w:tab w:val="left" w:pos="2520"/>
        </w:tabs>
        <w:spacing w:after="60"/>
        <w:ind w:left="2520"/>
        <w:rPr>
          <w:rFonts w:cs="Tahoma"/>
        </w:rPr>
      </w:pPr>
      <w:r w:rsidRPr="004B208C">
        <w:rPr>
          <w:rFonts w:eastAsia="Calibri" w:cs="Tahoma"/>
          <w:color w:val="000000"/>
          <w:szCs w:val="18"/>
        </w:rPr>
        <w:t xml:space="preserve">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principal é maior do que: </w:t>
      </w:r>
    </w:p>
    <w:p w:rsidR="00A81E83" w:rsidRPr="0086448F" w:rsidRDefault="00A81E83" w:rsidP="00A1385C">
      <w:pPr>
        <w:numPr>
          <w:ilvl w:val="0"/>
          <w:numId w:val="139"/>
        </w:numPr>
        <w:tabs>
          <w:tab w:val="left" w:pos="2880"/>
        </w:tabs>
        <w:spacing w:after="60"/>
        <w:ind w:left="2880"/>
        <w:rPr>
          <w:rFonts w:cs="Tahoma"/>
        </w:rPr>
      </w:pPr>
      <w:r w:rsidRPr="0086448F">
        <w:rPr>
          <w:rFonts w:eastAsia="Calibri" w:cs="Tahoma"/>
          <w:color w:val="000000"/>
          <w:szCs w:val="18"/>
        </w:rPr>
        <w:t xml:space="preserve">quatro núcleos por licença de processador OU </w:t>
      </w:r>
    </w:p>
    <w:p w:rsidR="00A81E83" w:rsidRPr="004B208C" w:rsidRDefault="00A81E83" w:rsidP="00A1385C">
      <w:pPr>
        <w:numPr>
          <w:ilvl w:val="0"/>
          <w:numId w:val="139"/>
        </w:numPr>
        <w:tabs>
          <w:tab w:val="left" w:pos="2880"/>
        </w:tabs>
        <w:spacing w:after="60"/>
        <w:ind w:left="2880"/>
        <w:rPr>
          <w:rFonts w:cs="Tahoma"/>
        </w:rPr>
      </w:pPr>
      <w:r w:rsidRPr="004B208C">
        <w:rPr>
          <w:rFonts w:eastAsia="Calibri" w:cs="Tahoma"/>
          <w:color w:val="000000"/>
          <w:szCs w:val="18"/>
        </w:rPr>
        <w:t>um número de núcleos por licença do processador com base no número real de</w:t>
      </w:r>
      <w:r w:rsidR="0086448F">
        <w:rPr>
          <w:rFonts w:eastAsia="Calibri" w:cs="Tahoma"/>
          <w:color w:val="000000"/>
          <w:szCs w:val="18"/>
        </w:rPr>
        <w:t> </w:t>
      </w:r>
      <w:r w:rsidRPr="004B208C">
        <w:rPr>
          <w:rFonts w:eastAsia="Calibri" w:cs="Tahoma"/>
          <w:color w:val="000000"/>
          <w:szCs w:val="18"/>
        </w:rPr>
        <w:t>núcleos por processador físico multiplicado pelo fator de núcleo apropriado. (Nos</w:t>
      </w:r>
      <w:r w:rsidR="0086448F">
        <w:rPr>
          <w:rFonts w:eastAsia="Calibri" w:cs="Tahoma"/>
          <w:color w:val="000000"/>
          <w:szCs w:val="18"/>
        </w:rPr>
        <w:t> </w:t>
      </w:r>
      <w:r w:rsidRPr="004B208C">
        <w:rPr>
          <w:rFonts w:eastAsia="Calibri" w:cs="Tahoma"/>
          <w:color w:val="000000"/>
          <w:szCs w:val="18"/>
        </w:rPr>
        <w:t>casos em que o número real de núcleos por processador físico excede quatro, os</w:t>
      </w:r>
      <w:r w:rsidR="0086448F">
        <w:rPr>
          <w:rFonts w:eastAsia="Calibri" w:cs="Tahoma"/>
          <w:color w:val="000000"/>
          <w:szCs w:val="18"/>
        </w:rPr>
        <w:t> </w:t>
      </w:r>
      <w:r w:rsidRPr="004B208C">
        <w:rPr>
          <w:rFonts w:eastAsia="Calibri" w:cs="Tahoma"/>
          <w:color w:val="000000"/>
          <w:szCs w:val="18"/>
        </w:rPr>
        <w:t xml:space="preserve">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 </w:t>
      </w:r>
    </w:p>
    <w:p w:rsidR="00A81E83" w:rsidRPr="004B208C" w:rsidRDefault="00A81E83" w:rsidP="00A1385C">
      <w:pPr>
        <w:numPr>
          <w:ilvl w:val="2"/>
          <w:numId w:val="51"/>
        </w:numPr>
        <w:tabs>
          <w:tab w:val="left" w:pos="2520"/>
        </w:tabs>
        <w:spacing w:after="60"/>
        <w:ind w:left="2520"/>
        <w:rPr>
          <w:rFonts w:cs="Tahoma"/>
        </w:rPr>
      </w:pPr>
      <w:r w:rsidRPr="004B208C">
        <w:rPr>
          <w:rFonts w:eastAsia="Calibri" w:cs="Tahoma"/>
          <w:color w:val="000000"/>
          <w:szCs w:val="18"/>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A81E83" w:rsidRPr="004B208C" w:rsidRDefault="00A81E83" w:rsidP="00A1385C">
      <w:pPr>
        <w:numPr>
          <w:ilvl w:val="1"/>
          <w:numId w:val="51"/>
        </w:numPr>
        <w:tabs>
          <w:tab w:val="left" w:pos="1800"/>
        </w:tabs>
        <w:spacing w:after="60"/>
        <w:ind w:left="1800"/>
        <w:rPr>
          <w:rFonts w:cs="Tahoma"/>
        </w:rPr>
      </w:pPr>
      <w:r w:rsidRPr="004B208C">
        <w:rPr>
          <w:rFonts w:eastAsia="Calibri" w:cs="Tahoma"/>
          <w:color w:val="000000"/>
          <w:szCs w:val="18"/>
        </w:rPr>
        <w:t xml:space="preserve">Os Clientes </w:t>
      </w:r>
      <w:r w:rsidRPr="004B208C">
        <w:rPr>
          <w:rFonts w:eastAsia="Calibri" w:cs="Tahoma"/>
          <w:szCs w:val="18"/>
        </w:rPr>
        <w:t>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A81E83" w:rsidRPr="004B208C" w:rsidRDefault="00A81E83" w:rsidP="00A1385C">
      <w:pPr>
        <w:numPr>
          <w:ilvl w:val="1"/>
          <w:numId w:val="51"/>
        </w:numPr>
        <w:tabs>
          <w:tab w:val="left" w:pos="1800"/>
          <w:tab w:val="left" w:pos="2970"/>
        </w:tabs>
        <w:spacing w:after="60"/>
        <w:ind w:left="1800"/>
        <w:rPr>
          <w:rFonts w:cs="Tahoma"/>
        </w:rPr>
      </w:pPr>
      <w:r w:rsidRPr="004B208C">
        <w:rPr>
          <w:rFonts w:eastAsia="Calibri" w:cs="Tahoma"/>
          <w:color w:val="000000"/>
          <w:szCs w:val="18"/>
        </w:rPr>
        <w:t>A equivalência de licença principal dos clientes não implica que eles podem atribuir uma única licença de processador a núcleos por dois ou mais processadores.</w:t>
      </w:r>
    </w:p>
    <w:p w:rsidR="00204D6D" w:rsidRPr="004B208C" w:rsidRDefault="00204D6D" w:rsidP="00204D6D">
      <w:pPr>
        <w:tabs>
          <w:tab w:val="left" w:pos="1800"/>
          <w:tab w:val="left" w:pos="2970"/>
        </w:tabs>
        <w:rPr>
          <w:rFonts w:cs="Tahoma"/>
        </w:rPr>
      </w:pPr>
    </w:p>
    <w:p w:rsidR="00204D6D" w:rsidRPr="004B208C" w:rsidRDefault="00A81E83" w:rsidP="00204D6D">
      <w:pPr>
        <w:tabs>
          <w:tab w:val="left" w:pos="720"/>
        </w:tabs>
        <w:spacing w:after="60"/>
        <w:ind w:left="720"/>
        <w:rPr>
          <w:rFonts w:cs="Tahoma"/>
        </w:rPr>
      </w:pPr>
      <w:r w:rsidRPr="004B208C">
        <w:rPr>
          <w:rFonts w:eastAsia="Calibri" w:cs="Tahoma"/>
          <w:b/>
          <w:color w:val="000000"/>
          <w:szCs w:val="18"/>
        </w:rPr>
        <w:t>Para os clientes com cobertura de Software Assurance que expiram em ou depois de 1º de abril de 2015 que optaram pela não renovação</w:t>
      </w:r>
    </w:p>
    <w:p w:rsidR="00A81E83" w:rsidRPr="004B208C" w:rsidRDefault="00A81E83" w:rsidP="00204D6D">
      <w:pPr>
        <w:tabs>
          <w:tab w:val="left" w:pos="720"/>
        </w:tabs>
        <w:ind w:left="720"/>
        <w:rPr>
          <w:rFonts w:cs="Tahoma"/>
        </w:rPr>
      </w:pPr>
      <w:r w:rsidRPr="004B208C">
        <w:rPr>
          <w:rFonts w:eastAsia="Calibri" w:cs="Tahoma"/>
          <w:color w:val="000000"/>
          <w:szCs w:val="18"/>
        </w:rPr>
        <w:lastRenderedPageBreak/>
        <w:t xml:space="preserve">Os clientes do Enterprise Subscription </w:t>
      </w:r>
      <w:r w:rsidRPr="004B208C">
        <w:rPr>
          <w:rFonts w:cs="Tahoma"/>
          <w:bCs/>
          <w:color w:val="000000"/>
          <w:szCs w:val="18"/>
        </w:rPr>
        <w:t xml:space="preserve">e Open Value Subscription </w:t>
      </w:r>
      <w:r w:rsidRPr="004B208C">
        <w:rPr>
          <w:rFonts w:eastAsia="Calibri" w:cs="Tahoma"/>
          <w:color w:val="000000"/>
          <w:szCs w:val="18"/>
        </w:rPr>
        <w:t xml:space="preserve">com cobertura expirando em ou depois de 1º de abril de 2015 que optarem por comprar licenças de processador e quaisquer outros clientes que adquirirem licenças perpétuas sob este contrato terão as seguintes opções: </w:t>
      </w:r>
    </w:p>
    <w:p w:rsidR="00204D6D" w:rsidRPr="004B208C" w:rsidRDefault="00204D6D" w:rsidP="00204D6D">
      <w:pPr>
        <w:tabs>
          <w:tab w:val="left" w:pos="720"/>
        </w:tabs>
        <w:ind w:left="720"/>
        <w:rPr>
          <w:rFonts w:cs="Tahoma"/>
        </w:rPr>
      </w:pPr>
    </w:p>
    <w:p w:rsidR="00A81E83" w:rsidRPr="0086448F" w:rsidRDefault="00A81E83" w:rsidP="00A1385C">
      <w:pPr>
        <w:numPr>
          <w:ilvl w:val="0"/>
          <w:numId w:val="140"/>
        </w:numPr>
        <w:spacing w:after="60"/>
        <w:ind w:left="1440"/>
        <w:rPr>
          <w:rFonts w:cs="Tahoma"/>
        </w:rPr>
      </w:pPr>
      <w:r w:rsidRPr="0086448F">
        <w:rPr>
          <w:rFonts w:eastAsia="Calibri" w:cs="Tahoma"/>
          <w:szCs w:val="18"/>
        </w:rPr>
        <w:t>Conforme fornecido no primeiro parágrafo desta nota de produto, as licenças adquiridas antes de 1</w:t>
      </w:r>
      <w:r w:rsidRPr="0086448F">
        <w:rPr>
          <w:rFonts w:eastAsia="Calibri" w:cs="Tahoma"/>
          <w:szCs w:val="18"/>
          <w:vertAlign w:val="superscript"/>
        </w:rPr>
        <w:t>º</w:t>
      </w:r>
      <w:r w:rsidRPr="0086448F">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4B208C" w:rsidRDefault="00A81E83" w:rsidP="00A1385C">
      <w:pPr>
        <w:numPr>
          <w:ilvl w:val="0"/>
          <w:numId w:val="140"/>
        </w:numPr>
        <w:spacing w:after="60"/>
        <w:ind w:left="1440"/>
        <w:rPr>
          <w:rFonts w:cs="Tahoma"/>
        </w:rPr>
      </w:pPr>
      <w:r w:rsidRPr="004B208C">
        <w:rPr>
          <w:rFonts w:eastAsia="Calibri" w:cs="Tahoma"/>
          <w:szCs w:val="18"/>
        </w:rPr>
        <w:t>Para as licenças adquiridas depois de 1</w:t>
      </w:r>
      <w:r w:rsidRPr="004B208C">
        <w:rPr>
          <w:rFonts w:eastAsia="Calibri" w:cs="Tahoma"/>
          <w:szCs w:val="18"/>
          <w:vertAlign w:val="superscript"/>
        </w:rPr>
        <w:t>º</w:t>
      </w:r>
      <w:r w:rsidRPr="004B208C">
        <w:rPr>
          <w:rFonts w:eastAsia="Calibri" w:cs="Tahoma"/>
          <w:szCs w:val="18"/>
        </w:rPr>
        <w:t xml:space="preserve"> de abril de 2015, a licença do processador de clientes terá uma equivalência de núcleo de quatro licenças principais do SQL Server 2012 Enterprise. Para o</w:t>
      </w:r>
      <w:r w:rsidR="0086448F">
        <w:rPr>
          <w:rFonts w:eastAsia="Calibri" w:cs="Tahoma"/>
          <w:szCs w:val="18"/>
        </w:rPr>
        <w:t> </w:t>
      </w:r>
      <w:r w:rsidRPr="004B208C">
        <w:rPr>
          <w:rFonts w:eastAsia="Calibri" w:cs="Tahoma"/>
          <w:szCs w:val="18"/>
        </w:rPr>
        <w:t>uso contínuo do SQL Server 2012 em processadores que exigem mais de quatro licenças principais por processador, o cliente tem que adquirir licenças principais adicionais.</w:t>
      </w:r>
    </w:p>
    <w:p w:rsidR="00204D6D" w:rsidRPr="004B208C" w:rsidRDefault="00204D6D" w:rsidP="00204D6D">
      <w:pPr>
        <w:ind w:left="1440"/>
        <w:rPr>
          <w:rFonts w:cs="Tahoma"/>
        </w:rPr>
      </w:pPr>
    </w:p>
    <w:p w:rsidR="00204D6D" w:rsidRPr="004B208C" w:rsidRDefault="00A81E83" w:rsidP="00204D6D">
      <w:pPr>
        <w:tabs>
          <w:tab w:val="left" w:pos="720"/>
        </w:tabs>
        <w:spacing w:after="60"/>
        <w:ind w:left="720"/>
        <w:rPr>
          <w:rFonts w:cs="Tahoma"/>
        </w:rPr>
      </w:pPr>
      <w:r w:rsidRPr="004B208C">
        <w:rPr>
          <w:rFonts w:cs="Tahoma"/>
          <w:b/>
        </w:rPr>
        <w:t>Para os clientes localizados na República Popular da</w:t>
      </w:r>
      <w:r w:rsidRPr="004B208C">
        <w:rPr>
          <w:rFonts w:cs="Tahoma"/>
        </w:rPr>
        <w:t xml:space="preserve"> </w:t>
      </w:r>
      <w:r w:rsidRPr="004B208C">
        <w:rPr>
          <w:rFonts w:cs="Tahoma"/>
          <w:b/>
        </w:rPr>
        <w:t>China e para os que estão adquirindo licenças de processador e Software Assurance para SQL Server 2008 R2</w:t>
      </w:r>
    </w:p>
    <w:p w:rsidR="00A81E83" w:rsidRPr="004B208C" w:rsidRDefault="00A81E83" w:rsidP="00204D6D">
      <w:pPr>
        <w:tabs>
          <w:tab w:val="left" w:pos="720"/>
        </w:tabs>
        <w:ind w:left="720"/>
        <w:rPr>
          <w:rFonts w:cs="Tahoma"/>
        </w:rPr>
      </w:pPr>
      <w:r w:rsidRPr="004B208C">
        <w:rPr>
          <w:rFonts w:cs="Tahoma"/>
        </w:rPr>
        <w:t>As referências a 1</w:t>
      </w:r>
      <w:r w:rsidRPr="004B208C">
        <w:rPr>
          <w:rFonts w:cs="Tahoma"/>
          <w:vertAlign w:val="superscript"/>
        </w:rPr>
        <w:t>º</w:t>
      </w:r>
      <w:r w:rsidRPr="004B208C">
        <w:rPr>
          <w:rFonts w:cs="Tahoma"/>
        </w:rPr>
        <w:t xml:space="preserve"> de abril de 2012 e 1</w:t>
      </w:r>
      <w:r w:rsidRPr="004B208C">
        <w:rPr>
          <w:rFonts w:cs="Tahoma"/>
          <w:vertAlign w:val="superscript"/>
        </w:rPr>
        <w:t>º</w:t>
      </w:r>
      <w:r w:rsidRPr="004B208C">
        <w:rPr>
          <w:rFonts w:cs="Tahoma"/>
        </w:rPr>
        <w:t xml:space="preserve"> de abril de 2015 nesta nota da lista de produtos não são aplicáveis. As datas aplicáveis para esses clientes são 1</w:t>
      </w:r>
      <w:r w:rsidRPr="004B208C">
        <w:rPr>
          <w:rFonts w:cs="Tahoma"/>
          <w:vertAlign w:val="superscript"/>
        </w:rPr>
        <w:t>º</w:t>
      </w:r>
      <w:r w:rsidRPr="004B208C">
        <w:rPr>
          <w:rFonts w:cs="Tahoma"/>
        </w:rPr>
        <w:t xml:space="preserve"> de julho de 2012 e 1</w:t>
      </w:r>
      <w:r w:rsidRPr="004B208C">
        <w:rPr>
          <w:rFonts w:cs="Tahoma"/>
          <w:vertAlign w:val="superscript"/>
        </w:rPr>
        <w:t>º</w:t>
      </w:r>
      <w:r w:rsidRPr="004B208C">
        <w:rPr>
          <w:rFonts w:cs="Tahoma"/>
        </w:rPr>
        <w:t xml:space="preserve"> de julho de 2015, respectivamente.</w:t>
      </w:r>
    </w:p>
    <w:p w:rsidR="0086448F" w:rsidRDefault="0086448F" w:rsidP="00204D6D">
      <w:pPr>
        <w:tabs>
          <w:tab w:val="left" w:pos="720"/>
        </w:tabs>
        <w:ind w:left="720"/>
        <w:rPr>
          <w:rFonts w:cs="Tahoma"/>
        </w:rPr>
      </w:pPr>
    </w:p>
    <w:p w:rsidR="0086448F" w:rsidRPr="004B208C" w:rsidRDefault="0086448F" w:rsidP="00204D6D">
      <w:pPr>
        <w:tabs>
          <w:tab w:val="left" w:pos="720"/>
        </w:tabs>
        <w:ind w:left="720"/>
        <w:rPr>
          <w:rFonts w:cs="Tahoma"/>
        </w:rPr>
      </w:pPr>
    </w:p>
    <w:p w:rsidR="006E28CC" w:rsidRPr="004B208C" w:rsidRDefault="00A560B6" w:rsidP="006E28CC">
      <w:pPr>
        <w:pStyle w:val="Heading3"/>
        <w:rPr>
          <w:rFonts w:ascii="Tahoma" w:hAnsi="Tahoma" w:cs="Tahoma"/>
        </w:rPr>
      </w:pPr>
      <w:bookmarkStart w:id="1438" w:name="_80_SQL_Server"/>
      <w:bookmarkStart w:id="1439" w:name="_81_SQL_Server"/>
      <w:bookmarkStart w:id="1440" w:name="_88_SQL_Server"/>
      <w:bookmarkStart w:id="1441" w:name="_Toc370981461"/>
      <w:bookmarkEnd w:id="1438"/>
      <w:bookmarkEnd w:id="1439"/>
      <w:bookmarkEnd w:id="1440"/>
      <w:r w:rsidRPr="004B208C">
        <w:rPr>
          <w:rFonts w:ascii="Tahoma" w:hAnsi="Tahoma" w:cs="Tahoma"/>
          <w:caps/>
          <w:color w:val="F66400"/>
          <w:sz w:val="22"/>
          <w:vertAlign w:val="superscript"/>
        </w:rPr>
        <w:t>87</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2012 Parallel Data Warehouse</w:t>
      </w:r>
      <w:bookmarkEnd w:id="1441"/>
    </w:p>
    <w:p w:rsidR="006E28CC" w:rsidRPr="0086448F" w:rsidRDefault="006E28CC" w:rsidP="006E28CC">
      <w:pPr>
        <w:pStyle w:val="EndnoteText"/>
        <w:rPr>
          <w:rFonts w:ascii="Tahoma" w:hAnsi="Tahoma" w:cs="Tahoma"/>
          <w:sz w:val="18"/>
          <w:szCs w:val="18"/>
        </w:rPr>
      </w:pPr>
    </w:p>
    <w:p w:rsidR="000A30EE" w:rsidRPr="004B208C" w:rsidRDefault="000A30EE" w:rsidP="000A30EE">
      <w:pPr>
        <w:spacing w:after="60"/>
        <w:ind w:left="720"/>
        <w:rPr>
          <w:rFonts w:cs="Tahoma"/>
        </w:rPr>
      </w:pPr>
      <w:r w:rsidRPr="004B208C">
        <w:rPr>
          <w:rFonts w:eastAsia="Calibri" w:cs="Tahoma"/>
          <w:b/>
          <w:color w:val="000000"/>
          <w:szCs w:val="18"/>
        </w:rPr>
        <w:t>Outorgas de Licença Associadas à Alteração no Modelo de Licenciamento</w:t>
      </w:r>
    </w:p>
    <w:p w:rsidR="000A30EE" w:rsidRPr="004B208C" w:rsidRDefault="000A30EE" w:rsidP="000A30EE">
      <w:pPr>
        <w:ind w:left="720"/>
        <w:rPr>
          <w:rFonts w:cs="Tahoma"/>
        </w:rPr>
      </w:pPr>
      <w:r w:rsidRPr="004B208C">
        <w:rPr>
          <w:rFonts w:eastAsia="Calibri" w:cs="Tahoma"/>
          <w:color w:val="000000"/>
          <w:szCs w:val="18"/>
        </w:rPr>
        <w:t>O SQL Server 2008 R2 será a última versão do SQL Server Parallel Data Warehouse licenciada sob o modelo de licenciamento por processador.</w:t>
      </w:r>
      <w:r w:rsidR="00172F11">
        <w:rPr>
          <w:rFonts w:eastAsia="Calibri" w:cs="Tahoma"/>
          <w:color w:val="000000"/>
          <w:szCs w:val="18"/>
        </w:rPr>
        <w:t xml:space="preserve"> </w:t>
      </w:r>
      <w:r w:rsidRPr="004B208C">
        <w:rPr>
          <w:rFonts w:eastAsia="Calibri" w:cs="Tahoma"/>
          <w:color w:val="000000"/>
          <w:szCs w:val="18"/>
        </w:rPr>
        <w:t>Como uma exceção, aos clientes de Licenciamento por Volume com Software Assurance ativo para licenças do processador do SQL Server 2008 R2 Parallel Data Warehouse em</w:t>
      </w:r>
      <w:r w:rsidR="0086448F">
        <w:rPr>
          <w:rFonts w:eastAsia="Calibri" w:cs="Tahoma"/>
          <w:color w:val="000000"/>
          <w:szCs w:val="18"/>
        </w:rPr>
        <w:t> </w:t>
      </w:r>
      <w:r w:rsidRPr="004B208C">
        <w:rPr>
          <w:rFonts w:eastAsia="Calibri" w:cs="Tahoma"/>
          <w:color w:val="000000"/>
          <w:szCs w:val="18"/>
        </w:rPr>
        <w:t>1</w:t>
      </w:r>
      <w:r w:rsidRPr="004B208C">
        <w:rPr>
          <w:rFonts w:eastAsia="Calibri" w:cs="Tahoma"/>
          <w:color w:val="000000"/>
          <w:szCs w:val="18"/>
          <w:vertAlign w:val="superscript"/>
        </w:rPr>
        <w:t>º</w:t>
      </w:r>
      <w:r w:rsidRPr="004B208C">
        <w:rPr>
          <w:rFonts w:eastAsia="Calibri" w:cs="Tahoma"/>
          <w:color w:val="000000"/>
          <w:szCs w:val="18"/>
        </w:rPr>
        <w:t xml:space="preserve"> de março de 2013 (“licenças qualificadas”) são concedidas as seguintes opções. As licenças do processador do SQL Server 2008 R2 Parallel Data Warehouse </w:t>
      </w:r>
      <w:r w:rsidRPr="004B208C">
        <w:rPr>
          <w:rFonts w:cs="Tahoma"/>
          <w:bCs/>
          <w:color w:val="000000"/>
          <w:szCs w:val="18"/>
        </w:rPr>
        <w:t>adquiridas posteriormente no mesmo prazo de</w:t>
      </w:r>
      <w:r w:rsidR="0086448F">
        <w:rPr>
          <w:rFonts w:cs="Tahoma"/>
          <w:bCs/>
          <w:color w:val="000000"/>
          <w:szCs w:val="18"/>
        </w:rPr>
        <w:t> </w:t>
      </w:r>
      <w:r w:rsidRPr="004B208C">
        <w:rPr>
          <w:rFonts w:cs="Tahoma"/>
          <w:bCs/>
          <w:color w:val="000000"/>
          <w:szCs w:val="18"/>
        </w:rPr>
        <w:t>registro como parte de um processo de adequação (“true-up”) programado do cliente Enterprise ou Enterprise Subscription também são “licenças de qualificação” para fins dessas opções.</w:t>
      </w:r>
    </w:p>
    <w:p w:rsidR="000A30EE" w:rsidRPr="004B208C" w:rsidRDefault="000A30EE" w:rsidP="000A30EE">
      <w:pPr>
        <w:ind w:left="720"/>
        <w:rPr>
          <w:rFonts w:cs="Tahoma"/>
        </w:rPr>
      </w:pPr>
    </w:p>
    <w:p w:rsidR="000A30EE" w:rsidRPr="004B208C" w:rsidRDefault="000A30EE" w:rsidP="00A1385C">
      <w:pPr>
        <w:numPr>
          <w:ilvl w:val="0"/>
          <w:numId w:val="51"/>
        </w:numPr>
        <w:spacing w:after="60"/>
        <w:ind w:left="1440"/>
        <w:rPr>
          <w:rFonts w:cs="Tahoma"/>
        </w:rPr>
      </w:pPr>
      <w:r w:rsidRPr="004B208C">
        <w:rPr>
          <w:rFonts w:eastAsia="Calibri" w:cs="Tahoma"/>
          <w:color w:val="000000"/>
          <w:szCs w:val="18"/>
        </w:rPr>
        <w:t>Para cada licença qualificada que o cliente tiver, ele poderá atualizar para 8 licenças principais para</w:t>
      </w:r>
      <w:r w:rsidR="00C84F74">
        <w:rPr>
          <w:rFonts w:eastAsia="Calibri" w:cs="Tahoma"/>
          <w:color w:val="000000"/>
          <w:szCs w:val="18"/>
        </w:rPr>
        <w:t> </w:t>
      </w:r>
      <w:r w:rsidRPr="004B208C">
        <w:rPr>
          <w:rFonts w:eastAsia="Calibri" w:cs="Tahoma"/>
          <w:color w:val="000000"/>
          <w:szCs w:val="18"/>
        </w:rPr>
        <w:t>o SQL Server 2012 Parallel Data Warehouse. Na atualização para SQL Server 2012, as licenças básicas do SQL Server 2008 R2 dos clientes não serão mais válidas.</w:t>
      </w:r>
    </w:p>
    <w:p w:rsidR="000A30EE" w:rsidRPr="004B208C" w:rsidRDefault="000A30EE" w:rsidP="000A30EE">
      <w:pPr>
        <w:rPr>
          <w:rFonts w:cs="Tahoma"/>
        </w:rPr>
      </w:pPr>
    </w:p>
    <w:p w:rsidR="000A30EE" w:rsidRPr="004B208C" w:rsidRDefault="000A30EE" w:rsidP="000A30EE">
      <w:pPr>
        <w:spacing w:after="60"/>
        <w:ind w:left="720"/>
        <w:rPr>
          <w:rFonts w:cs="Tahoma"/>
        </w:rPr>
      </w:pPr>
      <w:r w:rsidRPr="004B208C">
        <w:rPr>
          <w:rFonts w:eastAsia="Calibri" w:cs="Tahoma"/>
          <w:b/>
          <w:color w:val="000000"/>
          <w:szCs w:val="18"/>
        </w:rPr>
        <w:t>Outorga de Licença Padrão do System Center</w:t>
      </w:r>
    </w:p>
    <w:p w:rsidR="000A30EE" w:rsidRPr="004B208C" w:rsidRDefault="000A30EE" w:rsidP="000A30EE">
      <w:pPr>
        <w:spacing w:after="60"/>
        <w:ind w:left="720"/>
        <w:rPr>
          <w:rFonts w:cs="Tahoma"/>
        </w:rPr>
      </w:pPr>
      <w:r w:rsidRPr="004B208C">
        <w:rPr>
          <w:rFonts w:eastAsia="Calibri" w:cs="Tahoma"/>
          <w:color w:val="000000"/>
          <w:szCs w:val="18"/>
        </w:rPr>
        <w:t>Os clientes que também estão atualizando para o SQL Server 2012 Parallel Data Warehouse de acordo com as licenças de qualificação estarão qualificados para as outorgas de licença do System Center a seguir mediante sua atualização para o SQL Server 2012 Parallel Data Warehouse:</w:t>
      </w:r>
    </w:p>
    <w:p w:rsidR="000A30EE" w:rsidRPr="004B208C" w:rsidRDefault="000A30EE" w:rsidP="00A1385C">
      <w:pPr>
        <w:numPr>
          <w:ilvl w:val="0"/>
          <w:numId w:val="51"/>
        </w:numPr>
        <w:spacing w:after="60"/>
        <w:ind w:left="1440"/>
        <w:rPr>
          <w:rFonts w:cs="Tahoma"/>
        </w:rPr>
      </w:pPr>
      <w:r w:rsidRPr="004B208C">
        <w:rPr>
          <w:rFonts w:eastAsia="Calibri" w:cs="Tahoma"/>
          <w:color w:val="000000"/>
          <w:szCs w:val="18"/>
        </w:rPr>
        <w:t>Uma licença Padrão do System Center 2012 por servidor para cada servidor que esteja executando o software SQL Server 2012 Parallel Data Warehouse</w:t>
      </w:r>
    </w:p>
    <w:p w:rsidR="000A30EE" w:rsidRPr="004B208C" w:rsidRDefault="000A30EE" w:rsidP="00A1385C">
      <w:pPr>
        <w:numPr>
          <w:ilvl w:val="0"/>
          <w:numId w:val="51"/>
        </w:numPr>
        <w:spacing w:after="60"/>
        <w:ind w:left="1440"/>
        <w:rPr>
          <w:rFonts w:cs="Tahoma"/>
        </w:rPr>
      </w:pPr>
      <w:r w:rsidRPr="004B208C">
        <w:rPr>
          <w:rFonts w:eastAsia="Calibri" w:cs="Tahoma"/>
          <w:color w:val="000000"/>
          <w:szCs w:val="18"/>
        </w:rPr>
        <w:t>Duas licenças Padrão do System Center 2012 por servidor para todos os outros servidores no SQL Server 2012 Parallel Data Warehouse Appliance.</w:t>
      </w:r>
    </w:p>
    <w:p w:rsidR="000A30EE" w:rsidRPr="004B208C" w:rsidRDefault="000A30EE" w:rsidP="0086448F">
      <w:pPr>
        <w:spacing w:after="60"/>
        <w:ind w:left="720"/>
        <w:rPr>
          <w:rFonts w:cs="Tahoma"/>
        </w:rPr>
      </w:pPr>
      <w:r w:rsidRPr="004B208C">
        <w:rPr>
          <w:rFonts w:eastAsia="Calibri" w:cs="Tahoma"/>
          <w:color w:val="000000"/>
          <w:szCs w:val="18"/>
        </w:rPr>
        <w:t>O software poderá ser usado unicamente para oferecer suporte ao SQL Server 2012 Parallel Data Warehouse Appliance.</w:t>
      </w:r>
    </w:p>
    <w:p w:rsidR="000A30EE" w:rsidRPr="004B208C" w:rsidRDefault="000A30EE" w:rsidP="000A30EE">
      <w:pPr>
        <w:spacing w:after="60"/>
        <w:ind w:firstLine="720"/>
        <w:rPr>
          <w:rFonts w:cs="Tahoma"/>
        </w:rPr>
      </w:pPr>
    </w:p>
    <w:p w:rsidR="000A30EE" w:rsidRPr="004B208C" w:rsidRDefault="000A30EE" w:rsidP="000A30EE">
      <w:pPr>
        <w:tabs>
          <w:tab w:val="left" w:pos="1440"/>
        </w:tabs>
        <w:spacing w:after="60"/>
        <w:ind w:left="720"/>
        <w:rPr>
          <w:rFonts w:cs="Tahoma"/>
        </w:rPr>
      </w:pPr>
      <w:r w:rsidRPr="004B208C">
        <w:rPr>
          <w:rFonts w:eastAsia="Calibri" w:cs="Tahoma"/>
          <w:b/>
          <w:color w:val="000000"/>
          <w:szCs w:val="18"/>
        </w:rPr>
        <w:t>Para os clientes com Software Assurance que optaram pela não renovação</w:t>
      </w:r>
    </w:p>
    <w:p w:rsidR="000A30EE" w:rsidRPr="004B208C" w:rsidRDefault="000A30EE" w:rsidP="000A30EE">
      <w:pPr>
        <w:tabs>
          <w:tab w:val="left" w:pos="1440"/>
        </w:tabs>
        <w:ind w:left="720"/>
        <w:rPr>
          <w:rFonts w:cs="Tahoma"/>
        </w:rPr>
      </w:pPr>
      <w:r w:rsidRPr="004B208C">
        <w:rPr>
          <w:rFonts w:eastAsia="Calibri" w:cs="Tahoma"/>
          <w:color w:val="000000"/>
          <w:szCs w:val="18"/>
        </w:rPr>
        <w:t>Os clientes do Enterprise Subscription com cobertura a partir de 1</w:t>
      </w:r>
      <w:r w:rsidRPr="004B208C">
        <w:rPr>
          <w:rFonts w:eastAsia="Calibri" w:cs="Tahoma"/>
          <w:color w:val="000000"/>
          <w:szCs w:val="18"/>
          <w:vertAlign w:val="superscript"/>
        </w:rPr>
        <w:t>º</w:t>
      </w:r>
      <w:r w:rsidRPr="004B208C">
        <w:rPr>
          <w:rFonts w:eastAsia="Calibri" w:cs="Tahoma"/>
          <w:color w:val="000000"/>
          <w:szCs w:val="18"/>
        </w:rPr>
        <w:t xml:space="preserve"> de março de 2013 que optarem por comprar licenças de processador e quaisquer outros clientes que adquirirem licenças de qualificação perpétuas sob este contrato e optarem por não renovar o Software Assurance poderão executar o SQL Server 2008 R2 ou SQL Server 2012 sob essas licenças da seguinte forma:</w:t>
      </w:r>
    </w:p>
    <w:p w:rsidR="000A30EE" w:rsidRPr="004B208C" w:rsidRDefault="000A30EE" w:rsidP="000A30EE">
      <w:pPr>
        <w:tabs>
          <w:tab w:val="left" w:pos="1440"/>
        </w:tabs>
        <w:ind w:left="720"/>
        <w:rPr>
          <w:rFonts w:cs="Tahoma"/>
        </w:rPr>
      </w:pPr>
    </w:p>
    <w:p w:rsidR="000A30EE" w:rsidRPr="004B208C" w:rsidRDefault="000A30EE" w:rsidP="00A1385C">
      <w:pPr>
        <w:numPr>
          <w:ilvl w:val="0"/>
          <w:numId w:val="51"/>
        </w:numPr>
        <w:spacing w:after="60"/>
        <w:ind w:left="1440"/>
        <w:rPr>
          <w:rFonts w:cs="Tahoma"/>
        </w:rPr>
      </w:pPr>
      <w:r w:rsidRPr="004B208C">
        <w:rPr>
          <w:rFonts w:eastAsia="Calibri" w:cs="Tahoma"/>
          <w:b/>
          <w:color w:val="000000"/>
          <w:szCs w:val="18"/>
        </w:rPr>
        <w:t>SQL Server 2008 R2 Parallel Data Warehouse:</w:t>
      </w:r>
      <w:r w:rsidRPr="004B208C">
        <w:rPr>
          <w:rFonts w:eastAsia="Calibri" w:cs="Tahoma"/>
          <w:color w:val="000000"/>
          <w:szCs w:val="18"/>
        </w:rPr>
        <w:t xml:space="preserve"> O uso contínuo do referido software está sujeito aos direitos de uso do produto de licença do SQL Server 2008 R2. </w:t>
      </w:r>
    </w:p>
    <w:p w:rsidR="000A30EE" w:rsidRPr="004B208C" w:rsidRDefault="000A30EE" w:rsidP="00A1385C">
      <w:pPr>
        <w:numPr>
          <w:ilvl w:val="0"/>
          <w:numId w:val="51"/>
        </w:numPr>
        <w:tabs>
          <w:tab w:val="left" w:pos="1800"/>
        </w:tabs>
        <w:spacing w:after="60"/>
        <w:ind w:left="1440"/>
        <w:rPr>
          <w:rFonts w:cs="Tahoma"/>
        </w:rPr>
      </w:pPr>
      <w:r w:rsidRPr="004B208C">
        <w:rPr>
          <w:rFonts w:eastAsia="Calibri" w:cs="Tahoma"/>
          <w:b/>
          <w:color w:val="000000"/>
          <w:szCs w:val="18"/>
        </w:rPr>
        <w:t xml:space="preserve">SQL Server 2012 Parallel Data Warehouse: </w:t>
      </w:r>
      <w:r w:rsidRPr="004B208C">
        <w:rPr>
          <w:rFonts w:eastAsia="Calibri" w:cs="Tahoma"/>
          <w:color w:val="000000"/>
          <w:szCs w:val="18"/>
        </w:rPr>
        <w:t xml:space="preserve">O uso desta versão do software está sujeito aos direitos de uso do produto do SQL Server 2012 Parallel Data Warehouse. </w:t>
      </w:r>
    </w:p>
    <w:p w:rsidR="000A30EE" w:rsidRPr="004B208C" w:rsidRDefault="000A30EE" w:rsidP="000A30EE">
      <w:pPr>
        <w:ind w:left="720"/>
        <w:rPr>
          <w:rFonts w:cs="Tahoma"/>
        </w:rPr>
      </w:pPr>
      <w:r w:rsidRPr="004B208C">
        <w:rPr>
          <w:rFonts w:cs="Tahoma"/>
          <w:color w:val="000000"/>
          <w:szCs w:val="24"/>
        </w:rPr>
        <w:lastRenderedPageBreak/>
        <w:t xml:space="preserve">Todas as licenças do SQL Server Parallel Data Warehouse e System Center outorgadas sob esta oferta incluirão cobertura do Software Assurance. Essa cobertura se encerrará no término da cobertura de qualificação de Software Assurance correspondente. Ao término dessa cobertura, os clientes poderão renovar o Software Assurance sobre as licenças outorgadas. </w:t>
      </w:r>
    </w:p>
    <w:p w:rsidR="000A30EE" w:rsidRPr="004B208C" w:rsidRDefault="000A30EE" w:rsidP="000A30EE">
      <w:pPr>
        <w:ind w:left="720"/>
        <w:rPr>
          <w:rFonts w:cs="Tahoma"/>
        </w:rPr>
      </w:pPr>
    </w:p>
    <w:p w:rsidR="000A30EE" w:rsidRPr="004B208C" w:rsidRDefault="000A30EE" w:rsidP="000A30EE">
      <w:pPr>
        <w:ind w:left="720"/>
        <w:rPr>
          <w:rFonts w:cs="Tahoma"/>
        </w:rPr>
      </w:pPr>
      <w:r w:rsidRPr="004B208C">
        <w:rPr>
          <w:rFonts w:cs="Tahoma"/>
          <w:color w:val="000000"/>
          <w:szCs w:val="24"/>
        </w:rPr>
        <w:t>O uso do software por um cliente sob esta oferta está sujeito aos termos e condições de seu contrato de licença e aos direitos de uso de produto relacionados ao software. O direito de usar o software expira quando o direito de usar o software sob a licença qualificada expirar. A evidência de suas licenças de qualificação e esta Nota do Produto evidenciarão o direito do cliente de usar o SQL Server 2021 Parallel Data Warehouse e System Center 2012 sob os termos desta oferta. Os clientes não poderão transferir as licenças outorgadas sob esta oferta separadamente das licenças qualificadas correspondentes.</w:t>
      </w:r>
    </w:p>
    <w:p w:rsidR="00A81E83" w:rsidRPr="004B208C" w:rsidRDefault="00A81E83" w:rsidP="00C321B6">
      <w:pPr>
        <w:tabs>
          <w:tab w:val="left" w:pos="2970"/>
        </w:tabs>
        <w:ind w:left="1440"/>
        <w:rPr>
          <w:rFonts w:cs="Tahoma"/>
        </w:rPr>
      </w:pPr>
      <w:bookmarkStart w:id="1442" w:name="Srv_90SQLServer2012Standard"/>
    </w:p>
    <w:p w:rsidR="004815F3" w:rsidRPr="004B208C" w:rsidRDefault="004815F3" w:rsidP="00C321B6">
      <w:pPr>
        <w:tabs>
          <w:tab w:val="left" w:pos="2970"/>
        </w:tabs>
        <w:ind w:left="1440"/>
        <w:rPr>
          <w:rFonts w:cs="Tahoma"/>
        </w:rPr>
      </w:pPr>
    </w:p>
    <w:p w:rsidR="00A81E83" w:rsidRPr="004B208C" w:rsidRDefault="00152E1B" w:rsidP="00EF5637">
      <w:pPr>
        <w:pStyle w:val="Heading3"/>
        <w:rPr>
          <w:rFonts w:ascii="Tahoma" w:hAnsi="Tahoma" w:cs="Tahoma"/>
        </w:rPr>
      </w:pPr>
      <w:bookmarkStart w:id="1443" w:name="_82_SQL_Server®"/>
      <w:bookmarkStart w:id="1444" w:name="_89_SQL_Server®"/>
      <w:bookmarkStart w:id="1445" w:name="_Toc336338348"/>
      <w:bookmarkStart w:id="1446" w:name="_Toc370981462"/>
      <w:bookmarkEnd w:id="1443"/>
      <w:bookmarkEnd w:id="1444"/>
      <w:r w:rsidRPr="004B208C">
        <w:rPr>
          <w:rFonts w:ascii="Tahoma" w:hAnsi="Tahoma" w:cs="Tahoma"/>
          <w:caps/>
          <w:color w:val="F66400"/>
          <w:sz w:val="22"/>
          <w:vertAlign w:val="superscript"/>
        </w:rPr>
        <w:t>88</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2012 Standard</w:t>
      </w:r>
      <w:bookmarkEnd w:id="1445"/>
      <w:bookmarkEnd w:id="1446"/>
      <w:r w:rsidRPr="004B208C">
        <w:rPr>
          <w:rFonts w:ascii="Tahoma" w:hAnsi="Tahoma" w:cs="Tahoma"/>
          <w:color w:val="F66400"/>
          <w:sz w:val="22"/>
        </w:rPr>
        <w:t xml:space="preserve"> </w:t>
      </w:r>
    </w:p>
    <w:bookmarkEnd w:id="1442"/>
    <w:p w:rsidR="00A81E83" w:rsidRPr="004B208C" w:rsidRDefault="00A81E83" w:rsidP="00204D6D">
      <w:pPr>
        <w:pStyle w:val="EndnoteText"/>
        <w:ind w:left="0"/>
        <w:rPr>
          <w:rFonts w:ascii="Tahoma" w:hAnsi="Tahoma" w:cs="Tahoma"/>
        </w:rPr>
      </w:pPr>
    </w:p>
    <w:p w:rsidR="00A81E83" w:rsidRPr="004B208C" w:rsidRDefault="00A81E83" w:rsidP="00204D6D">
      <w:pPr>
        <w:ind w:left="720"/>
        <w:rPr>
          <w:rFonts w:cs="Tahoma"/>
        </w:rPr>
      </w:pPr>
      <w:r w:rsidRPr="004B208C">
        <w:rPr>
          <w:rFonts w:eastAsia="Calibri" w:cs="Tahoma"/>
          <w:szCs w:val="18"/>
        </w:rPr>
        <w:t>O SQL Server 2012 Standard é a próxima versão do SQL Server Standard, e a CAL do SQL Server 2012 é a próxima versão da CAL do SQL Server.</w:t>
      </w:r>
    </w:p>
    <w:p w:rsidR="00204D6D" w:rsidRDefault="00204D6D" w:rsidP="00204D6D">
      <w:pPr>
        <w:ind w:left="720"/>
        <w:rPr>
          <w:rFonts w:cs="Tahoma"/>
        </w:rPr>
      </w:pPr>
    </w:p>
    <w:p w:rsidR="00640E52" w:rsidRPr="004B208C" w:rsidRDefault="00640E52" w:rsidP="00204D6D">
      <w:pPr>
        <w:ind w:left="720"/>
        <w:rPr>
          <w:rFonts w:cs="Tahoma"/>
        </w:rPr>
      </w:pPr>
    </w:p>
    <w:p w:rsidR="00A81E83" w:rsidRPr="004B208C" w:rsidRDefault="00162ADA" w:rsidP="00EF5637">
      <w:pPr>
        <w:pStyle w:val="Heading3"/>
        <w:rPr>
          <w:rFonts w:ascii="Tahoma" w:hAnsi="Tahoma" w:cs="Tahoma"/>
        </w:rPr>
      </w:pPr>
      <w:bookmarkStart w:id="1447" w:name="_85_83_SQL"/>
      <w:bookmarkStart w:id="1448" w:name="_90_SQL_Server®"/>
      <w:bookmarkStart w:id="1449" w:name="_Toc336338349"/>
      <w:bookmarkStart w:id="1450" w:name="Srv_91SQLServer2012StandardCore"/>
      <w:bookmarkStart w:id="1451" w:name="_Toc370981463"/>
      <w:bookmarkEnd w:id="1447"/>
      <w:bookmarkEnd w:id="1448"/>
      <w:r w:rsidRPr="004B208C">
        <w:rPr>
          <w:rFonts w:ascii="Tahoma" w:hAnsi="Tahoma" w:cs="Tahoma"/>
          <w:caps/>
          <w:color w:val="F66400"/>
          <w:sz w:val="22"/>
          <w:vertAlign w:val="superscript"/>
        </w:rPr>
        <w:t>89</w:t>
      </w:r>
      <w:r w:rsidRPr="004B208C">
        <w:rPr>
          <w:rFonts w:ascii="Tahoma" w:hAnsi="Tahoma" w:cs="Tahoma"/>
          <w:color w:val="F66400"/>
          <w:sz w:val="22"/>
        </w:rPr>
        <w:t xml:space="preserve"> SQL Server</w:t>
      </w:r>
      <w:r w:rsidR="00172F11" w:rsidRPr="00172F11">
        <w:rPr>
          <w:rFonts w:ascii="Tahoma" w:hAnsi="Tahoma" w:cs="Tahoma"/>
          <w:color w:val="F66400"/>
          <w:sz w:val="22"/>
          <w:vertAlign w:val="superscript"/>
        </w:rPr>
        <w:t>®</w:t>
      </w:r>
      <w:r w:rsidRPr="004B208C">
        <w:rPr>
          <w:rFonts w:ascii="Tahoma" w:hAnsi="Tahoma" w:cs="Tahoma"/>
          <w:color w:val="F66400"/>
          <w:sz w:val="22"/>
        </w:rPr>
        <w:t xml:space="preserve"> 2012 Standard</w:t>
      </w:r>
      <w:r w:rsidRPr="004B208C">
        <w:rPr>
          <w:rFonts w:ascii="Tahoma" w:eastAsia="Calibri" w:hAnsi="Tahoma" w:cs="Tahoma"/>
          <w:color w:val="F66400"/>
          <w:sz w:val="22"/>
          <w:szCs w:val="18"/>
        </w:rPr>
        <w:t xml:space="preserve"> Core</w:t>
      </w:r>
      <w:bookmarkEnd w:id="1449"/>
      <w:bookmarkEnd w:id="1451"/>
    </w:p>
    <w:bookmarkEnd w:id="1450"/>
    <w:p w:rsidR="00A81E83" w:rsidRPr="004B208C" w:rsidRDefault="00A81E83" w:rsidP="0026723A">
      <w:pPr>
        <w:rPr>
          <w:rFonts w:cs="Tahoma"/>
        </w:rPr>
      </w:pPr>
    </w:p>
    <w:p w:rsidR="0026723A" w:rsidRPr="004B208C" w:rsidRDefault="00A81E83" w:rsidP="0026723A">
      <w:pPr>
        <w:spacing w:after="60"/>
        <w:ind w:left="720"/>
        <w:rPr>
          <w:rFonts w:cs="Tahoma"/>
        </w:rPr>
      </w:pPr>
      <w:r w:rsidRPr="004B208C">
        <w:rPr>
          <w:rFonts w:eastAsia="Calibri" w:cs="Tahoma"/>
          <w:b/>
          <w:szCs w:val="18"/>
        </w:rPr>
        <w:t>Outorgas de Licença Associadas à Alteração no Modelo de Licenciamento</w:t>
      </w:r>
    </w:p>
    <w:p w:rsidR="00A81E83" w:rsidRPr="004B208C" w:rsidRDefault="00A81E83" w:rsidP="0026723A">
      <w:pPr>
        <w:ind w:left="720"/>
        <w:rPr>
          <w:rFonts w:cs="Tahoma"/>
        </w:rPr>
      </w:pPr>
      <w:r w:rsidRPr="004B208C">
        <w:rPr>
          <w:rFonts w:eastAsia="Calibri" w:cs="Tahoma"/>
          <w:color w:val="000000"/>
          <w:szCs w:val="18"/>
        </w:rPr>
        <w:t>O SQL Server 2008 R2 será a última versão do SQL Server licenciada sob o modelo de licenciamento por processador.</w:t>
      </w:r>
      <w:r w:rsidR="00172F11">
        <w:rPr>
          <w:rFonts w:eastAsia="Calibri" w:cs="Tahoma"/>
          <w:color w:val="000000"/>
          <w:szCs w:val="18"/>
        </w:rPr>
        <w:t xml:space="preserve"> </w:t>
      </w:r>
      <w:r w:rsidRPr="004B208C">
        <w:rPr>
          <w:rFonts w:eastAsia="Calibri" w:cs="Tahoma"/>
          <w:color w:val="000000"/>
          <w:szCs w:val="18"/>
        </w:rPr>
        <w:t>Como uma exceção, aos clientes de Licenciamento por Volume com Software Assurance ativo</w:t>
      </w:r>
      <w:r w:rsidR="0086448F">
        <w:rPr>
          <w:rFonts w:eastAsia="Calibri" w:cs="Tahoma"/>
          <w:color w:val="000000"/>
          <w:szCs w:val="18"/>
        </w:rPr>
        <w:t> </w:t>
      </w:r>
      <w:r w:rsidRPr="004B208C">
        <w:rPr>
          <w:rFonts w:eastAsia="Calibri" w:cs="Tahoma"/>
          <w:color w:val="000000"/>
          <w:szCs w:val="18"/>
        </w:rPr>
        <w:t xml:space="preserve">para licenças do processador do SQL Server 2008 R2 Standard em 1º de abril de 2012 (“licenças qualificadas”) são concedidas as seguintes opções. As licenças do processador do SQL Server 2008 R2 Standard </w:t>
      </w:r>
      <w:r w:rsidRPr="004B208C">
        <w:rPr>
          <w:rFonts w:cs="Tahoma"/>
          <w:bCs/>
          <w:color w:val="000000"/>
          <w:szCs w:val="18"/>
        </w:rPr>
        <w:t>adquiridas posteriormente no mesmo prazo de registro, mas antes de 1º de abril de 2015 como parte de um processo de adequação (“true-up”) programado do cliente Enterprise, Enterprise Subscription, Open Value Subscription ou Enrollment for Education Solutions também são “licenças qualificadas” para fins</w:t>
      </w:r>
      <w:r w:rsidR="0086448F">
        <w:rPr>
          <w:rFonts w:cs="Tahoma"/>
          <w:bCs/>
          <w:color w:val="000000"/>
          <w:szCs w:val="18"/>
        </w:rPr>
        <w:t> </w:t>
      </w:r>
      <w:r w:rsidRPr="004B208C">
        <w:rPr>
          <w:rFonts w:cs="Tahoma"/>
          <w:bCs/>
          <w:color w:val="000000"/>
          <w:szCs w:val="18"/>
        </w:rPr>
        <w:t>dessas opções.</w:t>
      </w:r>
      <w:r w:rsidR="00172F11">
        <w:rPr>
          <w:rFonts w:cs="Tahoma"/>
          <w:bCs/>
          <w:color w:val="000000"/>
          <w:szCs w:val="18"/>
        </w:rPr>
        <w:t xml:space="preserve"> </w:t>
      </w:r>
      <w:r w:rsidRPr="004B208C">
        <w:rPr>
          <w:rFonts w:cs="Tahoma"/>
          <w:bCs/>
          <w:color w:val="000000"/>
          <w:szCs w:val="18"/>
        </w:rPr>
        <w:t>As licenças adquiridas depois de 1º de abril de 2015 ou sob um prazo de registro subsequente, um contrato separado ou qualquer registro com uma data de início de vigência após 1º</w:t>
      </w:r>
      <w:r w:rsidR="0086448F">
        <w:rPr>
          <w:rFonts w:cs="Tahoma"/>
          <w:bCs/>
          <w:color w:val="000000"/>
          <w:szCs w:val="18"/>
        </w:rPr>
        <w:t> </w:t>
      </w:r>
      <w:r w:rsidRPr="004B208C">
        <w:rPr>
          <w:rFonts w:cs="Tahoma"/>
          <w:bCs/>
          <w:color w:val="000000"/>
          <w:szCs w:val="18"/>
        </w:rPr>
        <w:t>de</w:t>
      </w:r>
      <w:r w:rsidR="0086448F">
        <w:rPr>
          <w:rFonts w:cs="Tahoma"/>
          <w:bCs/>
          <w:color w:val="000000"/>
          <w:szCs w:val="18"/>
        </w:rPr>
        <w:t> </w:t>
      </w:r>
      <w:r w:rsidRPr="004B208C">
        <w:rPr>
          <w:rFonts w:cs="Tahoma"/>
          <w:bCs/>
          <w:color w:val="000000"/>
          <w:szCs w:val="18"/>
        </w:rPr>
        <w:t>abril de 2012 não são licenças qualificadas.</w:t>
      </w:r>
    </w:p>
    <w:p w:rsidR="0026723A" w:rsidRPr="004B208C" w:rsidRDefault="0026723A" w:rsidP="0026723A">
      <w:pPr>
        <w:ind w:left="720"/>
        <w:rPr>
          <w:rFonts w:cs="Tahoma"/>
        </w:rPr>
      </w:pPr>
    </w:p>
    <w:p w:rsidR="0026723A" w:rsidRPr="004B208C" w:rsidRDefault="0026723A" w:rsidP="0026723A">
      <w:pPr>
        <w:spacing w:after="60"/>
        <w:ind w:left="720"/>
        <w:rPr>
          <w:rFonts w:cs="Tahoma"/>
        </w:rPr>
      </w:pPr>
      <w:r w:rsidRPr="004B208C">
        <w:rPr>
          <w:rFonts w:eastAsia="Calibri" w:cs="Tahoma"/>
          <w:b/>
          <w:szCs w:val="18"/>
        </w:rPr>
        <w:t>Prazo Atual</w:t>
      </w:r>
    </w:p>
    <w:p w:rsidR="00A81E83" w:rsidRPr="004B208C" w:rsidRDefault="00A81E83" w:rsidP="0026723A">
      <w:pPr>
        <w:ind w:left="720"/>
        <w:rPr>
          <w:rFonts w:cs="Tahoma"/>
        </w:rPr>
      </w:pPr>
      <w:r w:rsidRPr="004B208C">
        <w:rPr>
          <w:rFonts w:eastAsia="Calibri" w:cs="Tahoma"/>
          <w:szCs w:val="18"/>
        </w:rPr>
        <w:t>Durante o prazo atual da sua cobertura de Software Assurance a partir de 1º de abril de 2012, os clientes (incluindo aqueles sob contratos de assinatura) podem, sob qualquer licença qualificada, atualizar e usar o</w:t>
      </w:r>
      <w:r w:rsidR="0086448F">
        <w:rPr>
          <w:rFonts w:eastAsia="Calibri" w:cs="Tahoma"/>
          <w:szCs w:val="18"/>
        </w:rPr>
        <w:t> </w:t>
      </w:r>
      <w:r w:rsidRPr="004B208C">
        <w:rPr>
          <w:rFonts w:eastAsia="Calibri" w:cs="Tahoma"/>
          <w:szCs w:val="18"/>
        </w:rPr>
        <w:t>SQL Server 2012 Standard Core em vez do SQL Server 2008 R2 Standard sujeito aos direitos de uso do</w:t>
      </w:r>
      <w:r w:rsidR="0086448F">
        <w:rPr>
          <w:rFonts w:eastAsia="Calibri" w:cs="Tahoma"/>
          <w:szCs w:val="18"/>
        </w:rPr>
        <w:t> </w:t>
      </w:r>
      <w:r w:rsidRPr="004B208C">
        <w:rPr>
          <w:rFonts w:eastAsia="Calibri" w:cs="Tahoma"/>
          <w:szCs w:val="18"/>
        </w:rPr>
        <w:t>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w:t>
      </w:r>
      <w:r w:rsidR="00172F11">
        <w:rPr>
          <w:rFonts w:eastAsia="Calibri" w:cs="Tahoma"/>
          <w:szCs w:val="18"/>
        </w:rPr>
        <w:t xml:space="preserve"> </w:t>
      </w:r>
      <w:r w:rsidRPr="004B208C">
        <w:rPr>
          <w:rFonts w:eastAsia="Calibri" w:cs="Tahoma"/>
          <w:szCs w:val="18"/>
        </w:rPr>
        <w:t>Os clientes devem consultar os Direitos de Uso do Produto para SQL Server 2012 Standard Core quanto aos termos de licença para Mobilidade de Licença.</w:t>
      </w:r>
    </w:p>
    <w:p w:rsidR="0026723A" w:rsidRPr="004B208C" w:rsidRDefault="0026723A" w:rsidP="0026723A">
      <w:pPr>
        <w:ind w:left="720"/>
        <w:rPr>
          <w:rFonts w:cs="Tahoma"/>
        </w:rPr>
      </w:pPr>
    </w:p>
    <w:p w:rsidR="0026723A" w:rsidRPr="004B208C" w:rsidRDefault="00A81E83" w:rsidP="0026723A">
      <w:pPr>
        <w:spacing w:after="60"/>
        <w:ind w:left="720"/>
        <w:rPr>
          <w:rFonts w:cs="Tahoma"/>
        </w:rPr>
      </w:pPr>
      <w:r w:rsidRPr="004B208C">
        <w:rPr>
          <w:rFonts w:eastAsia="Calibri" w:cs="Tahoma"/>
          <w:b/>
          <w:szCs w:val="18"/>
        </w:rPr>
        <w:t>Primeiro Prazo de Renovação (antes de 1º de abril de 2015)</w:t>
      </w:r>
    </w:p>
    <w:p w:rsidR="00A81E83" w:rsidRPr="004B208C" w:rsidRDefault="00A81E83" w:rsidP="0026723A">
      <w:pPr>
        <w:ind w:left="720"/>
        <w:rPr>
          <w:rFonts w:cs="Tahoma"/>
        </w:rPr>
      </w:pPr>
      <w:r w:rsidRPr="004B208C">
        <w:rPr>
          <w:rFonts w:eastAsia="Calibri" w:cs="Tahoma"/>
          <w:szCs w:val="18"/>
        </w:rPr>
        <w:t>Na sua primeira renovação de Software Assurance em ou depois de 1º de abril de 2012 (mas antes de 1º</w:t>
      </w:r>
      <w:r w:rsidR="0086448F">
        <w:rPr>
          <w:rFonts w:eastAsia="Calibri" w:cs="Tahoma"/>
          <w:szCs w:val="18"/>
        </w:rPr>
        <w:t> </w:t>
      </w:r>
      <w:r w:rsidRPr="004B208C">
        <w:rPr>
          <w:rFonts w:eastAsia="Calibri" w:cs="Tahoma"/>
          <w:szCs w:val="18"/>
        </w:rPr>
        <w:t>de abril de 2015), para cada servidor que um cliente tiver licenciado corretamente sob os direitos de uso do</w:t>
      </w:r>
      <w:r w:rsidR="0086448F">
        <w:rPr>
          <w:rFonts w:eastAsia="Calibri" w:cs="Tahoma"/>
          <w:szCs w:val="18"/>
        </w:rPr>
        <w:t> </w:t>
      </w:r>
      <w:r w:rsidRPr="004B208C">
        <w:rPr>
          <w:rFonts w:eastAsia="Calibri" w:cs="Tahoma"/>
          <w:szCs w:val="18"/>
        </w:rPr>
        <w:t>produto da licença do processador do SQL Server 2008 R2 Standard, o cliente poderá adquirir licenças principais do Software Assurance para SQL Server Standard sem adquirir as licenças principais subjacentes para uma série de licenças principais iguais à soma de (a) e (b):</w:t>
      </w:r>
    </w:p>
    <w:p w:rsidR="0026723A" w:rsidRPr="004B208C" w:rsidRDefault="0026723A" w:rsidP="0026723A">
      <w:pPr>
        <w:ind w:left="720"/>
        <w:rPr>
          <w:rFonts w:cs="Tahoma"/>
        </w:rPr>
      </w:pPr>
    </w:p>
    <w:p w:rsidR="0026723A" w:rsidRPr="004B208C" w:rsidRDefault="00A81E83" w:rsidP="00A1385C">
      <w:pPr>
        <w:numPr>
          <w:ilvl w:val="0"/>
          <w:numId w:val="114"/>
        </w:numPr>
        <w:tabs>
          <w:tab w:val="left" w:pos="1440"/>
        </w:tabs>
        <w:spacing w:after="60"/>
        <w:ind w:left="1440"/>
        <w:rPr>
          <w:rFonts w:cs="Tahoma"/>
        </w:rPr>
      </w:pPr>
      <w:r w:rsidRPr="004B208C">
        <w:rPr>
          <w:rFonts w:eastAsia="Calibri" w:cs="Tahoma"/>
          <w:szCs w:val="18"/>
        </w:rPr>
        <w:t xml:space="preserve">um número igual ao menor número de licenças qualificadas atribuído ao servidor ou o número total de processadores físicos no servidor multiplicado pelo maior de: </w:t>
      </w:r>
    </w:p>
    <w:p w:rsidR="00A81E83" w:rsidRPr="004B208C" w:rsidRDefault="00A81E83" w:rsidP="00A1385C">
      <w:pPr>
        <w:numPr>
          <w:ilvl w:val="3"/>
          <w:numId w:val="55"/>
        </w:numPr>
        <w:spacing w:after="60"/>
        <w:ind w:left="1800"/>
        <w:rPr>
          <w:rFonts w:cs="Tahoma"/>
        </w:rPr>
      </w:pPr>
      <w:r w:rsidRPr="004B208C">
        <w:rPr>
          <w:rFonts w:eastAsia="Calibri" w:cs="Tahoma"/>
          <w:szCs w:val="18"/>
        </w:rPr>
        <w:t>Quatro OU</w:t>
      </w:r>
    </w:p>
    <w:p w:rsidR="00A81E83" w:rsidRPr="004B208C" w:rsidRDefault="00A81E83" w:rsidP="00A1385C">
      <w:pPr>
        <w:numPr>
          <w:ilvl w:val="3"/>
          <w:numId w:val="55"/>
        </w:numPr>
        <w:spacing w:after="60"/>
        <w:ind w:left="1800"/>
        <w:rPr>
          <w:rFonts w:cs="Tahoma"/>
        </w:rPr>
      </w:pPr>
      <w:r w:rsidRPr="004B208C">
        <w:rPr>
          <w:rFonts w:eastAsia="Calibri" w:cs="Tahoma"/>
          <w:szCs w:val="18"/>
        </w:rPr>
        <w:t>o número real de núcleos por processador físico multiplicado pelo fator do núcleo apropriado.</w:t>
      </w:r>
      <w:r w:rsidR="00172F11">
        <w:rPr>
          <w:rFonts w:eastAsia="Calibri" w:cs="Tahoma"/>
          <w:szCs w:val="18"/>
        </w:rPr>
        <w:t xml:space="preserve"> </w:t>
      </w:r>
      <w:r w:rsidRPr="004B208C">
        <w:rPr>
          <w:rFonts w:eastAsia="Calibri" w:cs="Tahoma"/>
          <w:szCs w:val="18"/>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w:t>
      </w:r>
      <w:r w:rsidRPr="004B208C">
        <w:rPr>
          <w:rFonts w:eastAsia="Calibri" w:cs="Tahoma"/>
          <w:szCs w:val="18"/>
        </w:rPr>
        <w:lastRenderedPageBreak/>
        <w:t xml:space="preserve">e o hardware físico oferecendo suporte ao software que está antecedendo a renovação do Software Assurance usando a ferramenta Microsoft MAP ou qualquer software equivalente.) </w:t>
      </w:r>
    </w:p>
    <w:p w:rsidR="00A81E83" w:rsidRPr="004B208C" w:rsidRDefault="00A81E83" w:rsidP="00A1385C">
      <w:pPr>
        <w:numPr>
          <w:ilvl w:val="0"/>
          <w:numId w:val="114"/>
        </w:numPr>
        <w:tabs>
          <w:tab w:val="left" w:pos="1440"/>
        </w:tabs>
        <w:spacing w:after="60"/>
        <w:ind w:left="1440"/>
        <w:rPr>
          <w:rFonts w:cs="Tahoma"/>
        </w:rPr>
      </w:pPr>
      <w:r w:rsidRPr="004B208C">
        <w:rPr>
          <w:rFonts w:eastAsia="Calibri" w:cs="Tahoma"/>
          <w:szCs w:val="18"/>
        </w:rPr>
        <w:t>um número igual ao número das licenças qualificadas atribuído ao servidor em excesso do número real de processadores físicos no servidor multiplicado por quatro.</w:t>
      </w:r>
    </w:p>
    <w:p w:rsidR="0026723A" w:rsidRPr="004B208C" w:rsidRDefault="0026723A" w:rsidP="0026723A">
      <w:pPr>
        <w:tabs>
          <w:tab w:val="left" w:pos="1440"/>
        </w:tabs>
        <w:ind w:left="1080"/>
        <w:rPr>
          <w:rFonts w:cs="Tahoma"/>
        </w:rPr>
      </w:pPr>
    </w:p>
    <w:p w:rsidR="0026723A" w:rsidRPr="004B208C" w:rsidRDefault="00A81E83" w:rsidP="0026723A">
      <w:pPr>
        <w:spacing w:after="60"/>
        <w:ind w:left="720"/>
        <w:rPr>
          <w:rFonts w:cs="Tahoma"/>
        </w:rPr>
      </w:pPr>
      <w:r w:rsidRPr="004B208C">
        <w:rPr>
          <w:rFonts w:eastAsia="Calibri" w:cs="Tahoma"/>
          <w:b/>
          <w:szCs w:val="18"/>
        </w:rPr>
        <w:t>Primeiro Prazo de Renovação (em ou após 1º de abril de 2015)</w:t>
      </w:r>
    </w:p>
    <w:p w:rsidR="00A81E83" w:rsidRPr="004B208C" w:rsidRDefault="00A81E83" w:rsidP="0026723A">
      <w:pPr>
        <w:ind w:left="720"/>
        <w:rPr>
          <w:rFonts w:cs="Tahoma"/>
        </w:rPr>
      </w:pPr>
      <w:r w:rsidRPr="004B208C">
        <w:rPr>
          <w:rFonts w:eastAsia="Calibri" w:cs="Tahoma"/>
          <w:color w:val="000000"/>
          <w:szCs w:val="18"/>
        </w:rPr>
        <w:t>Os clientes que renovaram primeiro a cobertura em ou depois de 1o. de abril de 2015</w:t>
      </w:r>
      <w:r w:rsidRPr="004B208C">
        <w:rPr>
          <w:rFonts w:eastAsia="Calibri" w:cs="Tahoma"/>
          <w:szCs w:val="18"/>
        </w:rPr>
        <w:t xml:space="preserve"> poderão, para qualquer servidor no qual eles estejam devidamente licenciados sob os direitos de uso do produto da licença do processador SQK Server 2008 R2, adquirir o Software Assurance, como pode ser visto a seguir:</w:t>
      </w:r>
    </w:p>
    <w:p w:rsidR="0026723A" w:rsidRPr="004B208C" w:rsidRDefault="0026723A" w:rsidP="0026723A">
      <w:pPr>
        <w:ind w:left="720"/>
        <w:rPr>
          <w:rFonts w:cs="Tahoma"/>
        </w:rPr>
      </w:pPr>
    </w:p>
    <w:p w:rsidR="00A81E83" w:rsidRPr="004B208C" w:rsidRDefault="00A81E83" w:rsidP="00A1385C">
      <w:pPr>
        <w:numPr>
          <w:ilvl w:val="3"/>
          <w:numId w:val="90"/>
        </w:numPr>
        <w:spacing w:after="60"/>
        <w:ind w:left="1440"/>
        <w:rPr>
          <w:rFonts w:cs="Tahoma"/>
        </w:rPr>
      </w:pPr>
      <w:r w:rsidRPr="004B208C">
        <w:rPr>
          <w:rFonts w:eastAsia="Calibri" w:cs="Tahoma"/>
          <w:szCs w:val="18"/>
        </w:rPr>
        <w:t>Conforme fornecido no primeiro parágrafo desta nota do produto, as licenças adquiridas antes de 1</w:t>
      </w:r>
      <w:r w:rsidRPr="004B208C">
        <w:rPr>
          <w:rFonts w:eastAsia="Calibri" w:cs="Tahoma"/>
          <w:szCs w:val="18"/>
          <w:vertAlign w:val="superscript"/>
        </w:rPr>
        <w:t>º</w:t>
      </w:r>
      <w:r w:rsidRPr="004B208C">
        <w:rPr>
          <w:rFonts w:eastAsia="Calibri" w:cs="Tahoma"/>
          <w:szCs w:val="18"/>
        </w:rPr>
        <w:t xml:space="preserve"> de abril de 2015 são licenças qualificadas, e os clientes poderão renovar o SA de acordo com os termos na seção “Primeiro Prazo de Renovação (Antes de 1</w:t>
      </w:r>
      <w:r w:rsidRPr="004B208C">
        <w:rPr>
          <w:rFonts w:eastAsia="Calibri" w:cs="Tahoma"/>
          <w:szCs w:val="18"/>
          <w:vertAlign w:val="superscript"/>
        </w:rPr>
        <w:t>º</w:t>
      </w:r>
      <w:r w:rsidRPr="004B208C">
        <w:rPr>
          <w:rFonts w:eastAsia="Calibri" w:cs="Tahoma"/>
          <w:szCs w:val="18"/>
        </w:rPr>
        <w:t xml:space="preserve"> de abril de 2015)“ acima e</w:t>
      </w:r>
    </w:p>
    <w:p w:rsidR="00A81E83" w:rsidRPr="004B208C" w:rsidRDefault="00A81E83" w:rsidP="00A1385C">
      <w:pPr>
        <w:numPr>
          <w:ilvl w:val="3"/>
          <w:numId w:val="90"/>
        </w:numPr>
        <w:spacing w:after="60"/>
        <w:ind w:left="1440"/>
        <w:rPr>
          <w:rFonts w:cs="Tahoma"/>
        </w:rPr>
      </w:pPr>
      <w:r w:rsidRPr="004B208C">
        <w:rPr>
          <w:rFonts w:eastAsia="Calibri" w:cs="Tahoma"/>
          <w:szCs w:val="18"/>
        </w:rPr>
        <w:t>Para as licenças adquiridas depois de 1</w:t>
      </w:r>
      <w:r w:rsidRPr="004B208C">
        <w:rPr>
          <w:rFonts w:eastAsia="Calibri" w:cs="Tahoma"/>
          <w:szCs w:val="18"/>
          <w:vertAlign w:val="superscript"/>
        </w:rPr>
        <w:t>º</w:t>
      </w:r>
      <w:r w:rsidRPr="004B208C">
        <w:rPr>
          <w:rFonts w:eastAsia="Calibri" w:cs="Tahoma"/>
          <w:szCs w:val="18"/>
        </w:rPr>
        <w:t xml:space="preserve">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w:t>
      </w:r>
      <w:r w:rsidR="0086448F">
        <w:rPr>
          <w:rFonts w:eastAsia="Calibri" w:cs="Tahoma"/>
          <w:szCs w:val="18"/>
        </w:rPr>
        <w:t> </w:t>
      </w:r>
      <w:r w:rsidRPr="004B208C">
        <w:rPr>
          <w:rFonts w:eastAsia="Calibri" w:cs="Tahoma"/>
          <w:szCs w:val="18"/>
        </w:rPr>
        <w:t>cliente tem que adquirir licenças principais adicionais.</w:t>
      </w:r>
    </w:p>
    <w:p w:rsidR="00A81E83" w:rsidRPr="0086448F" w:rsidRDefault="00A81E83" w:rsidP="00A1385C">
      <w:pPr>
        <w:numPr>
          <w:ilvl w:val="3"/>
          <w:numId w:val="90"/>
        </w:numPr>
        <w:spacing w:after="60"/>
        <w:ind w:left="1440"/>
        <w:rPr>
          <w:rFonts w:cs="Tahoma"/>
        </w:rPr>
      </w:pPr>
      <w:r w:rsidRPr="0086448F">
        <w:rPr>
          <w:rFonts w:eastAsia="Calibri" w:cs="Tahoma"/>
          <w:szCs w:val="18"/>
        </w:rPr>
        <w:t>As licenças do processador dos clientes não são mais válidas na aquisição do Software Assurance para as licenças principais sob esta oferta. A opção de adquirir o Software Assurance para licenças principais do SQL Server não é aplicável à renovação de cobertura sob os programas de assinatura.</w:t>
      </w:r>
      <w:r w:rsidR="00172F11" w:rsidRPr="0086448F">
        <w:rPr>
          <w:rFonts w:eastAsia="Calibri" w:cs="Tahoma"/>
          <w:szCs w:val="18"/>
        </w:rPr>
        <w:t xml:space="preserve"> </w:t>
      </w:r>
    </w:p>
    <w:p w:rsidR="0026723A" w:rsidRPr="004B208C" w:rsidRDefault="0026723A" w:rsidP="0026723A">
      <w:pPr>
        <w:tabs>
          <w:tab w:val="left" w:pos="1080"/>
        </w:tabs>
        <w:ind w:left="1080"/>
        <w:rPr>
          <w:rFonts w:cs="Tahoma"/>
        </w:rPr>
      </w:pPr>
    </w:p>
    <w:p w:rsidR="0026723A" w:rsidRPr="004B208C" w:rsidRDefault="00A431D5" w:rsidP="0026723A">
      <w:pPr>
        <w:spacing w:after="60"/>
        <w:ind w:left="720"/>
        <w:rPr>
          <w:rFonts w:cs="Tahoma"/>
        </w:rPr>
      </w:pPr>
      <w:r w:rsidRPr="004B208C">
        <w:rPr>
          <w:rFonts w:eastAsia="Calibri" w:cs="Tahoma"/>
          <w:b/>
          <w:szCs w:val="18"/>
        </w:rPr>
        <w:t>Para os clientes que estão desejando fazer step-up do SQL Server Standard para SQL Server Enterprise Core</w:t>
      </w:r>
    </w:p>
    <w:p w:rsidR="00A431D5" w:rsidRPr="004B208C" w:rsidRDefault="00A431D5" w:rsidP="0026723A">
      <w:pPr>
        <w:ind w:left="720"/>
        <w:rPr>
          <w:rFonts w:cs="Tahoma"/>
        </w:rPr>
      </w:pPr>
      <w:r w:rsidRPr="004B208C">
        <w:rPr>
          <w:rFonts w:eastAsia="Calibri" w:cs="Tahoma"/>
          <w:szCs w:val="18"/>
        </w:rPr>
        <w:t xml:space="preserve">Os Clientes com licenças qualificadas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 </w:t>
      </w:r>
    </w:p>
    <w:p w:rsidR="0026723A" w:rsidRPr="004B208C" w:rsidRDefault="0026723A" w:rsidP="0026723A">
      <w:pPr>
        <w:tabs>
          <w:tab w:val="left" w:pos="1080"/>
        </w:tabs>
        <w:ind w:left="1080"/>
        <w:rPr>
          <w:rFonts w:cs="Tahoma"/>
        </w:rPr>
      </w:pPr>
    </w:p>
    <w:p w:rsidR="00A431D5" w:rsidRPr="004B208C" w:rsidRDefault="00A431D5" w:rsidP="00A1385C">
      <w:pPr>
        <w:numPr>
          <w:ilvl w:val="3"/>
          <w:numId w:val="91"/>
        </w:numPr>
        <w:tabs>
          <w:tab w:val="left" w:pos="1440"/>
        </w:tabs>
        <w:spacing w:after="60"/>
        <w:ind w:left="1440"/>
        <w:rPr>
          <w:rFonts w:cs="Tahoma"/>
        </w:rPr>
      </w:pPr>
      <w:r w:rsidRPr="004B208C">
        <w:rPr>
          <w:rFonts w:eastAsia="Calibri" w:cs="Tahoma"/>
          <w:szCs w:val="18"/>
        </w:rPr>
        <w:t>Quatro OU</w:t>
      </w:r>
    </w:p>
    <w:p w:rsidR="00A431D5" w:rsidRPr="004B208C" w:rsidRDefault="00A431D5" w:rsidP="00A1385C">
      <w:pPr>
        <w:numPr>
          <w:ilvl w:val="3"/>
          <w:numId w:val="91"/>
        </w:numPr>
        <w:tabs>
          <w:tab w:val="left" w:pos="1440"/>
        </w:tabs>
        <w:spacing w:after="60"/>
        <w:ind w:left="1440"/>
        <w:rPr>
          <w:rFonts w:cs="Tahoma"/>
        </w:rPr>
      </w:pPr>
      <w:r w:rsidRPr="004B208C">
        <w:rPr>
          <w:rFonts w:eastAsia="Calibri" w:cs="Tahoma"/>
          <w:szCs w:val="18"/>
        </w:rPr>
        <w:t>o número real de núcleos por processador físico multiplicado pelo fator do núcleo apropriado.</w:t>
      </w:r>
      <w:r w:rsidR="00172F11">
        <w:rPr>
          <w:rFonts w:eastAsia="Calibri" w:cs="Tahoma"/>
          <w:szCs w:val="18"/>
        </w:rPr>
        <w:t xml:space="preserve"> </w:t>
      </w:r>
      <w:r w:rsidRPr="004B208C">
        <w:rPr>
          <w:rFonts w:eastAsia="Calibri" w:cs="Tahoma"/>
          <w:szCs w:val="18"/>
        </w:rPr>
        <w:t xml:space="preserve">(Nos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aquisição das licenças de Step-up usando a ferramenta Microsoft MAP ou qualquer software equivalente.) </w:t>
      </w:r>
    </w:p>
    <w:p w:rsidR="0026723A" w:rsidRPr="004B208C" w:rsidRDefault="0026723A" w:rsidP="0026723A">
      <w:pPr>
        <w:tabs>
          <w:tab w:val="left" w:pos="1440"/>
        </w:tabs>
        <w:ind w:left="1440"/>
        <w:rPr>
          <w:rFonts w:cs="Tahoma"/>
        </w:rPr>
      </w:pPr>
    </w:p>
    <w:p w:rsidR="00A431D5" w:rsidRPr="004B208C" w:rsidRDefault="00A431D5" w:rsidP="0026723A">
      <w:pPr>
        <w:ind w:left="720"/>
        <w:rPr>
          <w:rFonts w:cs="Tahoma"/>
        </w:rPr>
      </w:pPr>
      <w:r w:rsidRPr="004B208C">
        <w:rPr>
          <w:rFonts w:eastAsia="Calibri" w:cs="Tahoma"/>
          <w:szCs w:val="18"/>
        </w:rPr>
        <w:t>Mediante a aquisição do número apropriado de licenças Step-up para SQL Server Enterprise Core, o cliente poderá implantar e usar o software sob os direitos de uso do SQL Server Enterprise Core.</w:t>
      </w:r>
      <w:r w:rsidR="00172F11">
        <w:rPr>
          <w:rFonts w:eastAsia="Calibri" w:cs="Tahoma"/>
          <w:szCs w:val="18"/>
        </w:rPr>
        <w:t xml:space="preserve"> </w:t>
      </w:r>
      <w:r w:rsidRPr="004B208C">
        <w:rPr>
          <w:rFonts w:eastAsia="Calibri" w:cs="Tahoma"/>
          <w:szCs w:val="18"/>
        </w:rPr>
        <w:t>Exceto conforme fornecido nesta seção “Para os clientes que estão desejando fazer step-up do SQL Server Standard para SQL Server Enterprise Core”</w:t>
      </w:r>
      <w:r w:rsidRPr="004B208C">
        <w:rPr>
          <w:rFonts w:eastAsia="Calibri" w:cs="Tahoma"/>
          <w:b/>
          <w:szCs w:val="18"/>
        </w:rPr>
        <w:t xml:space="preserve">, </w:t>
      </w:r>
      <w:r w:rsidRPr="004B208C">
        <w:rPr>
          <w:rFonts w:eastAsia="Calibri" w:cs="Tahoma"/>
          <w:szCs w:val="18"/>
        </w:rPr>
        <w:t>aplicam-se os termos e as condições pertencentes à aquisição de licenças Step-up, conforme descrito na seção Software Assurance desta Lista de produto.</w:t>
      </w:r>
      <w:r w:rsidRPr="004B208C">
        <w:rPr>
          <w:rFonts w:eastAsia="Calibri" w:cs="Tahoma"/>
          <w:b/>
          <w:szCs w:val="18"/>
        </w:rPr>
        <w:t xml:space="preserve"> </w:t>
      </w:r>
    </w:p>
    <w:p w:rsidR="0026723A" w:rsidRPr="004B208C" w:rsidRDefault="0026723A" w:rsidP="0026723A">
      <w:pPr>
        <w:tabs>
          <w:tab w:val="left" w:pos="1080"/>
        </w:tabs>
        <w:ind w:left="1080"/>
        <w:rPr>
          <w:rFonts w:cs="Tahoma"/>
        </w:rPr>
      </w:pPr>
    </w:p>
    <w:p w:rsidR="0026723A" w:rsidRPr="004B208C" w:rsidRDefault="00A81E83" w:rsidP="0026723A">
      <w:pPr>
        <w:spacing w:after="60"/>
        <w:ind w:left="720"/>
        <w:rPr>
          <w:rFonts w:cs="Tahoma"/>
        </w:rPr>
      </w:pPr>
      <w:r w:rsidRPr="004B208C">
        <w:rPr>
          <w:rFonts w:eastAsia="Calibri" w:cs="Tahoma"/>
          <w:b/>
          <w:szCs w:val="18"/>
        </w:rPr>
        <w:t>Para os clientes com cobertura de Software Assurance que expiram antes de 1º de abril de 2015 que optaram pela não renovação</w:t>
      </w:r>
    </w:p>
    <w:p w:rsidR="00A81E83" w:rsidRPr="004B208C" w:rsidRDefault="00A81E83" w:rsidP="0026723A">
      <w:pPr>
        <w:ind w:left="720"/>
        <w:rPr>
          <w:rFonts w:cs="Tahoma"/>
        </w:rPr>
      </w:pPr>
      <w:r w:rsidRPr="004B208C">
        <w:rPr>
          <w:rFonts w:eastAsia="Calibri" w:cs="Tahoma"/>
          <w:szCs w:val="18"/>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9C7505" w:rsidRPr="004B208C" w:rsidRDefault="009C7505" w:rsidP="0026723A">
      <w:pPr>
        <w:ind w:left="720"/>
        <w:rPr>
          <w:rFonts w:cs="Tahoma"/>
        </w:rPr>
      </w:pPr>
    </w:p>
    <w:p w:rsidR="00A81E83" w:rsidRPr="004B208C" w:rsidRDefault="00A81E83" w:rsidP="00A1385C">
      <w:pPr>
        <w:numPr>
          <w:ilvl w:val="0"/>
          <w:numId w:val="92"/>
        </w:numPr>
        <w:tabs>
          <w:tab w:val="left" w:pos="1440"/>
        </w:tabs>
        <w:spacing w:after="60"/>
        <w:ind w:left="1440"/>
        <w:rPr>
          <w:rFonts w:cs="Tahoma"/>
        </w:rPr>
      </w:pPr>
      <w:r w:rsidRPr="004B208C">
        <w:rPr>
          <w:rFonts w:eastAsia="Calibri" w:cs="Tahoma"/>
          <w:b/>
          <w:szCs w:val="18"/>
        </w:rPr>
        <w:t>SQL Server 2008 R2 Standard:</w:t>
      </w:r>
      <w:r w:rsidRPr="004B208C">
        <w:rPr>
          <w:rFonts w:eastAsia="Calibri" w:cs="Tahoma"/>
          <w:szCs w:val="18"/>
        </w:rPr>
        <w:t xml:space="preserve"> 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 </w:t>
      </w:r>
    </w:p>
    <w:p w:rsidR="00A81E83" w:rsidRPr="004B208C" w:rsidRDefault="00A81E83" w:rsidP="00A1385C">
      <w:pPr>
        <w:numPr>
          <w:ilvl w:val="0"/>
          <w:numId w:val="92"/>
        </w:numPr>
        <w:tabs>
          <w:tab w:val="left" w:pos="1440"/>
        </w:tabs>
        <w:spacing w:after="60"/>
        <w:ind w:left="1440"/>
        <w:rPr>
          <w:rFonts w:cs="Tahoma"/>
        </w:rPr>
      </w:pPr>
      <w:r w:rsidRPr="004B208C">
        <w:rPr>
          <w:rFonts w:eastAsia="Calibri" w:cs="Tahoma"/>
          <w:b/>
          <w:szCs w:val="18"/>
        </w:rPr>
        <w:lastRenderedPageBreak/>
        <w:t xml:space="preserve">SQL Server 2012 Standard Core: </w:t>
      </w:r>
      <w:r w:rsidRPr="004B208C">
        <w:rPr>
          <w:rFonts w:eastAsia="Calibri" w:cs="Tahoma"/>
          <w:szCs w:val="18"/>
        </w:rPr>
        <w:t>O uso desta versão do software está sujeito aos direitos de</w:t>
      </w:r>
      <w:r w:rsidR="0086448F">
        <w:rPr>
          <w:rFonts w:eastAsia="Calibri" w:cs="Tahoma"/>
          <w:szCs w:val="18"/>
        </w:rPr>
        <w:t> </w:t>
      </w:r>
      <w:r w:rsidRPr="004B208C">
        <w:rPr>
          <w:rFonts w:eastAsia="Calibri" w:cs="Tahoma"/>
          <w:szCs w:val="18"/>
        </w:rPr>
        <w:t xml:space="preserve">uso do produto de licença do processador do SQL Server 2008 R2 Standard, no entanto: </w:t>
      </w:r>
    </w:p>
    <w:p w:rsidR="00A81E83" w:rsidRPr="004B208C" w:rsidRDefault="00A81E83" w:rsidP="00A1385C">
      <w:pPr>
        <w:numPr>
          <w:ilvl w:val="1"/>
          <w:numId w:val="93"/>
        </w:numPr>
        <w:tabs>
          <w:tab w:val="left" w:pos="1800"/>
        </w:tabs>
        <w:spacing w:after="60"/>
        <w:ind w:left="1800"/>
        <w:rPr>
          <w:rFonts w:cs="Tahoma"/>
        </w:rPr>
      </w:pPr>
      <w:r w:rsidRPr="004B208C">
        <w:rPr>
          <w:rFonts w:eastAsia="Calibri" w:cs="Tahoma"/>
          <w:szCs w:val="18"/>
        </w:rPr>
        <w:t xml:space="preserve">os clientes não têm mais direitos sob Mobilidade de Licença nos Farms de Servidores nem Mobilidade de Licença por meio de Software Assurance e </w:t>
      </w:r>
    </w:p>
    <w:p w:rsidR="00A81E83" w:rsidRPr="004B208C" w:rsidRDefault="00A81E83" w:rsidP="00A1385C">
      <w:pPr>
        <w:numPr>
          <w:ilvl w:val="1"/>
          <w:numId w:val="93"/>
        </w:numPr>
        <w:tabs>
          <w:tab w:val="left" w:pos="1800"/>
        </w:tabs>
        <w:spacing w:after="60"/>
        <w:ind w:left="1800"/>
        <w:rPr>
          <w:rFonts w:cs="Tahoma"/>
        </w:rPr>
      </w:pPr>
      <w:r w:rsidRPr="004B208C">
        <w:rPr>
          <w:rFonts w:eastAsia="Calibri" w:cs="Tahoma"/>
          <w:szCs w:val="18"/>
        </w:rPr>
        <w:t xml:space="preserve">quaisquer reatribuição de licenças está sujeita a limitações em (i) e (ii) abaixo relacionada a sua “equivalência de licença principal”. A equivalência de licença principal é determinada da seguinte forma: </w:t>
      </w:r>
    </w:p>
    <w:p w:rsidR="00A81E83" w:rsidRPr="004B208C" w:rsidRDefault="00A81E83" w:rsidP="00A1385C">
      <w:pPr>
        <w:numPr>
          <w:ilvl w:val="2"/>
          <w:numId w:val="92"/>
        </w:numPr>
        <w:tabs>
          <w:tab w:val="left" w:pos="2160"/>
        </w:tabs>
        <w:spacing w:after="60"/>
        <w:ind w:hanging="360"/>
        <w:rPr>
          <w:rFonts w:cs="Tahoma"/>
        </w:rPr>
      </w:pPr>
      <w:r w:rsidRPr="004B208C">
        <w:rPr>
          <w:rFonts w:eastAsia="Calibri" w:cs="Tahoma"/>
          <w:szCs w:val="18"/>
        </w:rPr>
        <w:t>Para um número de licenças igual ao menor do (x) número total de licenças do processador atribuídas a um servidor licenciado que antecede imediatamente a expiração do Software Assurance ou (y) o número total de processadores físicos naquele servidor, a</w:t>
      </w:r>
      <w:r w:rsidR="0086448F">
        <w:rPr>
          <w:rFonts w:eastAsia="Calibri" w:cs="Tahoma"/>
          <w:szCs w:val="18"/>
        </w:rPr>
        <w:t> </w:t>
      </w:r>
      <w:r w:rsidRPr="004B208C">
        <w:rPr>
          <w:rFonts w:eastAsia="Calibri" w:cs="Tahoma"/>
          <w:szCs w:val="18"/>
        </w:rPr>
        <w:t xml:space="preserve">equivalência de licença principal é maior do que: </w:t>
      </w:r>
    </w:p>
    <w:p w:rsidR="00A81E83" w:rsidRPr="0086448F" w:rsidRDefault="00A81E83" w:rsidP="00A1385C">
      <w:pPr>
        <w:numPr>
          <w:ilvl w:val="0"/>
          <w:numId w:val="141"/>
        </w:numPr>
        <w:tabs>
          <w:tab w:val="left" w:pos="2520"/>
        </w:tabs>
        <w:spacing w:after="60"/>
        <w:ind w:left="2880"/>
        <w:rPr>
          <w:rFonts w:cs="Tahoma"/>
        </w:rPr>
      </w:pPr>
      <w:r w:rsidRPr="0086448F">
        <w:rPr>
          <w:rFonts w:eastAsia="Calibri" w:cs="Tahoma"/>
          <w:szCs w:val="18"/>
        </w:rPr>
        <w:t xml:space="preserve">quatro núcleos por licença de processador OU </w:t>
      </w:r>
    </w:p>
    <w:p w:rsidR="00A81E83" w:rsidRPr="004B208C" w:rsidRDefault="00A81E83" w:rsidP="00A1385C">
      <w:pPr>
        <w:numPr>
          <w:ilvl w:val="0"/>
          <w:numId w:val="141"/>
        </w:numPr>
        <w:tabs>
          <w:tab w:val="left" w:pos="2520"/>
        </w:tabs>
        <w:spacing w:after="60"/>
        <w:ind w:left="2880"/>
        <w:rPr>
          <w:rFonts w:cs="Tahoma"/>
        </w:rPr>
      </w:pPr>
      <w:r w:rsidRPr="004B208C">
        <w:rPr>
          <w:rFonts w:eastAsia="Calibri" w:cs="Tahoma"/>
          <w:szCs w:val="18"/>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A81E83" w:rsidRPr="004B208C" w:rsidRDefault="00A81E83" w:rsidP="00A1385C">
      <w:pPr>
        <w:numPr>
          <w:ilvl w:val="2"/>
          <w:numId w:val="92"/>
        </w:numPr>
        <w:tabs>
          <w:tab w:val="left" w:pos="2160"/>
        </w:tabs>
        <w:spacing w:after="60"/>
        <w:ind w:hanging="360"/>
        <w:rPr>
          <w:rFonts w:cs="Tahoma"/>
        </w:rPr>
      </w:pPr>
      <w:r w:rsidRPr="004B208C">
        <w:rPr>
          <w:rFonts w:eastAsia="Calibri" w:cs="Tahoma"/>
          <w:szCs w:val="18"/>
        </w:rPr>
        <w:t>Para qualquer licença de processador com um Software Assurance expirando atribuído ao</w:t>
      </w:r>
      <w:r w:rsidR="0086448F">
        <w:rPr>
          <w:rFonts w:eastAsia="Calibri" w:cs="Tahoma"/>
          <w:szCs w:val="18"/>
        </w:rPr>
        <w:t> </w:t>
      </w:r>
      <w:r w:rsidRPr="004B208C">
        <w:rPr>
          <w:rFonts w:eastAsia="Calibri" w:cs="Tahoma"/>
          <w:szCs w:val="18"/>
        </w:rPr>
        <w:t>mesmo servidor licenciado em excesso do número real de processadores físicos no servidor, a equivalência de núcleo é de quatro núcleos por licença de processador.</w:t>
      </w:r>
    </w:p>
    <w:p w:rsidR="00A81E83" w:rsidRPr="004B208C" w:rsidRDefault="00A81E83" w:rsidP="00A1385C">
      <w:pPr>
        <w:numPr>
          <w:ilvl w:val="0"/>
          <w:numId w:val="51"/>
        </w:numPr>
        <w:tabs>
          <w:tab w:val="left" w:pos="1440"/>
        </w:tabs>
        <w:spacing w:after="60"/>
        <w:ind w:left="1440"/>
        <w:rPr>
          <w:rFonts w:cs="Tahoma"/>
        </w:rPr>
      </w:pPr>
      <w:r w:rsidRPr="004B208C">
        <w:rPr>
          <w:rFonts w:eastAsia="Calibri" w:cs="Tahoma"/>
          <w:szCs w:val="18"/>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w:t>
      </w:r>
      <w:r w:rsidR="0086448F">
        <w:rPr>
          <w:rFonts w:eastAsia="Calibri" w:cs="Tahoma"/>
          <w:szCs w:val="18"/>
        </w:rPr>
        <w:t> </w:t>
      </w:r>
      <w:r w:rsidRPr="004B208C">
        <w:rPr>
          <w:rFonts w:eastAsia="Calibri" w:cs="Tahoma"/>
          <w:szCs w:val="18"/>
        </w:rPr>
        <w:t>SQL Server 2012 adicionais.</w:t>
      </w:r>
    </w:p>
    <w:p w:rsidR="00A81E83" w:rsidRPr="004B208C" w:rsidRDefault="00A81E83" w:rsidP="00A1385C">
      <w:pPr>
        <w:numPr>
          <w:ilvl w:val="0"/>
          <w:numId w:val="51"/>
        </w:numPr>
        <w:tabs>
          <w:tab w:val="left" w:pos="1440"/>
        </w:tabs>
        <w:spacing w:after="60"/>
        <w:ind w:left="1440"/>
        <w:rPr>
          <w:rFonts w:cs="Tahoma"/>
        </w:rPr>
      </w:pPr>
      <w:r w:rsidRPr="004B208C">
        <w:rPr>
          <w:rFonts w:eastAsia="Calibri" w:cs="Tahoma"/>
          <w:szCs w:val="18"/>
        </w:rPr>
        <w:t>A equivalência de licença principal dos clientes não implica que eles podem atribuir uma única licença de processador a núcleos por dois ou mais processadores.</w:t>
      </w:r>
    </w:p>
    <w:p w:rsidR="009C7505" w:rsidRPr="004B208C" w:rsidRDefault="009C7505" w:rsidP="009C7505">
      <w:pPr>
        <w:tabs>
          <w:tab w:val="left" w:pos="1440"/>
        </w:tabs>
        <w:ind w:left="1080"/>
        <w:rPr>
          <w:rFonts w:cs="Tahoma"/>
        </w:rPr>
      </w:pPr>
    </w:p>
    <w:p w:rsidR="009C7505" w:rsidRPr="004B208C" w:rsidRDefault="00A81E83" w:rsidP="009C7505">
      <w:pPr>
        <w:tabs>
          <w:tab w:val="left" w:pos="720"/>
        </w:tabs>
        <w:spacing w:after="60"/>
        <w:ind w:left="720"/>
        <w:rPr>
          <w:rFonts w:cs="Tahoma"/>
        </w:rPr>
      </w:pPr>
      <w:r w:rsidRPr="004B208C">
        <w:rPr>
          <w:rFonts w:eastAsia="Calibri" w:cs="Tahoma"/>
          <w:b/>
          <w:szCs w:val="18"/>
        </w:rPr>
        <w:t>Para os clientes com cobertura de Software Assurance que expiram em ou depois de 1º de abril de 2015 que optaram pela não renovação</w:t>
      </w:r>
    </w:p>
    <w:p w:rsidR="00A81E83" w:rsidRPr="004B208C" w:rsidRDefault="00A81E83" w:rsidP="009C7505">
      <w:pPr>
        <w:tabs>
          <w:tab w:val="left" w:pos="720"/>
        </w:tabs>
        <w:ind w:left="720"/>
        <w:rPr>
          <w:rFonts w:cs="Tahoma"/>
        </w:rPr>
      </w:pPr>
      <w:r w:rsidRPr="004B208C">
        <w:rPr>
          <w:rFonts w:eastAsia="Calibri" w:cs="Tahoma"/>
          <w:color w:val="000000"/>
          <w:szCs w:val="18"/>
        </w:rPr>
        <w:t xml:space="preserve">Os clientes do Enterprise Subscription </w:t>
      </w:r>
      <w:r w:rsidRPr="004B208C">
        <w:rPr>
          <w:rFonts w:eastAsia="Calibri" w:cs="Tahoma"/>
          <w:szCs w:val="18"/>
        </w:rPr>
        <w:t xml:space="preserve">e Open Value Subscription </w:t>
      </w:r>
      <w:r w:rsidRPr="004B208C">
        <w:rPr>
          <w:rFonts w:eastAsia="Calibri" w:cs="Tahoma"/>
          <w:color w:val="000000"/>
          <w:szCs w:val="18"/>
        </w:rPr>
        <w:t>com cobertura expirando em ou depois de</w:t>
      </w:r>
      <w:r w:rsidR="0086448F">
        <w:rPr>
          <w:rFonts w:eastAsia="Calibri" w:cs="Tahoma"/>
          <w:color w:val="000000"/>
          <w:szCs w:val="18"/>
        </w:rPr>
        <w:t> </w:t>
      </w:r>
      <w:r w:rsidRPr="004B208C">
        <w:rPr>
          <w:rFonts w:eastAsia="Calibri" w:cs="Tahoma"/>
          <w:color w:val="000000"/>
          <w:szCs w:val="18"/>
        </w:rPr>
        <w:t xml:space="preserve">1º de abril de 2015 que optarem por comprar licenças de processador e quaisquer outros clientes que adquirirem licenças perpétuas sob este contrato terão as seguintes opções: </w:t>
      </w:r>
    </w:p>
    <w:p w:rsidR="009C7505" w:rsidRPr="004B208C" w:rsidRDefault="009C7505" w:rsidP="009C7505">
      <w:pPr>
        <w:tabs>
          <w:tab w:val="left" w:pos="720"/>
        </w:tabs>
        <w:ind w:left="720"/>
        <w:rPr>
          <w:rFonts w:cs="Tahoma"/>
        </w:rPr>
      </w:pPr>
    </w:p>
    <w:p w:rsidR="00A81E83" w:rsidRPr="0086448F" w:rsidRDefault="00A81E83" w:rsidP="00A1385C">
      <w:pPr>
        <w:numPr>
          <w:ilvl w:val="0"/>
          <w:numId w:val="142"/>
        </w:numPr>
        <w:spacing w:after="60"/>
        <w:ind w:left="1440"/>
        <w:rPr>
          <w:rFonts w:cs="Tahoma"/>
        </w:rPr>
      </w:pPr>
      <w:r w:rsidRPr="0086448F">
        <w:rPr>
          <w:rFonts w:eastAsia="Calibri" w:cs="Tahoma"/>
          <w:szCs w:val="18"/>
        </w:rPr>
        <w:t>Conforme fornecido no primeiro parágrafo desta nota de produto, as licenças adquiridas antes de 1</w:t>
      </w:r>
      <w:r w:rsidRPr="0086448F">
        <w:rPr>
          <w:rFonts w:eastAsia="Calibri" w:cs="Tahoma"/>
          <w:szCs w:val="18"/>
          <w:vertAlign w:val="superscript"/>
        </w:rPr>
        <w:t>º</w:t>
      </w:r>
      <w:r w:rsidRPr="0086448F">
        <w:rPr>
          <w:rFonts w:eastAsia="Calibri" w:cs="Tahoma"/>
          <w:szCs w:val="18"/>
        </w:rPr>
        <w:t xml:space="preserve"> de abril de 2015 são licenças qualificadas, e os clientes poderão continuar usar o SQL Server 2012 de acordo com os termos na seção “Para Clientes com cobertura de Software Assurance antes de 1º de abril de 2015, que optou por não renovar” acima e</w:t>
      </w:r>
    </w:p>
    <w:p w:rsidR="00A81E83" w:rsidRPr="004B208C" w:rsidRDefault="00A81E83" w:rsidP="00A1385C">
      <w:pPr>
        <w:numPr>
          <w:ilvl w:val="0"/>
          <w:numId w:val="142"/>
        </w:numPr>
        <w:spacing w:after="60"/>
        <w:ind w:left="1440"/>
        <w:rPr>
          <w:rFonts w:cs="Tahoma"/>
        </w:rPr>
      </w:pPr>
      <w:r w:rsidRPr="004B208C">
        <w:rPr>
          <w:rFonts w:eastAsia="Calibri" w:cs="Tahoma"/>
          <w:szCs w:val="18"/>
        </w:rPr>
        <w:t>Para as licenças adquiridas depois de 1</w:t>
      </w:r>
      <w:r w:rsidRPr="004B208C">
        <w:rPr>
          <w:rFonts w:eastAsia="Calibri" w:cs="Tahoma"/>
          <w:szCs w:val="18"/>
          <w:vertAlign w:val="superscript"/>
        </w:rPr>
        <w:t>º</w:t>
      </w:r>
      <w:r w:rsidRPr="004B208C">
        <w:rPr>
          <w:rFonts w:eastAsia="Calibri" w:cs="Tahoma"/>
          <w:szCs w:val="18"/>
        </w:rPr>
        <w:t xml:space="preserve"> de abril de 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9C7505" w:rsidRPr="004B208C" w:rsidRDefault="009C7505" w:rsidP="009C7505">
      <w:pPr>
        <w:ind w:left="1440"/>
        <w:rPr>
          <w:rFonts w:cs="Tahoma"/>
        </w:rPr>
      </w:pPr>
    </w:p>
    <w:p w:rsidR="009C7505" w:rsidRPr="004B208C" w:rsidRDefault="00A81E83" w:rsidP="009C7505">
      <w:pPr>
        <w:spacing w:after="60"/>
        <w:ind w:left="720"/>
        <w:rPr>
          <w:rFonts w:cs="Tahoma"/>
        </w:rPr>
      </w:pPr>
      <w:r w:rsidRPr="004B208C">
        <w:rPr>
          <w:rFonts w:cs="Tahoma"/>
          <w:b/>
        </w:rPr>
        <w:t>Para os clientes localizados na República Popular da</w:t>
      </w:r>
      <w:r w:rsidRPr="004B208C">
        <w:rPr>
          <w:rFonts w:cs="Tahoma"/>
        </w:rPr>
        <w:t xml:space="preserve"> </w:t>
      </w:r>
      <w:r w:rsidRPr="004B208C">
        <w:rPr>
          <w:rFonts w:cs="Tahoma"/>
          <w:b/>
        </w:rPr>
        <w:t>China e para os que estão adquirindo licenças de processador e Software Assurance para SQL Server 2008 R2</w:t>
      </w:r>
    </w:p>
    <w:p w:rsidR="001D7A2C" w:rsidRPr="004B208C" w:rsidRDefault="00A81E83" w:rsidP="009C7505">
      <w:pPr>
        <w:ind w:left="720"/>
        <w:rPr>
          <w:rFonts w:cs="Tahoma"/>
        </w:rPr>
      </w:pPr>
      <w:r w:rsidRPr="004B208C">
        <w:rPr>
          <w:rFonts w:cs="Tahoma"/>
        </w:rPr>
        <w:t>As referências a 1</w:t>
      </w:r>
      <w:r w:rsidRPr="004B208C">
        <w:rPr>
          <w:rFonts w:cs="Tahoma"/>
          <w:vertAlign w:val="superscript"/>
        </w:rPr>
        <w:t>º</w:t>
      </w:r>
      <w:r w:rsidRPr="004B208C">
        <w:rPr>
          <w:rFonts w:cs="Tahoma"/>
        </w:rPr>
        <w:t xml:space="preserve"> de abril de 2012 e 1</w:t>
      </w:r>
      <w:r w:rsidRPr="004B208C">
        <w:rPr>
          <w:rFonts w:cs="Tahoma"/>
          <w:vertAlign w:val="superscript"/>
        </w:rPr>
        <w:t>º</w:t>
      </w:r>
      <w:r w:rsidRPr="004B208C">
        <w:rPr>
          <w:rFonts w:cs="Tahoma"/>
        </w:rPr>
        <w:t xml:space="preserve"> de abril de 2015 nesta nota da lista de produtos não são aplicáveis. As datas aplicáveis para esses clientes são 1</w:t>
      </w:r>
      <w:r w:rsidRPr="004B208C">
        <w:rPr>
          <w:rFonts w:cs="Tahoma"/>
          <w:vertAlign w:val="superscript"/>
        </w:rPr>
        <w:t>º</w:t>
      </w:r>
      <w:r w:rsidRPr="004B208C">
        <w:rPr>
          <w:rFonts w:cs="Tahoma"/>
        </w:rPr>
        <w:t xml:space="preserve"> de julho de 2012 e 1</w:t>
      </w:r>
      <w:r w:rsidRPr="004B208C">
        <w:rPr>
          <w:rFonts w:cs="Tahoma"/>
          <w:vertAlign w:val="superscript"/>
        </w:rPr>
        <w:t>º</w:t>
      </w:r>
      <w:r w:rsidRPr="004B208C">
        <w:rPr>
          <w:rFonts w:cs="Tahoma"/>
        </w:rPr>
        <w:t xml:space="preserve"> de julho de 2015, respectivamente.</w:t>
      </w:r>
      <w:bookmarkStart w:id="1452" w:name="_821_SQL_Server®"/>
      <w:bookmarkEnd w:id="1398"/>
      <w:bookmarkEnd w:id="1399"/>
      <w:bookmarkEnd w:id="1400"/>
      <w:bookmarkEnd w:id="1401"/>
      <w:bookmarkEnd w:id="1452"/>
    </w:p>
    <w:p w:rsidR="009C7505" w:rsidRPr="004B208C" w:rsidRDefault="009C7505" w:rsidP="009C7505">
      <w:pPr>
        <w:rPr>
          <w:rFonts w:cs="Tahoma"/>
        </w:rPr>
      </w:pPr>
    </w:p>
    <w:p w:rsidR="00602EF4" w:rsidRDefault="00602EF4" w:rsidP="00602EF4">
      <w:pPr>
        <w:rPr>
          <w:rFonts w:cs="Tahoma"/>
        </w:rPr>
      </w:pPr>
      <w:bookmarkStart w:id="1453" w:name="Srv_82SysCtrDataProMgr07StdSvrMgmtML"/>
      <w:bookmarkStart w:id="1454" w:name="Srv_78SysCtrDataProMgr07StdSvrMgmtML"/>
      <w:bookmarkStart w:id="1455" w:name="Srv_79SysCtrDataProMgr07StdSvrMgmtML"/>
    </w:p>
    <w:p w:rsidR="004A7475" w:rsidRDefault="004A7475" w:rsidP="00602EF4">
      <w:pPr>
        <w:rPr>
          <w:rFonts w:cs="Tahoma"/>
        </w:rPr>
      </w:pPr>
    </w:p>
    <w:p w:rsidR="004A7475" w:rsidRDefault="004A7475" w:rsidP="00602EF4">
      <w:pPr>
        <w:rPr>
          <w:rFonts w:cs="Tahoma"/>
        </w:rPr>
      </w:pPr>
    </w:p>
    <w:p w:rsidR="004A7475" w:rsidRPr="004B208C" w:rsidRDefault="004A7475" w:rsidP="00602EF4">
      <w:pPr>
        <w:rPr>
          <w:rFonts w:cs="Tahoma"/>
        </w:rPr>
      </w:pPr>
    </w:p>
    <w:p w:rsidR="00023FE7" w:rsidRPr="004B208C" w:rsidRDefault="00A560B6" w:rsidP="0037081F">
      <w:pPr>
        <w:pStyle w:val="Heading3"/>
        <w:rPr>
          <w:rFonts w:ascii="Tahoma" w:hAnsi="Tahoma" w:cs="Tahoma"/>
        </w:rPr>
      </w:pPr>
      <w:bookmarkStart w:id="1456" w:name="_79_System_Center"/>
      <w:bookmarkStart w:id="1457" w:name="_86_84_System"/>
      <w:bookmarkStart w:id="1458" w:name="_Toc336338351"/>
      <w:bookmarkStart w:id="1459" w:name="Srv_79SystemCenterEssentials07"/>
      <w:bookmarkStart w:id="1460" w:name="Srv_80SystemCenterEssentials07"/>
      <w:bookmarkStart w:id="1461" w:name="Srv_83SystemCenterEssentials07"/>
      <w:bookmarkStart w:id="1462" w:name="_Toc370981464"/>
      <w:bookmarkEnd w:id="1453"/>
      <w:bookmarkEnd w:id="1454"/>
      <w:bookmarkEnd w:id="1455"/>
      <w:bookmarkEnd w:id="1456"/>
      <w:bookmarkEnd w:id="1457"/>
      <w:r w:rsidRPr="004B208C">
        <w:rPr>
          <w:rFonts w:ascii="Tahoma" w:hAnsi="Tahoma" w:cs="Tahoma"/>
          <w:caps/>
          <w:color w:val="F66400"/>
          <w:sz w:val="22"/>
          <w:vertAlign w:val="superscript"/>
        </w:rPr>
        <w:lastRenderedPageBreak/>
        <w:t>90</w:t>
      </w:r>
      <w:r w:rsidRPr="004B208C">
        <w:rPr>
          <w:rFonts w:ascii="Tahoma" w:hAnsi="Tahoma" w:cs="Tahoma"/>
          <w:color w:val="F66400"/>
          <w:sz w:val="22"/>
        </w:rPr>
        <w:t xml:space="preserve"> System Center Essentials 2010</w:t>
      </w:r>
      <w:bookmarkEnd w:id="1458"/>
      <w:bookmarkEnd w:id="1462"/>
    </w:p>
    <w:bookmarkEnd w:id="1459"/>
    <w:bookmarkEnd w:id="1460"/>
    <w:bookmarkEnd w:id="1461"/>
    <w:p w:rsidR="00A30254" w:rsidRPr="004B208C" w:rsidRDefault="00A30254" w:rsidP="00602EF4">
      <w:pPr>
        <w:spacing w:after="60"/>
        <w:ind w:left="720"/>
        <w:rPr>
          <w:rFonts w:cs="Tahoma"/>
        </w:rPr>
      </w:pPr>
    </w:p>
    <w:p w:rsidR="00A30254" w:rsidRPr="004B208C" w:rsidRDefault="00A30254" w:rsidP="00A30254">
      <w:pPr>
        <w:spacing w:after="60"/>
        <w:ind w:left="720"/>
        <w:rPr>
          <w:rFonts w:cs="Tahoma"/>
        </w:rPr>
      </w:pPr>
      <w:r w:rsidRPr="004B208C">
        <w:rPr>
          <w:rFonts w:cs="Tahoma"/>
          <w:b/>
          <w:color w:val="000000"/>
          <w:szCs w:val="20"/>
        </w:rPr>
        <w:t>Outorga de Licença para os Clientes de Software Assurance do System Center Essentials 2010</w:t>
      </w:r>
    </w:p>
    <w:p w:rsidR="00A30254" w:rsidRPr="0086448F" w:rsidRDefault="00A30254" w:rsidP="00A30254">
      <w:pPr>
        <w:pStyle w:val="EndnoteText"/>
        <w:ind w:left="720"/>
        <w:rPr>
          <w:rFonts w:ascii="Tahoma" w:hAnsi="Tahoma" w:cs="Tahoma"/>
          <w:sz w:val="18"/>
          <w:szCs w:val="18"/>
        </w:rPr>
      </w:pPr>
      <w:r w:rsidRPr="0086448F">
        <w:rPr>
          <w:rFonts w:ascii="Tahoma" w:hAnsi="Tahoma" w:cs="Tahoma"/>
          <w:sz w:val="18"/>
          <w:szCs w:val="18"/>
        </w:rPr>
        <w:t>A versão 2010 do System Center Essentials (SCE) será a última versão do produto.</w:t>
      </w:r>
      <w:r w:rsidR="00172F11" w:rsidRPr="0086448F">
        <w:rPr>
          <w:rFonts w:ascii="Tahoma" w:hAnsi="Tahoma" w:cs="Tahoma"/>
          <w:sz w:val="18"/>
          <w:szCs w:val="18"/>
        </w:rPr>
        <w:t xml:space="preserve"> </w:t>
      </w:r>
      <w:r w:rsidRPr="0086448F">
        <w:rPr>
          <w:rFonts w:ascii="Tahoma" w:hAnsi="Tahoma" w:cs="Tahoma"/>
          <w:sz w:val="18"/>
          <w:szCs w:val="18"/>
        </w:rPr>
        <w:t>Os clientes que possuírem cobertura de Software Assurance para SCE a partir de 1o de março de 2013 terão uma concessão de licenças do System Center 2012 sem custo adicional, a não ser os custos de mídia (se aplicável).</w:t>
      </w:r>
      <w:r w:rsidR="00172F11" w:rsidRPr="0086448F">
        <w:rPr>
          <w:rFonts w:ascii="Tahoma" w:hAnsi="Tahoma" w:cs="Tahoma"/>
          <w:sz w:val="18"/>
          <w:szCs w:val="18"/>
        </w:rPr>
        <w:t xml:space="preserve"> </w:t>
      </w:r>
      <w:r w:rsidRPr="0086448F">
        <w:rPr>
          <w:rFonts w:ascii="Tahoma" w:hAnsi="Tahoma" w:cs="Tahoma"/>
          <w:sz w:val="18"/>
          <w:szCs w:val="18"/>
        </w:rPr>
        <w:t>O número de licenças do System Center 2012 para as quais um cliente estará qualificado sob esta oferta varia com base no número e no tipo de licenças SCE com cobertura de Software Assurance que o cliente adquiriu.</w:t>
      </w:r>
      <w:r w:rsidR="00172F11" w:rsidRPr="0086448F">
        <w:rPr>
          <w:rFonts w:ascii="Tahoma" w:hAnsi="Tahoma" w:cs="Tahoma"/>
          <w:sz w:val="18"/>
          <w:szCs w:val="18"/>
        </w:rPr>
        <w:t xml:space="preserve"> </w:t>
      </w:r>
      <w:r w:rsidRPr="0086448F">
        <w:rPr>
          <w:rFonts w:ascii="Tahoma" w:hAnsi="Tahoma" w:cs="Tahoma"/>
          <w:sz w:val="18"/>
          <w:szCs w:val="18"/>
        </w:rPr>
        <w:t>Consulte a tabela a seguir para obter detalhes.</w:t>
      </w:r>
    </w:p>
    <w:p w:rsidR="00A30254"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960"/>
        <w:gridCol w:w="4593"/>
      </w:tblGrid>
      <w:tr w:rsidR="00A30254" w:rsidRPr="004B208C" w:rsidTr="0086448F">
        <w:trPr>
          <w:tblHeader/>
        </w:trPr>
        <w:tc>
          <w:tcPr>
            <w:tcW w:w="3960" w:type="dxa"/>
            <w:shd w:val="clear" w:color="auto" w:fill="FABF8F"/>
            <w:hideMark/>
          </w:tcPr>
          <w:p w:rsidR="00A30254" w:rsidRPr="004B208C" w:rsidRDefault="00A30254" w:rsidP="0086448F">
            <w:pPr>
              <w:ind w:left="162"/>
              <w:jc w:val="center"/>
              <w:rPr>
                <w:rFonts w:cs="Tahoma"/>
                <w:b/>
                <w:bCs/>
                <w:color w:val="000000"/>
                <w:szCs w:val="18"/>
              </w:rPr>
            </w:pPr>
            <w:r w:rsidRPr="004B208C">
              <w:rPr>
                <w:rFonts w:cs="Tahoma"/>
                <w:b/>
                <w:bCs/>
                <w:color w:val="000000"/>
                <w:szCs w:val="18"/>
              </w:rPr>
              <w:t>Licenças de Qualificação com Software</w:t>
            </w:r>
            <w:r w:rsidR="0086448F">
              <w:rPr>
                <w:rFonts w:cs="Tahoma"/>
                <w:b/>
                <w:bCs/>
                <w:color w:val="000000"/>
                <w:szCs w:val="18"/>
              </w:rPr>
              <w:t> </w:t>
            </w:r>
            <w:r w:rsidRPr="004B208C">
              <w:rPr>
                <w:rFonts w:cs="Tahoma"/>
                <w:b/>
                <w:bCs/>
                <w:color w:val="000000"/>
                <w:szCs w:val="18"/>
              </w:rPr>
              <w:t>Assurance</w:t>
            </w:r>
          </w:p>
        </w:tc>
        <w:tc>
          <w:tcPr>
            <w:tcW w:w="4593" w:type="dxa"/>
            <w:shd w:val="clear" w:color="auto" w:fill="FABF8F"/>
            <w:hideMark/>
          </w:tcPr>
          <w:p w:rsidR="00A30254" w:rsidRPr="004B208C" w:rsidRDefault="00A30254" w:rsidP="00CE334A">
            <w:pPr>
              <w:ind w:left="162"/>
              <w:jc w:val="center"/>
              <w:rPr>
                <w:rFonts w:cs="Tahoma"/>
                <w:b/>
                <w:bCs/>
                <w:color w:val="000000"/>
                <w:szCs w:val="18"/>
              </w:rPr>
            </w:pPr>
            <w:r w:rsidRPr="004B208C">
              <w:rPr>
                <w:rFonts w:cs="Tahoma"/>
                <w:b/>
                <w:bCs/>
                <w:color w:val="000000"/>
                <w:szCs w:val="18"/>
              </w:rPr>
              <w:t>Outorga de Licença do System Center 2012</w:t>
            </w:r>
          </w:p>
        </w:tc>
      </w:tr>
      <w:tr w:rsidR="00A30254" w:rsidRPr="004B208C" w:rsidTr="00CE334A">
        <w:tc>
          <w:tcPr>
            <w:tcW w:w="3960" w:type="dxa"/>
            <w:hideMark/>
          </w:tcPr>
          <w:p w:rsidR="00A30254" w:rsidRPr="004B208C" w:rsidRDefault="00A30254" w:rsidP="00CE334A">
            <w:pPr>
              <w:ind w:left="162"/>
              <w:rPr>
                <w:rFonts w:cs="Tahoma"/>
                <w:bCs/>
                <w:color w:val="000000"/>
                <w:szCs w:val="18"/>
              </w:rPr>
            </w:pPr>
            <w:r w:rsidRPr="004B208C">
              <w:rPr>
                <w:rFonts w:cs="Tahoma"/>
                <w:bCs/>
                <w:color w:val="000000"/>
                <w:szCs w:val="18"/>
              </w:rPr>
              <w:t>System Center Essentials 2010</w:t>
            </w:r>
          </w:p>
        </w:tc>
        <w:tc>
          <w:tcPr>
            <w:tcW w:w="4593" w:type="dxa"/>
            <w:hideMark/>
          </w:tcPr>
          <w:p w:rsidR="00A30254" w:rsidRPr="004B208C" w:rsidRDefault="00A30254" w:rsidP="00CE334A">
            <w:pPr>
              <w:ind w:left="162"/>
              <w:rPr>
                <w:rFonts w:cs="Tahoma"/>
                <w:bCs/>
                <w:color w:val="000000"/>
                <w:szCs w:val="18"/>
              </w:rPr>
            </w:pPr>
            <w:r w:rsidRPr="004B208C">
              <w:rPr>
                <w:rFonts w:cs="Tahoma"/>
                <w:bCs/>
                <w:color w:val="000000"/>
                <w:szCs w:val="18"/>
              </w:rPr>
              <w:t>uma Licença de Gerenciamento de Servidores Padrão do System Center 2012 para cada oito* licenças de qualificação</w:t>
            </w:r>
          </w:p>
        </w:tc>
      </w:tr>
      <w:tr w:rsidR="00A30254" w:rsidRPr="004B208C" w:rsidTr="00CE334A">
        <w:tc>
          <w:tcPr>
            <w:tcW w:w="3960" w:type="dxa"/>
            <w:hideMark/>
          </w:tcPr>
          <w:p w:rsidR="00A30254" w:rsidRPr="004B208C" w:rsidRDefault="00A30254" w:rsidP="00CE334A">
            <w:pPr>
              <w:ind w:left="162"/>
              <w:rPr>
                <w:rFonts w:cs="Tahoma"/>
                <w:bCs/>
                <w:color w:val="000000"/>
                <w:szCs w:val="18"/>
              </w:rPr>
            </w:pPr>
            <w:r w:rsidRPr="004B208C">
              <w:rPr>
                <w:rFonts w:cs="Tahoma"/>
                <w:bCs/>
                <w:color w:val="000000"/>
                <w:szCs w:val="18"/>
              </w:rPr>
              <w:t>System Center Essentials 2010 com SQL</w:t>
            </w:r>
          </w:p>
        </w:tc>
        <w:tc>
          <w:tcPr>
            <w:tcW w:w="4593" w:type="dxa"/>
            <w:hideMark/>
          </w:tcPr>
          <w:p w:rsidR="00A30254" w:rsidRPr="004B208C" w:rsidRDefault="00A30254" w:rsidP="00CE334A">
            <w:pPr>
              <w:ind w:left="162"/>
              <w:rPr>
                <w:rFonts w:cs="Tahoma"/>
                <w:bCs/>
                <w:color w:val="000000"/>
                <w:szCs w:val="18"/>
              </w:rPr>
            </w:pPr>
            <w:r w:rsidRPr="004B208C">
              <w:rPr>
                <w:rFonts w:cs="Tahoma"/>
                <w:bCs/>
                <w:color w:val="000000"/>
                <w:szCs w:val="18"/>
              </w:rPr>
              <w:t>uma Licença de Gerenciamento de Servidores Padrão do System Center 2012 para cada uma licença qualificada</w:t>
            </w:r>
          </w:p>
        </w:tc>
      </w:tr>
      <w:tr w:rsidR="00A30254" w:rsidRPr="004B208C" w:rsidTr="00CE334A">
        <w:tc>
          <w:tcPr>
            <w:tcW w:w="3960" w:type="dxa"/>
            <w:hideMark/>
          </w:tcPr>
          <w:p w:rsidR="00A30254" w:rsidRPr="004B208C" w:rsidRDefault="00A30254" w:rsidP="00CE334A">
            <w:pPr>
              <w:ind w:left="162"/>
              <w:rPr>
                <w:rFonts w:cs="Tahoma"/>
                <w:bCs/>
                <w:color w:val="000000"/>
                <w:szCs w:val="18"/>
              </w:rPr>
            </w:pPr>
            <w:r w:rsidRPr="004B208C">
              <w:rPr>
                <w:rFonts w:cs="Tahoma"/>
                <w:bCs/>
                <w:color w:val="000000"/>
                <w:szCs w:val="18"/>
              </w:rPr>
              <w:t>Licença de Gerenciamento do System Center Essentials 2010 Server</w:t>
            </w:r>
          </w:p>
        </w:tc>
        <w:tc>
          <w:tcPr>
            <w:tcW w:w="4593" w:type="dxa"/>
            <w:hideMark/>
          </w:tcPr>
          <w:p w:rsidR="00A30254" w:rsidRPr="004B208C" w:rsidRDefault="00A30254" w:rsidP="00CE334A">
            <w:pPr>
              <w:ind w:left="162"/>
              <w:rPr>
                <w:rFonts w:cs="Tahoma"/>
                <w:bCs/>
                <w:color w:val="000000"/>
                <w:szCs w:val="18"/>
              </w:rPr>
            </w:pPr>
            <w:r w:rsidRPr="004B208C">
              <w:rPr>
                <w:rFonts w:cs="Tahoma"/>
                <w:bCs/>
                <w:color w:val="000000"/>
                <w:szCs w:val="18"/>
              </w:rPr>
              <w:t>uma Licença de Gerenciamento de Servidores Padrão do System Center 2012 para cada oito* licenças de qualificação</w:t>
            </w:r>
          </w:p>
        </w:tc>
      </w:tr>
      <w:tr w:rsidR="00A30254" w:rsidRPr="004B208C" w:rsidTr="00CE334A">
        <w:tc>
          <w:tcPr>
            <w:tcW w:w="3960" w:type="dxa"/>
            <w:hideMark/>
          </w:tcPr>
          <w:p w:rsidR="00A30254" w:rsidRPr="004B208C" w:rsidRDefault="00A30254" w:rsidP="00CE334A">
            <w:pPr>
              <w:ind w:left="162"/>
              <w:rPr>
                <w:rFonts w:cs="Tahoma"/>
              </w:rPr>
            </w:pPr>
            <w:r w:rsidRPr="004B208C">
              <w:rPr>
                <w:rFonts w:cs="Tahoma"/>
                <w:bCs/>
                <w:color w:val="000000"/>
                <w:szCs w:val="18"/>
              </w:rPr>
              <w:t>System Center Essentials 2010 Plus</w:t>
            </w:r>
          </w:p>
          <w:p w:rsidR="00A30254" w:rsidRPr="004B208C" w:rsidRDefault="00A30254" w:rsidP="0086448F">
            <w:pPr>
              <w:ind w:left="162"/>
              <w:rPr>
                <w:rFonts w:cs="Tahoma"/>
                <w:bCs/>
                <w:color w:val="000000"/>
                <w:szCs w:val="18"/>
              </w:rPr>
            </w:pPr>
            <w:r w:rsidRPr="004B208C">
              <w:rPr>
                <w:rFonts w:cs="Tahoma"/>
                <w:bCs/>
                <w:color w:val="000000"/>
                <w:szCs w:val="18"/>
              </w:rPr>
              <w:t>Pacote de Licenças de Gerenciamento de</w:t>
            </w:r>
            <w:r w:rsidR="0086448F">
              <w:rPr>
                <w:rFonts w:cs="Tahoma"/>
                <w:bCs/>
                <w:color w:val="000000"/>
                <w:szCs w:val="18"/>
              </w:rPr>
              <w:t> </w:t>
            </w:r>
            <w:r w:rsidRPr="004B208C">
              <w:rPr>
                <w:rFonts w:cs="Tahoma"/>
                <w:bCs/>
                <w:color w:val="000000"/>
                <w:szCs w:val="18"/>
              </w:rPr>
              <w:t>Servidor</w:t>
            </w:r>
          </w:p>
        </w:tc>
        <w:tc>
          <w:tcPr>
            <w:tcW w:w="4593" w:type="dxa"/>
            <w:hideMark/>
          </w:tcPr>
          <w:p w:rsidR="00A30254" w:rsidRPr="004B208C" w:rsidRDefault="00A30254" w:rsidP="00CE334A">
            <w:pPr>
              <w:ind w:left="162"/>
              <w:rPr>
                <w:rFonts w:cs="Tahoma"/>
                <w:bCs/>
                <w:color w:val="000000"/>
                <w:szCs w:val="18"/>
              </w:rPr>
            </w:pPr>
            <w:r w:rsidRPr="004B208C">
              <w:rPr>
                <w:rFonts w:cs="Tahoma"/>
                <w:bCs/>
                <w:color w:val="000000"/>
                <w:szCs w:val="18"/>
              </w:rPr>
              <w:t>uma Licença de Gerenciamento de Servidores Padrão do System Center 2012 para cada duas** licenças de qualificação</w:t>
            </w:r>
          </w:p>
        </w:tc>
      </w:tr>
      <w:tr w:rsidR="00A30254" w:rsidRPr="004B208C" w:rsidTr="00CE334A">
        <w:tc>
          <w:tcPr>
            <w:tcW w:w="3960" w:type="dxa"/>
            <w:hideMark/>
          </w:tcPr>
          <w:p w:rsidR="00A30254" w:rsidRPr="004B208C" w:rsidRDefault="00A30254" w:rsidP="0086448F">
            <w:pPr>
              <w:ind w:left="162"/>
              <w:rPr>
                <w:rFonts w:cs="Tahoma"/>
                <w:bCs/>
                <w:color w:val="000000"/>
                <w:szCs w:val="18"/>
              </w:rPr>
            </w:pPr>
            <w:r w:rsidRPr="004B208C">
              <w:rPr>
                <w:rFonts w:cs="Tahoma"/>
                <w:bCs/>
                <w:color w:val="000000"/>
                <w:szCs w:val="18"/>
              </w:rPr>
              <w:t>Licença de Gerenciamento de Clientes do</w:t>
            </w:r>
            <w:r w:rsidR="0086448F">
              <w:rPr>
                <w:rFonts w:cs="Tahoma"/>
                <w:bCs/>
                <w:color w:val="000000"/>
                <w:szCs w:val="18"/>
              </w:rPr>
              <w:t> </w:t>
            </w:r>
            <w:r w:rsidRPr="004B208C">
              <w:rPr>
                <w:rFonts w:cs="Tahoma"/>
                <w:bCs/>
                <w:color w:val="000000"/>
                <w:szCs w:val="18"/>
              </w:rPr>
              <w:t>System Center Essentials 2010</w:t>
            </w:r>
          </w:p>
        </w:tc>
        <w:tc>
          <w:tcPr>
            <w:tcW w:w="4593" w:type="dxa"/>
            <w:hideMark/>
          </w:tcPr>
          <w:p w:rsidR="00A30254" w:rsidRPr="004B208C" w:rsidRDefault="00A30254" w:rsidP="00CE334A">
            <w:pPr>
              <w:ind w:left="162"/>
              <w:rPr>
                <w:rFonts w:cs="Tahoma"/>
                <w:bCs/>
                <w:color w:val="000000"/>
                <w:szCs w:val="18"/>
              </w:rPr>
            </w:pPr>
            <w:r w:rsidRPr="004B208C">
              <w:rPr>
                <w:rFonts w:cs="Tahoma"/>
                <w:bCs/>
                <w:color w:val="000000"/>
                <w:szCs w:val="18"/>
              </w:rPr>
              <w:t>uma Licença de Gerenciamento de Clientes do Gerenciador de Configuração do System Center 2012 para cada uma licença qualificada</w:t>
            </w:r>
          </w:p>
        </w:tc>
      </w:tr>
      <w:tr w:rsidR="00A30254" w:rsidRPr="004B208C" w:rsidTr="00CE334A">
        <w:tc>
          <w:tcPr>
            <w:tcW w:w="3960" w:type="dxa"/>
            <w:hideMark/>
          </w:tcPr>
          <w:p w:rsidR="00A30254" w:rsidRPr="004B208C" w:rsidRDefault="00A30254" w:rsidP="0086448F">
            <w:pPr>
              <w:ind w:left="162"/>
              <w:rPr>
                <w:rFonts w:cs="Tahoma"/>
                <w:bCs/>
                <w:color w:val="000000"/>
                <w:szCs w:val="18"/>
              </w:rPr>
            </w:pPr>
            <w:r w:rsidRPr="004B208C">
              <w:rPr>
                <w:rFonts w:cs="Tahoma"/>
                <w:bCs/>
                <w:color w:val="000000"/>
                <w:szCs w:val="18"/>
              </w:rPr>
              <w:t>Licença de Gerenciamento de Cliente do</w:t>
            </w:r>
            <w:r w:rsidR="0086448F">
              <w:rPr>
                <w:rFonts w:cs="Tahoma"/>
                <w:bCs/>
                <w:color w:val="000000"/>
                <w:szCs w:val="18"/>
              </w:rPr>
              <w:t> </w:t>
            </w:r>
            <w:r w:rsidRPr="004B208C">
              <w:rPr>
                <w:rFonts w:cs="Tahoma"/>
                <w:bCs/>
                <w:color w:val="000000"/>
                <w:szCs w:val="18"/>
              </w:rPr>
              <w:t>System Center Essentials 2010 Plus</w:t>
            </w:r>
          </w:p>
        </w:tc>
        <w:tc>
          <w:tcPr>
            <w:tcW w:w="4593" w:type="dxa"/>
            <w:hideMark/>
          </w:tcPr>
          <w:p w:rsidR="00A30254" w:rsidRPr="004B208C" w:rsidRDefault="00A30254" w:rsidP="00CE334A">
            <w:pPr>
              <w:ind w:left="162"/>
              <w:rPr>
                <w:rFonts w:cs="Tahoma"/>
                <w:bCs/>
                <w:color w:val="000000"/>
                <w:szCs w:val="18"/>
              </w:rPr>
            </w:pPr>
            <w:r w:rsidRPr="004B208C">
              <w:rPr>
                <w:rFonts w:cs="Tahoma"/>
                <w:bCs/>
                <w:color w:val="000000"/>
                <w:szCs w:val="18"/>
              </w:rPr>
              <w:t>uma Licença de Gerenciamento de Clientes do Gerenciador de Configuração do System Center 2012 para cada uma licença qualificada</w:t>
            </w:r>
          </w:p>
        </w:tc>
      </w:tr>
      <w:tr w:rsidR="00A30254" w:rsidRPr="004B208C" w:rsidTr="00CE334A">
        <w:tc>
          <w:tcPr>
            <w:tcW w:w="3960" w:type="dxa"/>
            <w:hideMark/>
          </w:tcPr>
          <w:p w:rsidR="00A30254" w:rsidRPr="004B208C" w:rsidRDefault="00A30254" w:rsidP="00CE334A">
            <w:pPr>
              <w:ind w:left="162"/>
              <w:rPr>
                <w:rFonts w:cs="Tahoma"/>
                <w:bCs/>
                <w:color w:val="000000"/>
                <w:szCs w:val="18"/>
              </w:rPr>
            </w:pPr>
            <w:r w:rsidRPr="004B208C">
              <w:rPr>
                <w:rFonts w:cs="Tahoma"/>
                <w:bCs/>
                <w:color w:val="000000"/>
                <w:szCs w:val="18"/>
              </w:rPr>
              <w:t>Licença do Virtual Machine Manager Workgroup Edition Server</w:t>
            </w:r>
          </w:p>
        </w:tc>
        <w:tc>
          <w:tcPr>
            <w:tcW w:w="4593" w:type="dxa"/>
            <w:hideMark/>
          </w:tcPr>
          <w:p w:rsidR="00A30254" w:rsidRPr="004B208C" w:rsidRDefault="00A30254" w:rsidP="00CE334A">
            <w:pPr>
              <w:ind w:left="162"/>
              <w:rPr>
                <w:rFonts w:cs="Tahoma"/>
                <w:bCs/>
                <w:color w:val="000000"/>
                <w:szCs w:val="18"/>
              </w:rPr>
            </w:pPr>
            <w:r w:rsidRPr="004B208C">
              <w:rPr>
                <w:rFonts w:cs="Tahoma"/>
                <w:bCs/>
                <w:color w:val="000000"/>
                <w:szCs w:val="18"/>
              </w:rPr>
              <w:t>uma Licença de Gerenciamento de Servidores Padrão do System Center 2012 para cada duas** licenças de qualificação</w:t>
            </w:r>
          </w:p>
        </w:tc>
      </w:tr>
    </w:tbl>
    <w:p w:rsidR="00A30254" w:rsidRPr="0086448F" w:rsidRDefault="00A30254" w:rsidP="00A30254">
      <w:pPr>
        <w:pStyle w:val="EndnoteText"/>
        <w:rPr>
          <w:rFonts w:ascii="Tahoma" w:hAnsi="Tahoma" w:cs="Tahoma"/>
          <w:sz w:val="16"/>
          <w:szCs w:val="16"/>
        </w:rPr>
      </w:pPr>
      <w:r w:rsidRPr="0086448F">
        <w:rPr>
          <w:rFonts w:ascii="Tahoma" w:hAnsi="Tahoma" w:cs="Tahoma"/>
          <w:i/>
          <w:sz w:val="16"/>
          <w:szCs w:val="16"/>
        </w:rPr>
        <w:t>*As contagens de licenças para clientes com menos de oito licenças de qualificação serão arredondados para oito para fins de determinar sua outorga de licença sob esta oferta.</w:t>
      </w:r>
      <w:r w:rsidR="00172F11" w:rsidRPr="0086448F">
        <w:rPr>
          <w:rFonts w:ascii="Tahoma" w:hAnsi="Tahoma" w:cs="Tahoma"/>
          <w:i/>
          <w:sz w:val="16"/>
          <w:szCs w:val="16"/>
        </w:rPr>
        <w:t xml:space="preserve"> </w:t>
      </w:r>
      <w:r w:rsidRPr="0086448F">
        <w:rPr>
          <w:rFonts w:ascii="Tahoma" w:hAnsi="Tahoma" w:cs="Tahoma"/>
          <w:i/>
          <w:sz w:val="16"/>
          <w:szCs w:val="16"/>
        </w:rPr>
        <w:t>Da mesma forma, as contagens de licenças para clientes com licenças que ultrapassam oito serão arredondadas para o múltiplo mais próximo de oito para fins de determinar sua outorga de licença sob esta oferta.</w:t>
      </w:r>
    </w:p>
    <w:p w:rsidR="00A30254" w:rsidRPr="0086448F" w:rsidRDefault="00A30254" w:rsidP="00A30254">
      <w:pPr>
        <w:pStyle w:val="EndnoteText"/>
        <w:rPr>
          <w:rFonts w:ascii="Tahoma" w:hAnsi="Tahoma" w:cs="Tahoma"/>
          <w:sz w:val="16"/>
          <w:szCs w:val="16"/>
        </w:rPr>
      </w:pPr>
    </w:p>
    <w:p w:rsidR="00A30254" w:rsidRPr="0086448F" w:rsidRDefault="00A30254" w:rsidP="00A30254">
      <w:pPr>
        <w:pStyle w:val="EndnoteText"/>
        <w:rPr>
          <w:rFonts w:ascii="Tahoma" w:hAnsi="Tahoma" w:cs="Tahoma"/>
          <w:sz w:val="16"/>
          <w:szCs w:val="16"/>
        </w:rPr>
      </w:pPr>
      <w:r w:rsidRPr="0086448F">
        <w:rPr>
          <w:rFonts w:ascii="Tahoma" w:hAnsi="Tahoma" w:cs="Tahoma"/>
          <w:i/>
          <w:sz w:val="16"/>
          <w:szCs w:val="16"/>
        </w:rPr>
        <w:t>**As contagens de licenças para clientes com menos de duas licenças de qualificação serão arredondados para dois para fins de determinar sua outorga de licença sob esta oferta.</w:t>
      </w:r>
      <w:r w:rsidR="00172F11" w:rsidRPr="0086448F">
        <w:rPr>
          <w:rFonts w:ascii="Tahoma" w:hAnsi="Tahoma" w:cs="Tahoma"/>
          <w:i/>
          <w:sz w:val="16"/>
          <w:szCs w:val="16"/>
        </w:rPr>
        <w:t xml:space="preserve"> </w:t>
      </w:r>
      <w:r w:rsidRPr="0086448F">
        <w:rPr>
          <w:rFonts w:ascii="Tahoma" w:hAnsi="Tahoma" w:cs="Tahoma"/>
          <w:i/>
          <w:sz w:val="16"/>
          <w:szCs w:val="16"/>
        </w:rPr>
        <w:t>Da mesma forma, as contagens de licenças para clientes com licenças que ultrapassam duas serão arredondadas para o múltiplo mais próximo de dois para fins de determinar sua outorga de licença sob esta oferta.</w:t>
      </w:r>
    </w:p>
    <w:p w:rsidR="00A30254" w:rsidRPr="004B208C" w:rsidRDefault="00A30254" w:rsidP="00CE334A">
      <w:pPr>
        <w:spacing w:line="276" w:lineRule="auto"/>
        <w:rPr>
          <w:rFonts w:cs="Tahoma"/>
        </w:rPr>
      </w:pPr>
    </w:p>
    <w:p w:rsidR="00A30254" w:rsidRPr="004B208C" w:rsidRDefault="00A30254" w:rsidP="00CE334A">
      <w:pPr>
        <w:pStyle w:val="EndnoteText"/>
        <w:ind w:left="720"/>
        <w:rPr>
          <w:rFonts w:ascii="Tahoma" w:hAnsi="Tahoma" w:cs="Tahoma"/>
        </w:rPr>
      </w:pPr>
      <w:r w:rsidRPr="004B208C">
        <w:rPr>
          <w:rFonts w:ascii="Tahoma" w:hAnsi="Tahoma" w:cs="Tahoma"/>
          <w:sz w:val="18"/>
          <w:szCs w:val="18"/>
        </w:rPr>
        <w:t xml:space="preserve">Todas as licenças concedidas sob esta oferta incluirão cobertura do Software Assurance. Essa cobertura se encerrará no término da cobertura nas licenças de SCE qualificadas. Ao término dessa cobertura, os clientes poderão renovar o Software Assurance sobre as licenças do System Center 2012. </w:t>
      </w:r>
    </w:p>
    <w:p w:rsidR="00A30254" w:rsidRPr="004B208C" w:rsidRDefault="00A30254" w:rsidP="00CE334A">
      <w:pPr>
        <w:spacing w:line="276" w:lineRule="auto"/>
        <w:rPr>
          <w:rFonts w:cs="Tahoma"/>
        </w:rPr>
      </w:pPr>
    </w:p>
    <w:p w:rsidR="00A30254" w:rsidRPr="0086448F" w:rsidRDefault="00A30254" w:rsidP="00CE334A">
      <w:pPr>
        <w:pStyle w:val="EndnoteText"/>
        <w:ind w:left="720"/>
        <w:rPr>
          <w:rFonts w:ascii="Tahoma" w:hAnsi="Tahoma" w:cs="Tahoma"/>
          <w:sz w:val="18"/>
          <w:szCs w:val="18"/>
        </w:rPr>
      </w:pPr>
      <w:r w:rsidRPr="0086448F">
        <w:rPr>
          <w:rFonts w:ascii="Tahoma" w:hAnsi="Tahoma" w:cs="Tahoma"/>
          <w:sz w:val="18"/>
          <w:szCs w:val="18"/>
        </w:rPr>
        <w:t>O uso que um cliente faz do software outorgado sob esta oferta está sujeito aos termos e condições de seu contrato de licença e aos direitos de uso de produto relacionados ao software. O direito de usar o software outorgado expira quando o direito de usar a licença SCE de qualificação expirar. Os clientes não poderão transferir as licenças outorgadas sob esta oferta separadamente das licenças SCE qualificadas correspondentes.</w:t>
      </w:r>
    </w:p>
    <w:p w:rsidR="00A30254" w:rsidRPr="0086448F" w:rsidRDefault="00A30254" w:rsidP="00CE334A">
      <w:pPr>
        <w:pStyle w:val="EndnoteText"/>
        <w:ind w:left="720"/>
        <w:rPr>
          <w:rFonts w:ascii="Tahoma" w:hAnsi="Tahoma" w:cs="Tahoma"/>
          <w:sz w:val="18"/>
          <w:szCs w:val="18"/>
        </w:rPr>
      </w:pPr>
    </w:p>
    <w:p w:rsidR="00A30254" w:rsidRPr="0086448F" w:rsidRDefault="00A30254" w:rsidP="00CE334A">
      <w:pPr>
        <w:ind w:left="720"/>
        <w:rPr>
          <w:rFonts w:cs="Tahoma"/>
          <w:szCs w:val="18"/>
        </w:rPr>
      </w:pPr>
      <w:r w:rsidRPr="0086448F">
        <w:rPr>
          <w:rFonts w:eastAsia="Calibri" w:cs="Tahoma"/>
          <w:color w:val="000000"/>
          <w:szCs w:val="18"/>
        </w:rPr>
        <w:t>As licenças SCE</w:t>
      </w:r>
      <w:r w:rsidRPr="0086448F">
        <w:rPr>
          <w:rFonts w:cs="Tahoma"/>
          <w:bCs/>
          <w:szCs w:val="18"/>
        </w:rPr>
        <w:t xml:space="preserve"> adquiridas após 1° de março de 2013 como parte do processo anual de adequação (“true-up”) de um cliente para Registros Enterprise ou Enrollment for Education Solutions sob os quais as licenças para </w:t>
      </w:r>
      <w:r w:rsidRPr="0086448F">
        <w:rPr>
          <w:rFonts w:eastAsia="Calibri" w:cs="Tahoma"/>
          <w:color w:val="000000"/>
          <w:szCs w:val="18"/>
        </w:rPr>
        <w:t>SCE</w:t>
      </w:r>
      <w:r w:rsidRPr="0086448F">
        <w:rPr>
          <w:rFonts w:cs="Tahoma"/>
          <w:bCs/>
          <w:szCs w:val="18"/>
        </w:rPr>
        <w:t xml:space="preserve"> foram adquiridas pela primeira vez antes de 1° de março de 2013 também são licenças SCE de qualificação para fins desta concessão.</w:t>
      </w:r>
    </w:p>
    <w:p w:rsidR="00A30254" w:rsidRPr="0086448F" w:rsidRDefault="00A30254" w:rsidP="00CE334A">
      <w:pPr>
        <w:ind w:left="720"/>
        <w:rPr>
          <w:rFonts w:cs="Tahoma"/>
          <w:szCs w:val="18"/>
        </w:rPr>
      </w:pPr>
    </w:p>
    <w:p w:rsidR="00A30254" w:rsidRPr="0086448F" w:rsidRDefault="00A30254" w:rsidP="00CE334A">
      <w:pPr>
        <w:ind w:left="720"/>
        <w:rPr>
          <w:rFonts w:cs="Tahoma"/>
          <w:szCs w:val="18"/>
        </w:rPr>
      </w:pPr>
      <w:r w:rsidRPr="0086448F">
        <w:rPr>
          <w:rFonts w:cs="Tahoma"/>
          <w:bCs/>
          <w:szCs w:val="18"/>
        </w:rPr>
        <w:lastRenderedPageBreak/>
        <w:t>No caso de clientes de Enrollment for Education Solutions,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172F11" w:rsidRPr="0086448F">
        <w:rPr>
          <w:rFonts w:cs="Tahoma"/>
          <w:bCs/>
          <w:szCs w:val="18"/>
        </w:rPr>
        <w:t xml:space="preserve"> </w:t>
      </w:r>
      <w:r w:rsidRPr="0086448F">
        <w:rPr>
          <w:rFonts w:cs="Tahoma"/>
          <w:bCs/>
          <w:szCs w:val="18"/>
        </w:rPr>
        <w:t>Esses direitos só se tornarão permanentes se a opção de compra (“buy-out”) for exercida e continuarão sujeitos a todos os termos e condições do contrato de licença do cliente.</w:t>
      </w:r>
    </w:p>
    <w:p w:rsidR="00A30254" w:rsidRPr="004B208C" w:rsidRDefault="00A30254" w:rsidP="00602EF4">
      <w:pPr>
        <w:spacing w:after="60"/>
        <w:ind w:left="720"/>
        <w:rPr>
          <w:rFonts w:cs="Tahoma"/>
        </w:rPr>
      </w:pPr>
    </w:p>
    <w:p w:rsidR="00CE2BD2" w:rsidRPr="004B208C" w:rsidRDefault="00CE2BD2" w:rsidP="006D6A83">
      <w:pPr>
        <w:spacing w:after="60"/>
        <w:ind w:left="720"/>
        <w:rPr>
          <w:rFonts w:cs="Tahoma"/>
        </w:rPr>
      </w:pPr>
      <w:r w:rsidRPr="004B208C">
        <w:rPr>
          <w:rFonts w:cs="Tahoma"/>
          <w:b/>
          <w:color w:val="000000"/>
          <w:szCs w:val="20"/>
        </w:rPr>
        <w:t>Caminho de Migração do System Center Essentials 2007 (SCE 2007) para o System Center Essentials 2010 (SCE 2010)</w:t>
      </w:r>
    </w:p>
    <w:p w:rsidR="00A30254" w:rsidRDefault="00A30254" w:rsidP="00A30254">
      <w:pPr>
        <w:ind w:left="720"/>
        <w:rPr>
          <w:rFonts w:cs="Tahoma"/>
          <w:color w:val="000000"/>
          <w:szCs w:val="20"/>
        </w:rPr>
      </w:pPr>
      <w:r w:rsidRPr="004B208C">
        <w:rPr>
          <w:rFonts w:cs="Tahoma"/>
          <w:color w:val="000000"/>
          <w:szCs w:val="20"/>
        </w:rPr>
        <w:t>Para consultar os termos e as condições que regem o direito dos clientes de atualizar para SCE 2010 a partir do SCE 2007 sob Software Assurance, consulte a Lista de Produtos de fevereiro de 2013.</w:t>
      </w:r>
    </w:p>
    <w:p w:rsidR="004A7475" w:rsidRDefault="004A7475" w:rsidP="00A30254">
      <w:pPr>
        <w:ind w:left="720"/>
        <w:rPr>
          <w:rFonts w:cs="Tahoma"/>
          <w:color w:val="000000"/>
          <w:szCs w:val="20"/>
        </w:rPr>
      </w:pPr>
    </w:p>
    <w:p w:rsidR="004A7475" w:rsidRPr="004B208C" w:rsidRDefault="004A7475" w:rsidP="00A30254">
      <w:pPr>
        <w:ind w:left="720"/>
        <w:rPr>
          <w:rFonts w:cs="Tahoma"/>
        </w:rPr>
      </w:pPr>
    </w:p>
    <w:p w:rsidR="00ED5504" w:rsidRPr="004B208C" w:rsidRDefault="00A560B6" w:rsidP="00ED5504">
      <w:pPr>
        <w:pStyle w:val="Heading3"/>
        <w:rPr>
          <w:rFonts w:ascii="Tahoma" w:hAnsi="Tahoma" w:cs="Tahoma"/>
        </w:rPr>
      </w:pPr>
      <w:bookmarkStart w:id="1463" w:name="_80_System_Center"/>
      <w:bookmarkStart w:id="1464" w:name="_95_System_Center"/>
      <w:bookmarkStart w:id="1465" w:name="_81_System_Center"/>
      <w:bookmarkStart w:id="1466" w:name="_82_System_Center"/>
      <w:bookmarkStart w:id="1467" w:name="_83_System_Center"/>
      <w:bookmarkStart w:id="1468" w:name="_84__System"/>
      <w:bookmarkStart w:id="1469" w:name="_87_85_System"/>
      <w:bookmarkStart w:id="1470" w:name="_92_System_Center"/>
      <w:bookmarkStart w:id="1471" w:name="_Toc336338353"/>
      <w:bookmarkStart w:id="1472" w:name="Srv_88SystemCtrReportMgr2006"/>
      <w:bookmarkStart w:id="1473" w:name="Srv_89SysCtrSvrMgmtSuiteEnterprise"/>
      <w:bookmarkStart w:id="1474" w:name="_Toc370981465"/>
      <w:bookmarkEnd w:id="1463"/>
      <w:bookmarkEnd w:id="1464"/>
      <w:bookmarkEnd w:id="1465"/>
      <w:bookmarkEnd w:id="1466"/>
      <w:bookmarkEnd w:id="1467"/>
      <w:bookmarkEnd w:id="1468"/>
      <w:bookmarkEnd w:id="1469"/>
      <w:bookmarkEnd w:id="1470"/>
      <w:r w:rsidRPr="004B208C">
        <w:rPr>
          <w:rFonts w:ascii="Tahoma" w:hAnsi="Tahoma" w:cs="Tahoma"/>
          <w:caps/>
          <w:color w:val="F66400"/>
          <w:sz w:val="22"/>
          <w:vertAlign w:val="superscript"/>
        </w:rPr>
        <w:t>91</w:t>
      </w:r>
      <w:r w:rsidRPr="004B208C">
        <w:rPr>
          <w:rFonts w:ascii="Tahoma" w:hAnsi="Tahoma" w:cs="Tahoma"/>
          <w:color w:val="F66400"/>
          <w:sz w:val="22"/>
        </w:rPr>
        <w:t xml:space="preserve"> System Center Reporting Manager 2006</w:t>
      </w:r>
      <w:bookmarkEnd w:id="1471"/>
      <w:bookmarkEnd w:id="1474"/>
    </w:p>
    <w:bookmarkEnd w:id="1472"/>
    <w:p w:rsidR="00ED5504" w:rsidRPr="0086448F" w:rsidRDefault="00ED5504" w:rsidP="00D511CC">
      <w:pPr>
        <w:pStyle w:val="EndnoteText"/>
        <w:ind w:left="0"/>
        <w:rPr>
          <w:rFonts w:ascii="Tahoma" w:hAnsi="Tahoma" w:cs="Tahoma"/>
          <w:sz w:val="18"/>
          <w:szCs w:val="18"/>
        </w:rPr>
      </w:pPr>
    </w:p>
    <w:p w:rsidR="00ED5504" w:rsidRPr="0086448F" w:rsidRDefault="00ED5504" w:rsidP="00D511CC">
      <w:pPr>
        <w:pStyle w:val="EndnoteText"/>
        <w:ind w:left="720"/>
        <w:rPr>
          <w:rFonts w:ascii="Tahoma" w:hAnsi="Tahoma" w:cs="Tahoma"/>
          <w:sz w:val="18"/>
          <w:szCs w:val="18"/>
        </w:rPr>
      </w:pPr>
      <w:r w:rsidRPr="0086448F">
        <w:rPr>
          <w:rFonts w:ascii="Tahoma" w:hAnsi="Tahoma" w:cs="Tahoma"/>
          <w:sz w:val="18"/>
          <w:szCs w:val="18"/>
        </w:rPr>
        <w:t>Este produto encontra-se no status EOL (Fim da Vida Útil) e não será mais oferecido.</w:t>
      </w:r>
    </w:p>
    <w:p w:rsidR="00ED5504" w:rsidRPr="0086448F" w:rsidRDefault="00ED5504" w:rsidP="00D511CC">
      <w:pPr>
        <w:pStyle w:val="EndnoteText"/>
        <w:ind w:left="720"/>
        <w:rPr>
          <w:rFonts w:ascii="Tahoma" w:hAnsi="Tahoma" w:cs="Tahoma"/>
          <w:sz w:val="18"/>
          <w:szCs w:val="18"/>
        </w:rPr>
      </w:pPr>
    </w:p>
    <w:p w:rsidR="00ED5504" w:rsidRPr="0086448F" w:rsidRDefault="00ED5504" w:rsidP="00D511CC">
      <w:pPr>
        <w:pStyle w:val="EndnoteText"/>
        <w:spacing w:after="60"/>
        <w:ind w:left="720"/>
        <w:rPr>
          <w:rFonts w:ascii="Tahoma" w:hAnsi="Tahoma" w:cs="Tahoma"/>
          <w:sz w:val="18"/>
          <w:szCs w:val="18"/>
        </w:rPr>
      </w:pPr>
      <w:r w:rsidRPr="0086448F">
        <w:rPr>
          <w:rFonts w:ascii="Tahoma" w:hAnsi="Tahoma" w:cs="Tahoma"/>
          <w:b/>
          <w:sz w:val="18"/>
          <w:szCs w:val="18"/>
        </w:rPr>
        <w:t>Outorga de Licença Única para Titulares de Licenças do System Center Reporting Manager 2006</w:t>
      </w:r>
    </w:p>
    <w:p w:rsidR="00ED5504" w:rsidRPr="0086448F" w:rsidRDefault="00ED5504" w:rsidP="00D511CC">
      <w:pPr>
        <w:pStyle w:val="EndnoteText"/>
        <w:ind w:left="720"/>
        <w:rPr>
          <w:rFonts w:ascii="Tahoma" w:hAnsi="Tahoma" w:cs="Tahoma"/>
          <w:sz w:val="18"/>
          <w:szCs w:val="18"/>
        </w:rPr>
      </w:pPr>
      <w:r w:rsidRPr="0086448F">
        <w:rPr>
          <w:rFonts w:ascii="Tahoma" w:hAnsi="Tahoma" w:cs="Tahoma"/>
          <w:sz w:val="18"/>
          <w:szCs w:val="18"/>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 2010, as seguintes licenças sem custos adicionais, exceto pelos custos da mídia (se aplicável)</w:t>
      </w:r>
      <w:r w:rsidRPr="0086448F">
        <w:rPr>
          <w:rFonts w:ascii="Tahoma" w:hAnsi="Tahoma" w:cs="Tahoma"/>
          <w:color w:val="000000"/>
          <w:sz w:val="18"/>
          <w:szCs w:val="18"/>
        </w:rPr>
        <w:t>:</w:t>
      </w:r>
    </w:p>
    <w:p w:rsidR="00ED5504" w:rsidRPr="0086448F" w:rsidRDefault="00ED5504" w:rsidP="00D511CC">
      <w:pPr>
        <w:pStyle w:val="EndnoteText"/>
        <w:rPr>
          <w:rFonts w:ascii="Tahoma" w:hAnsi="Tahoma" w:cs="Tahoma"/>
          <w:sz w:val="18"/>
          <w:szCs w:val="18"/>
        </w:rPr>
      </w:pPr>
    </w:p>
    <w:p w:rsidR="00ED5504" w:rsidRPr="0086448F" w:rsidRDefault="00ED5504" w:rsidP="00D511CC">
      <w:pPr>
        <w:pStyle w:val="EndnoteText"/>
        <w:numPr>
          <w:ilvl w:val="0"/>
          <w:numId w:val="7"/>
        </w:numPr>
        <w:tabs>
          <w:tab w:val="left" w:pos="1440"/>
        </w:tabs>
        <w:spacing w:after="60"/>
        <w:ind w:left="1440"/>
        <w:rPr>
          <w:rFonts w:ascii="Tahoma" w:hAnsi="Tahoma" w:cs="Tahoma"/>
          <w:sz w:val="18"/>
          <w:szCs w:val="18"/>
        </w:rPr>
      </w:pPr>
      <w:r w:rsidRPr="0086448F">
        <w:rPr>
          <w:rFonts w:ascii="Tahoma" w:hAnsi="Tahoma" w:cs="Tahoma"/>
          <w:sz w:val="18"/>
          <w:szCs w:val="18"/>
        </w:rPr>
        <w:t>Uma licença de Servidor de Gerenciamento do System Center Service Manager 2010 (sem Tecnologia SQL)</w:t>
      </w:r>
    </w:p>
    <w:p w:rsidR="00ED5504" w:rsidRPr="0086448F" w:rsidRDefault="00ED5504" w:rsidP="00D511CC">
      <w:pPr>
        <w:pStyle w:val="EndnoteText"/>
        <w:numPr>
          <w:ilvl w:val="0"/>
          <w:numId w:val="7"/>
        </w:numPr>
        <w:spacing w:after="60"/>
        <w:ind w:left="1440"/>
        <w:rPr>
          <w:rFonts w:ascii="Tahoma" w:hAnsi="Tahoma" w:cs="Tahoma"/>
          <w:sz w:val="18"/>
          <w:szCs w:val="18"/>
        </w:rPr>
      </w:pPr>
      <w:r w:rsidRPr="0086448F">
        <w:rPr>
          <w:rFonts w:ascii="Tahoma" w:hAnsi="Tahoma" w:cs="Tahoma"/>
          <w:sz w:val="18"/>
          <w:szCs w:val="18"/>
        </w:rPr>
        <w:t>Cinco licenças de Gerenciamento de Servidor do System Center Service Manager 2010</w:t>
      </w:r>
    </w:p>
    <w:p w:rsidR="00ED5504" w:rsidRPr="0086448F" w:rsidRDefault="00ED5504" w:rsidP="00D511CC">
      <w:pPr>
        <w:pStyle w:val="EndnoteText"/>
        <w:numPr>
          <w:ilvl w:val="0"/>
          <w:numId w:val="7"/>
        </w:numPr>
        <w:spacing w:after="60"/>
        <w:ind w:left="1440"/>
        <w:rPr>
          <w:rFonts w:ascii="Tahoma" w:hAnsi="Tahoma" w:cs="Tahoma"/>
          <w:sz w:val="18"/>
          <w:szCs w:val="18"/>
        </w:rPr>
      </w:pPr>
      <w:r w:rsidRPr="0086448F">
        <w:rPr>
          <w:rFonts w:ascii="Tahoma" w:hAnsi="Tahoma" w:cs="Tahoma"/>
          <w:sz w:val="18"/>
          <w:szCs w:val="18"/>
        </w:rPr>
        <w:t>Trinta licenças de Gerenciamento de Cliente do System Center Service Manager 2010</w:t>
      </w:r>
    </w:p>
    <w:p w:rsidR="00ED5504" w:rsidRPr="0086448F" w:rsidRDefault="00ED5504" w:rsidP="00D511CC">
      <w:pPr>
        <w:pStyle w:val="EndnoteText"/>
        <w:ind w:left="0"/>
        <w:rPr>
          <w:rFonts w:ascii="Tahoma" w:hAnsi="Tahoma" w:cs="Tahoma"/>
          <w:sz w:val="18"/>
          <w:szCs w:val="18"/>
        </w:rPr>
      </w:pPr>
    </w:p>
    <w:p w:rsidR="00ED5504" w:rsidRPr="0086448F" w:rsidRDefault="00ED5504" w:rsidP="00D511CC">
      <w:pPr>
        <w:pStyle w:val="EndnoteText"/>
        <w:ind w:left="720"/>
        <w:rPr>
          <w:rFonts w:ascii="Tahoma" w:hAnsi="Tahoma" w:cs="Tahoma"/>
          <w:sz w:val="18"/>
          <w:szCs w:val="18"/>
        </w:rPr>
      </w:pPr>
      <w:r w:rsidRPr="0086448F">
        <w:rPr>
          <w:rFonts w:ascii="Tahoma" w:hAnsi="Tahoma" w:cs="Tahoma"/>
          <w:sz w:val="18"/>
          <w:szCs w:val="18"/>
        </w:rPr>
        <w:t xml:space="preserve">Todas as licenças concedidas sob esta oferta incluirão cobertura do Software Assurance. Essa cobertura se encerrará no término da cobertura do System Center Reporting Manager 2006 correspondente. Ao término dessa cobertura, os clientes poderão renovar o Software Assurance sobre as licenças outorgadas. </w:t>
      </w:r>
    </w:p>
    <w:p w:rsidR="00ED5504" w:rsidRPr="0086448F" w:rsidRDefault="00ED5504" w:rsidP="00D511CC">
      <w:pPr>
        <w:pStyle w:val="EndnoteText"/>
        <w:ind w:left="720"/>
        <w:rPr>
          <w:rFonts w:ascii="Tahoma" w:hAnsi="Tahoma" w:cs="Tahoma"/>
          <w:sz w:val="18"/>
          <w:szCs w:val="18"/>
        </w:rPr>
      </w:pPr>
    </w:p>
    <w:p w:rsidR="00ED5504" w:rsidRPr="0086448F" w:rsidRDefault="00ED5504" w:rsidP="00D511CC">
      <w:pPr>
        <w:pStyle w:val="EndnoteText"/>
        <w:ind w:left="720"/>
        <w:rPr>
          <w:rFonts w:ascii="Tahoma" w:hAnsi="Tahoma" w:cs="Tahoma"/>
          <w:sz w:val="18"/>
          <w:szCs w:val="18"/>
        </w:rPr>
      </w:pPr>
      <w:r w:rsidRPr="0086448F">
        <w:rPr>
          <w:rFonts w:ascii="Tahoma" w:hAnsi="Tahoma" w:cs="Tahoma"/>
          <w:sz w:val="18"/>
          <w:szCs w:val="18"/>
        </w:rPr>
        <w:t>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2006 qualificada expirar. Os clientes não poderão transferir as licenças outorgadas sob esta oferta separadamente das licenças qualificadas correspondentes.</w:t>
      </w:r>
    </w:p>
    <w:p w:rsidR="00ED5504" w:rsidRPr="0086448F" w:rsidRDefault="00ED5504" w:rsidP="00D511CC">
      <w:pPr>
        <w:pStyle w:val="EndnoteText"/>
        <w:ind w:left="720"/>
        <w:rPr>
          <w:rFonts w:ascii="Tahoma" w:hAnsi="Tahoma" w:cs="Tahoma"/>
          <w:sz w:val="18"/>
          <w:szCs w:val="18"/>
        </w:rPr>
      </w:pPr>
    </w:p>
    <w:p w:rsidR="00ED5504" w:rsidRPr="004B208C" w:rsidRDefault="00ED5504" w:rsidP="00D511CC">
      <w:pPr>
        <w:ind w:left="720"/>
        <w:rPr>
          <w:rFonts w:cs="Tahoma"/>
        </w:rPr>
      </w:pPr>
      <w:r w:rsidRPr="004B208C">
        <w:rPr>
          <w:rFonts w:eastAsia="Calibri" w:cs="Tahoma"/>
          <w:color w:val="000000"/>
          <w:szCs w:val="18"/>
        </w:rPr>
        <w:t>As licenças do System Center Reporting Manager 2006</w:t>
      </w:r>
      <w:r w:rsidRPr="004B208C">
        <w:rPr>
          <w:rFonts w:cs="Tahoma"/>
          <w:bCs/>
          <w:szCs w:val="18"/>
        </w:rPr>
        <w:t xml:space="preserve"> adquiridas após 31 de maio de 2010 como parte do processo anual de adequação (“true-up”) de um cliente para Registros Enterprise sob os quais as licenças do </w:t>
      </w:r>
      <w:r w:rsidRPr="004B208C">
        <w:rPr>
          <w:rFonts w:eastAsia="Calibri" w:cs="Tahoma"/>
          <w:color w:val="000000"/>
          <w:szCs w:val="18"/>
        </w:rPr>
        <w:t>System Center Reporting Manager 2006</w:t>
      </w:r>
      <w:r w:rsidRPr="004B208C">
        <w:rPr>
          <w:rFonts w:cs="Tahoma"/>
          <w:bCs/>
          <w:szCs w:val="18"/>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rsidR="00ED5504" w:rsidRPr="004B208C" w:rsidRDefault="00ED5504" w:rsidP="00D511CC">
      <w:pPr>
        <w:ind w:left="720"/>
        <w:rPr>
          <w:rFonts w:cs="Tahoma"/>
        </w:rPr>
      </w:pPr>
    </w:p>
    <w:p w:rsidR="00ED5504" w:rsidRPr="0086448F" w:rsidRDefault="00ED5504" w:rsidP="00D511CC">
      <w:pPr>
        <w:pStyle w:val="EndnoteText"/>
        <w:ind w:left="720"/>
        <w:rPr>
          <w:rFonts w:ascii="Tahoma" w:hAnsi="Tahoma" w:cs="Tahoma"/>
          <w:sz w:val="18"/>
          <w:szCs w:val="18"/>
        </w:rPr>
      </w:pPr>
      <w:r w:rsidRPr="0086448F">
        <w:rPr>
          <w:rFonts w:ascii="Tahoma" w:hAnsi="Tahoma" w:cs="Tahoma"/>
          <w:bCs/>
          <w:sz w:val="18"/>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172F11" w:rsidRPr="0086448F">
        <w:rPr>
          <w:rFonts w:ascii="Tahoma" w:hAnsi="Tahoma" w:cs="Tahoma"/>
          <w:bCs/>
          <w:sz w:val="18"/>
          <w:szCs w:val="18"/>
        </w:rPr>
        <w:t xml:space="preserve"> </w:t>
      </w:r>
      <w:r w:rsidRPr="0086448F">
        <w:rPr>
          <w:rFonts w:ascii="Tahoma" w:hAnsi="Tahoma" w:cs="Tahoma"/>
          <w:bCs/>
          <w:sz w:val="18"/>
          <w:szCs w:val="18"/>
        </w:rPr>
        <w:t>Esses direitos só se tornarão permanentes se a opção de compra (“buy-out”) for exercida e continuarão sujeitos a todos os termos e condições do contrato de licença do cliente.</w:t>
      </w:r>
    </w:p>
    <w:p w:rsidR="00023FE7" w:rsidRPr="0086448F" w:rsidRDefault="00023FE7" w:rsidP="00D511CC">
      <w:pPr>
        <w:pStyle w:val="EndnoteText"/>
        <w:rPr>
          <w:rFonts w:ascii="Tahoma" w:hAnsi="Tahoma" w:cs="Tahoma"/>
          <w:sz w:val="18"/>
          <w:szCs w:val="18"/>
        </w:rPr>
      </w:pPr>
    </w:p>
    <w:p w:rsidR="00ED5504" w:rsidRPr="0086448F" w:rsidRDefault="00ED5504">
      <w:pPr>
        <w:pStyle w:val="EndnoteText"/>
        <w:rPr>
          <w:rFonts w:ascii="Tahoma" w:hAnsi="Tahoma" w:cs="Tahoma"/>
          <w:sz w:val="18"/>
          <w:szCs w:val="18"/>
        </w:rPr>
      </w:pPr>
    </w:p>
    <w:p w:rsidR="00023FE7" w:rsidRPr="004B208C" w:rsidRDefault="00A560B6">
      <w:pPr>
        <w:pStyle w:val="Heading3"/>
        <w:rPr>
          <w:rFonts w:ascii="Tahoma" w:hAnsi="Tahoma" w:cs="Tahoma"/>
        </w:rPr>
      </w:pPr>
      <w:bookmarkStart w:id="1475" w:name="Srv_85SysCtrSvrMgmtSuiteEnterprise"/>
      <w:bookmarkStart w:id="1476" w:name="_85_System_Center"/>
      <w:bookmarkStart w:id="1477" w:name="_98_System_Center"/>
      <w:bookmarkStart w:id="1478" w:name="_93_System_Center"/>
      <w:bookmarkStart w:id="1479" w:name="_Toc336338354"/>
      <w:bookmarkStart w:id="1480" w:name="_Toc370981466"/>
      <w:bookmarkEnd w:id="1475"/>
      <w:bookmarkEnd w:id="1476"/>
      <w:bookmarkEnd w:id="1477"/>
      <w:bookmarkEnd w:id="1478"/>
      <w:r w:rsidRPr="004B208C">
        <w:rPr>
          <w:rFonts w:ascii="Tahoma" w:hAnsi="Tahoma" w:cs="Tahoma"/>
          <w:caps/>
          <w:color w:val="F66400"/>
          <w:sz w:val="22"/>
          <w:vertAlign w:val="superscript"/>
        </w:rPr>
        <w:t xml:space="preserve">92 </w:t>
      </w:r>
      <w:r w:rsidRPr="004B208C">
        <w:rPr>
          <w:rFonts w:ascii="Tahoma" w:hAnsi="Tahoma" w:cs="Tahoma"/>
          <w:color w:val="F66400"/>
          <w:sz w:val="22"/>
        </w:rPr>
        <w:t>System Center Server Management Suite Enterprise</w:t>
      </w:r>
      <w:bookmarkEnd w:id="1479"/>
      <w:bookmarkEnd w:id="1480"/>
    </w:p>
    <w:bookmarkEnd w:id="1473"/>
    <w:p w:rsidR="00023FE7" w:rsidRPr="00160748" w:rsidRDefault="00023FE7" w:rsidP="00D511CC">
      <w:pPr>
        <w:pStyle w:val="EndnoteText"/>
        <w:ind w:left="720"/>
        <w:rPr>
          <w:rFonts w:ascii="Tahoma" w:hAnsi="Tahoma" w:cs="Tahoma"/>
          <w:sz w:val="18"/>
          <w:szCs w:val="18"/>
        </w:rPr>
      </w:pPr>
    </w:p>
    <w:p w:rsidR="00FF4CAB" w:rsidRPr="00160748" w:rsidRDefault="00FF4CAB" w:rsidP="00D511CC">
      <w:pPr>
        <w:pStyle w:val="EndnoteText"/>
        <w:ind w:left="720"/>
        <w:rPr>
          <w:rFonts w:ascii="Tahoma" w:hAnsi="Tahoma" w:cs="Tahoma"/>
          <w:sz w:val="18"/>
          <w:szCs w:val="18"/>
        </w:rPr>
      </w:pPr>
      <w:r w:rsidRPr="00160748">
        <w:rPr>
          <w:rFonts w:ascii="Tahoma" w:hAnsi="Tahoma" w:cs="Tahoma"/>
          <w:color w:val="000000"/>
          <w:sz w:val="18"/>
          <w:szCs w:val="18"/>
        </w:rPr>
        <w:t>Este produto encontra-se no status EOL (Fim da Vida Útil) e não será mais oferecido.</w:t>
      </w:r>
    </w:p>
    <w:p w:rsidR="00D511CC" w:rsidRDefault="00D511CC" w:rsidP="00D511CC">
      <w:pPr>
        <w:pStyle w:val="EndnoteText"/>
        <w:ind w:left="720"/>
        <w:rPr>
          <w:rFonts w:ascii="Tahoma" w:hAnsi="Tahoma" w:cs="Tahoma"/>
          <w:sz w:val="18"/>
          <w:szCs w:val="18"/>
        </w:rPr>
      </w:pPr>
    </w:p>
    <w:p w:rsidR="004A7475" w:rsidRPr="00160748" w:rsidRDefault="004A7475" w:rsidP="00D511CC">
      <w:pPr>
        <w:pStyle w:val="EndnoteText"/>
        <w:ind w:left="720"/>
        <w:rPr>
          <w:rFonts w:ascii="Tahoma" w:hAnsi="Tahoma" w:cs="Tahoma"/>
          <w:sz w:val="18"/>
          <w:szCs w:val="18"/>
        </w:rPr>
      </w:pPr>
    </w:p>
    <w:p w:rsidR="00FF4CAB" w:rsidRPr="00160748" w:rsidRDefault="00FF4CAB" w:rsidP="00D511CC">
      <w:pPr>
        <w:pStyle w:val="FootnoteBulletLevel1"/>
        <w:tabs>
          <w:tab w:val="clear" w:pos="900"/>
        </w:tabs>
        <w:spacing w:before="0" w:after="60"/>
        <w:ind w:left="720" w:firstLine="0"/>
        <w:rPr>
          <w:rFonts w:ascii="Tahoma" w:hAnsi="Tahoma" w:cs="Tahoma"/>
          <w:sz w:val="18"/>
          <w:szCs w:val="18"/>
        </w:rPr>
      </w:pPr>
      <w:r w:rsidRPr="00160748">
        <w:rPr>
          <w:rFonts w:ascii="Tahoma" w:hAnsi="Tahoma" w:cs="Tahoma"/>
          <w:b/>
          <w:sz w:val="18"/>
          <w:szCs w:val="18"/>
        </w:rPr>
        <w:lastRenderedPageBreak/>
        <w:t>Detalhes da Outorga de Licença Transicional Única do System Center 2012</w:t>
      </w:r>
    </w:p>
    <w:p w:rsidR="00FF4CAB" w:rsidRPr="00160748" w:rsidRDefault="00FF4CAB" w:rsidP="00D511CC">
      <w:pPr>
        <w:ind w:left="720"/>
        <w:rPr>
          <w:rFonts w:cs="Tahoma"/>
          <w:szCs w:val="18"/>
        </w:rPr>
      </w:pPr>
      <w:r w:rsidRPr="00160748">
        <w:rPr>
          <w:rFonts w:cs="Tahoma"/>
          <w:szCs w:val="18"/>
        </w:rPr>
        <w:t>Consulte a nota do produto nas ofertas do System Center 2012 para obter detalhes sobre as outorgas de licença transicionais.</w:t>
      </w:r>
    </w:p>
    <w:p w:rsidR="00FF4CAB" w:rsidRPr="00160748" w:rsidRDefault="00FF4CAB" w:rsidP="00D511CC">
      <w:pPr>
        <w:ind w:left="720"/>
        <w:rPr>
          <w:rFonts w:cs="Tahoma"/>
          <w:szCs w:val="18"/>
        </w:rPr>
      </w:pPr>
    </w:p>
    <w:p w:rsidR="00023FE7" w:rsidRPr="00160748" w:rsidRDefault="00023FE7" w:rsidP="00D511CC">
      <w:pPr>
        <w:ind w:left="720"/>
        <w:rPr>
          <w:rFonts w:cs="Tahoma"/>
          <w:szCs w:val="18"/>
        </w:rPr>
      </w:pPr>
      <w:r w:rsidRPr="00160748">
        <w:rPr>
          <w:rFonts w:cs="Tahoma"/>
          <w:szCs w:val="18"/>
        </w:rPr>
        <w:t xml:space="preserve">O System Center Server Management Suite Enterprise é </w:t>
      </w:r>
      <w:r w:rsidRPr="00160748">
        <w:rPr>
          <w:rFonts w:cs="Tahoma"/>
          <w:color w:val="000000"/>
          <w:szCs w:val="18"/>
        </w:rPr>
        <w:t>independente da versão e os direitos de uso de produto são determinados pelo status da cobertura do Software Assurance para o System Center Server Management Suite Enterprise.</w:t>
      </w:r>
      <w:r w:rsidR="00172F11" w:rsidRPr="00160748">
        <w:rPr>
          <w:rFonts w:cs="Tahoma"/>
          <w:color w:val="000000"/>
          <w:szCs w:val="18"/>
        </w:rPr>
        <w:t xml:space="preserve"> </w:t>
      </w:r>
      <w:r w:rsidRPr="00160748">
        <w:rPr>
          <w:rFonts w:cs="Tahoma"/>
          <w:color w:val="000000"/>
          <w:szCs w:val="18"/>
        </w:rPr>
        <w:t>Se a cobertura for interrompida, os direitos de acesso sob as licenças perpétuas serão determinados com base nos direitos de uso de produto em vigor antes da interrupção.</w:t>
      </w:r>
      <w:r w:rsidR="00172F11" w:rsidRPr="00160748">
        <w:rPr>
          <w:rFonts w:cs="Tahoma"/>
          <w:color w:val="000000"/>
          <w:szCs w:val="18"/>
        </w:rPr>
        <w:t xml:space="preserve"> </w:t>
      </w:r>
    </w:p>
    <w:p w:rsidR="00E72B93" w:rsidRDefault="00E72B93" w:rsidP="00D511CC">
      <w:pPr>
        <w:ind w:left="720"/>
        <w:rPr>
          <w:rFonts w:cs="Tahoma"/>
          <w:szCs w:val="18"/>
        </w:rPr>
      </w:pPr>
    </w:p>
    <w:p w:rsidR="005C164D" w:rsidRPr="004B208C" w:rsidRDefault="005C164D" w:rsidP="00D511CC">
      <w:pPr>
        <w:ind w:left="720"/>
        <w:jc w:val="both"/>
        <w:rPr>
          <w:rFonts w:cs="Tahoma"/>
        </w:rPr>
      </w:pPr>
      <w:r w:rsidRPr="00160748">
        <w:rPr>
          <w:rFonts w:cs="Tahoma"/>
          <w:color w:val="000000"/>
          <w:szCs w:val="18"/>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w:t>
      </w:r>
      <w:r w:rsidRPr="004B208C">
        <w:rPr>
          <w:rFonts w:cs="Tahoma"/>
          <w:color w:val="000000"/>
          <w:szCs w:val="18"/>
        </w:rPr>
        <w:t xml:space="preserve"> Machine Manager 2008 R2. Além disso, estará incluída a licença de servidor do Virtual Machine Manager 2008 R2 e do Data Protection Manager 2010. Consulte o PUR para obter informações sobre os direitos de</w:t>
      </w:r>
      <w:r w:rsidR="00160748">
        <w:rPr>
          <w:rFonts w:cs="Tahoma"/>
          <w:color w:val="000000"/>
          <w:szCs w:val="18"/>
        </w:rPr>
        <w:t> </w:t>
      </w:r>
      <w:r w:rsidRPr="004B208C">
        <w:rPr>
          <w:rFonts w:cs="Tahoma"/>
          <w:color w:val="000000"/>
          <w:szCs w:val="18"/>
        </w:rPr>
        <w:t>uso.</w:t>
      </w:r>
    </w:p>
    <w:p w:rsidR="00023FE7" w:rsidRPr="004B208C" w:rsidRDefault="00023FE7" w:rsidP="00D511CC">
      <w:pPr>
        <w:ind w:left="720"/>
        <w:rPr>
          <w:rFonts w:cs="Tahoma"/>
        </w:rPr>
      </w:pPr>
    </w:p>
    <w:p w:rsidR="004323B9" w:rsidRPr="004B208C" w:rsidRDefault="00D511CC" w:rsidP="00D511CC">
      <w:pPr>
        <w:spacing w:after="60"/>
        <w:ind w:left="720"/>
        <w:rPr>
          <w:rFonts w:cs="Tahoma"/>
        </w:rPr>
      </w:pPr>
      <w:r w:rsidRPr="004B208C">
        <w:rPr>
          <w:rFonts w:cs="Tahoma"/>
          <w:b/>
          <w:szCs w:val="20"/>
        </w:rPr>
        <w:t>Outorga de Licença</w:t>
      </w:r>
    </w:p>
    <w:p w:rsidR="004323B9" w:rsidRPr="00160748" w:rsidRDefault="004323B9" w:rsidP="00D511CC">
      <w:pPr>
        <w:pStyle w:val="FootnoteBulletLevel1"/>
        <w:tabs>
          <w:tab w:val="left" w:pos="900"/>
        </w:tabs>
        <w:spacing w:before="0" w:after="0"/>
        <w:ind w:left="720" w:firstLine="0"/>
        <w:rPr>
          <w:rFonts w:ascii="Tahoma" w:hAnsi="Tahoma" w:cs="Tahoma"/>
          <w:sz w:val="18"/>
          <w:szCs w:val="18"/>
        </w:rPr>
      </w:pPr>
      <w:r w:rsidRPr="00160748">
        <w:rPr>
          <w:rFonts w:ascii="Tahoma" w:hAnsi="Tahoma" w:cs="Tahoma"/>
          <w:sz w:val="18"/>
          <w:szCs w:val="18"/>
        </w:rPr>
        <w:t>Outorga de Licença Única do System Center Server Management Suite Datacenter (SMSD) para Titulares de</w:t>
      </w:r>
      <w:r w:rsidR="00160748" w:rsidRPr="00160748">
        <w:rPr>
          <w:rFonts w:ascii="Tahoma" w:hAnsi="Tahoma" w:cs="Tahoma"/>
          <w:sz w:val="18"/>
          <w:szCs w:val="18"/>
        </w:rPr>
        <w:t> </w:t>
      </w:r>
      <w:r w:rsidRPr="00160748">
        <w:rPr>
          <w:rFonts w:ascii="Tahoma" w:hAnsi="Tahoma" w:cs="Tahoma"/>
          <w:sz w:val="18"/>
          <w:szCs w:val="18"/>
        </w:rPr>
        <w:t>Licenças do System Center Server Management Suite Enterprise (SMSE).</w:t>
      </w:r>
    </w:p>
    <w:p w:rsidR="000A18AA" w:rsidRPr="00160748" w:rsidRDefault="000A18AA" w:rsidP="00D511CC">
      <w:pPr>
        <w:pStyle w:val="FootnoteBulletLevel1"/>
        <w:tabs>
          <w:tab w:val="left" w:pos="900"/>
        </w:tabs>
        <w:spacing w:before="0" w:after="0"/>
        <w:ind w:left="720" w:firstLine="0"/>
        <w:rPr>
          <w:rFonts w:ascii="Tahoma" w:hAnsi="Tahoma" w:cs="Tahoma"/>
          <w:sz w:val="18"/>
          <w:szCs w:val="18"/>
        </w:rPr>
      </w:pPr>
    </w:p>
    <w:p w:rsidR="004323B9" w:rsidRPr="00160748"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160748">
        <w:rPr>
          <w:rFonts w:ascii="Tahoma" w:hAnsi="Tahoma" w:cs="Tahoma"/>
          <w:sz w:val="18"/>
          <w:szCs w:val="18"/>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w:t>
      </w:r>
      <w:r w:rsidR="00160748" w:rsidRPr="00160748">
        <w:rPr>
          <w:rFonts w:ascii="Tahoma" w:hAnsi="Tahoma" w:cs="Tahoma"/>
          <w:sz w:val="18"/>
          <w:szCs w:val="18"/>
        </w:rPr>
        <w:t> </w:t>
      </w:r>
      <w:r w:rsidRPr="00160748">
        <w:rPr>
          <w:rFonts w:ascii="Tahoma" w:hAnsi="Tahoma" w:cs="Tahoma"/>
          <w:sz w:val="18"/>
          <w:szCs w:val="18"/>
        </w:rPr>
        <w:t>de</w:t>
      </w:r>
      <w:r w:rsidR="00160748" w:rsidRPr="00160748">
        <w:rPr>
          <w:rFonts w:ascii="Tahoma" w:hAnsi="Tahoma" w:cs="Tahoma"/>
          <w:sz w:val="18"/>
          <w:szCs w:val="18"/>
        </w:rPr>
        <w:t> </w:t>
      </w:r>
      <w:r w:rsidRPr="00160748">
        <w:rPr>
          <w:rFonts w:ascii="Tahoma" w:hAnsi="Tahoma" w:cs="Tahoma"/>
          <w:sz w:val="18"/>
          <w:szCs w:val="18"/>
        </w:rPr>
        <w:t>julho de 2009 os seguintes itens</w:t>
      </w:r>
      <w:r w:rsidRPr="00160748">
        <w:rPr>
          <w:rFonts w:ascii="Tahoma" w:hAnsi="Tahoma" w:cs="Tahoma"/>
          <w:color w:val="000000"/>
          <w:sz w:val="18"/>
          <w:szCs w:val="18"/>
        </w:rPr>
        <w:t>:</w:t>
      </w:r>
    </w:p>
    <w:p w:rsidR="000A18AA" w:rsidRPr="00160748"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160748" w:rsidRDefault="004323B9" w:rsidP="00D511CC">
      <w:pPr>
        <w:numPr>
          <w:ilvl w:val="0"/>
          <w:numId w:val="3"/>
        </w:numPr>
        <w:ind w:left="1440"/>
        <w:rPr>
          <w:rFonts w:cs="Tahoma"/>
          <w:szCs w:val="18"/>
        </w:rPr>
      </w:pPr>
      <w:r w:rsidRPr="00160748">
        <w:rPr>
          <w:rFonts w:cs="Tahoma"/>
          <w:color w:val="000000"/>
          <w:szCs w:val="18"/>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rsidR="000A18AA" w:rsidRPr="004B208C" w:rsidRDefault="000A18AA" w:rsidP="000A18AA">
      <w:pPr>
        <w:rPr>
          <w:rFonts w:cs="Tahoma"/>
        </w:rPr>
      </w:pPr>
    </w:p>
    <w:p w:rsidR="004323B9" w:rsidRPr="00160748" w:rsidRDefault="004323B9" w:rsidP="00D511CC">
      <w:pPr>
        <w:pStyle w:val="FootnoteBulletLevel1"/>
        <w:tabs>
          <w:tab w:val="clear" w:pos="900"/>
        </w:tabs>
        <w:spacing w:before="0" w:after="0"/>
        <w:ind w:left="720" w:firstLine="0"/>
        <w:rPr>
          <w:rFonts w:ascii="Tahoma" w:hAnsi="Tahoma" w:cs="Tahoma"/>
          <w:sz w:val="18"/>
          <w:szCs w:val="18"/>
        </w:rPr>
      </w:pPr>
      <w:r w:rsidRPr="00160748">
        <w:rPr>
          <w:rFonts w:ascii="Tahoma" w:hAnsi="Tahoma" w:cs="Tahoma"/>
          <w:sz w:val="18"/>
          <w:szCs w:val="18"/>
        </w:rPr>
        <w:t>Os direitos de gerenciamento associados às licenças gratuitas do SMSD serão outorgados no lugar dos direitos de gerenciamento associados às licenças do SMSE qualificadas.</w:t>
      </w:r>
      <w:r w:rsidR="00172F11" w:rsidRPr="00160748">
        <w:rPr>
          <w:rFonts w:ascii="Tahoma" w:hAnsi="Tahoma" w:cs="Tahoma"/>
          <w:sz w:val="18"/>
          <w:szCs w:val="18"/>
        </w:rPr>
        <w:t xml:space="preserve"> </w:t>
      </w:r>
      <w:r w:rsidRPr="00160748">
        <w:rPr>
          <w:rFonts w:ascii="Tahoma" w:hAnsi="Tahoma" w:cs="Tahoma"/>
          <w:sz w:val="18"/>
          <w:szCs w:val="18"/>
        </w:rPr>
        <w:t>Com a cessão das licenças do SMSD</w:t>
      </w:r>
      <w:r w:rsidR="009803C5">
        <w:rPr>
          <w:rFonts w:ascii="Tahoma" w:hAnsi="Tahoma" w:cs="Tahoma"/>
          <w:sz w:val="18"/>
          <w:szCs w:val="18"/>
        </w:rPr>
        <w:t> </w:t>
      </w:r>
      <w:r w:rsidRPr="00160748">
        <w:rPr>
          <w:rFonts w:ascii="Tahoma" w:hAnsi="Tahoma" w:cs="Tahoma"/>
          <w:sz w:val="18"/>
          <w:szCs w:val="18"/>
        </w:rPr>
        <w:t>outorgadas, o cliente perderá os direitos de gerenciamento sob a licença do SMSE correspondente.</w:t>
      </w:r>
    </w:p>
    <w:p w:rsidR="004323B9" w:rsidRPr="00160748" w:rsidRDefault="004323B9" w:rsidP="00D511CC">
      <w:pPr>
        <w:pStyle w:val="FootnoteBulletLevel1"/>
        <w:tabs>
          <w:tab w:val="clear" w:pos="900"/>
        </w:tabs>
        <w:spacing w:before="0" w:after="0"/>
        <w:ind w:left="720" w:firstLine="0"/>
        <w:rPr>
          <w:rFonts w:ascii="Tahoma" w:hAnsi="Tahoma" w:cs="Tahoma"/>
          <w:sz w:val="18"/>
          <w:szCs w:val="18"/>
        </w:rPr>
      </w:pPr>
      <w:r w:rsidRPr="00160748">
        <w:rPr>
          <w:rFonts w:ascii="Tahoma" w:hAnsi="Tahoma" w:cs="Tahoma"/>
          <w:sz w:val="18"/>
          <w:szCs w:val="18"/>
        </w:rPr>
        <w:t>Quaisquer licenças outorgadas sob esta oferta estarão sujeitas à seguinte limitação:</w:t>
      </w:r>
      <w:r w:rsidRPr="00160748">
        <w:rPr>
          <w:rFonts w:ascii="Tahoma" w:hAnsi="Tahoma" w:cs="Tahoma"/>
          <w:color w:val="000000"/>
          <w:sz w:val="18"/>
          <w:szCs w:val="18"/>
        </w:rPr>
        <w:t xml:space="preserve"> cada conjunto de licenças do SMSD outorgadas deverá ser cedido a um único dispositivo</w:t>
      </w:r>
      <w:r w:rsidRPr="00160748">
        <w:rPr>
          <w:rFonts w:ascii="Tahoma" w:hAnsi="Tahoma" w:cs="Tahoma"/>
          <w:sz w:val="18"/>
          <w:szCs w:val="18"/>
        </w:rPr>
        <w:t>.</w:t>
      </w:r>
    </w:p>
    <w:p w:rsidR="000A18AA" w:rsidRPr="00160748" w:rsidRDefault="000A18AA" w:rsidP="00D511CC">
      <w:pPr>
        <w:pStyle w:val="FootnoteBulletLevel1"/>
        <w:tabs>
          <w:tab w:val="clear" w:pos="900"/>
        </w:tabs>
        <w:spacing w:before="0" w:after="0"/>
        <w:ind w:left="720" w:firstLine="0"/>
        <w:rPr>
          <w:rFonts w:ascii="Tahoma" w:hAnsi="Tahoma" w:cs="Tahoma"/>
          <w:sz w:val="18"/>
          <w:szCs w:val="18"/>
        </w:rPr>
      </w:pPr>
    </w:p>
    <w:p w:rsidR="00CF7343" w:rsidRPr="00160748" w:rsidRDefault="004323B9" w:rsidP="000A18AA">
      <w:pPr>
        <w:pStyle w:val="FootnoteBulletLevel1"/>
        <w:tabs>
          <w:tab w:val="clear" w:pos="900"/>
        </w:tabs>
        <w:spacing w:before="0" w:after="60"/>
        <w:ind w:left="720" w:firstLine="0"/>
        <w:rPr>
          <w:rFonts w:ascii="Tahoma" w:hAnsi="Tahoma" w:cs="Tahoma"/>
          <w:sz w:val="18"/>
          <w:szCs w:val="18"/>
        </w:rPr>
      </w:pPr>
      <w:r w:rsidRPr="00160748">
        <w:rPr>
          <w:rFonts w:ascii="Tahoma" w:hAnsi="Tahoma" w:cs="Tahoma"/>
          <w:b/>
          <w:color w:val="000000"/>
          <w:sz w:val="18"/>
          <w:szCs w:val="18"/>
        </w:rPr>
        <w:t>Opções na renovação do Software Assurance</w:t>
      </w:r>
      <w:r w:rsidR="00172F11" w:rsidRPr="00160748">
        <w:rPr>
          <w:rFonts w:ascii="Tahoma" w:hAnsi="Tahoma" w:cs="Tahoma"/>
          <w:b/>
          <w:color w:val="000000"/>
          <w:sz w:val="18"/>
          <w:szCs w:val="18"/>
        </w:rPr>
        <w:t xml:space="preserve"> </w:t>
      </w:r>
    </w:p>
    <w:p w:rsidR="004323B9" w:rsidRPr="00160748" w:rsidRDefault="004323B9" w:rsidP="00D511CC">
      <w:pPr>
        <w:pStyle w:val="FootnoteBulletLevel1"/>
        <w:tabs>
          <w:tab w:val="clear" w:pos="900"/>
        </w:tabs>
        <w:spacing w:before="0" w:after="0"/>
        <w:ind w:left="720" w:firstLine="0"/>
        <w:rPr>
          <w:rFonts w:ascii="Tahoma" w:hAnsi="Tahoma" w:cs="Tahoma"/>
          <w:sz w:val="18"/>
          <w:szCs w:val="18"/>
        </w:rPr>
      </w:pPr>
      <w:r w:rsidRPr="00160748">
        <w:rPr>
          <w:rFonts w:ascii="Tahoma" w:hAnsi="Tahoma" w:cs="Tahoma"/>
          <w:color w:val="000000"/>
          <w:sz w:val="18"/>
          <w:szCs w:val="18"/>
        </w:rPr>
        <w:t xml:space="preserve">Quaisquer licenças outorgadas sob esta oferta incluirão uma cobertura do Software Assurance que se encerrará quando a cobertura sobre as licenças qualificadas correspondentes se encerrar. </w:t>
      </w:r>
      <w:r w:rsidRPr="00160748">
        <w:rPr>
          <w:rFonts w:ascii="Tahoma" w:hAnsi="Tahoma" w:cs="Tahoma"/>
          <w:sz w:val="18"/>
          <w:szCs w:val="18"/>
        </w:rPr>
        <w:t>Ao término da cobertura do Software Assurance, os clientes poderão renovar o Software Assurance de acordo com uma das seguintes opções:</w:t>
      </w:r>
    </w:p>
    <w:p w:rsidR="000A18AA" w:rsidRPr="00160748" w:rsidRDefault="000A18AA" w:rsidP="00D511CC">
      <w:pPr>
        <w:pStyle w:val="FootnoteBulletLevel1"/>
        <w:tabs>
          <w:tab w:val="clear" w:pos="900"/>
        </w:tabs>
        <w:spacing w:before="0" w:after="0"/>
        <w:ind w:left="720" w:firstLine="0"/>
        <w:rPr>
          <w:rFonts w:ascii="Tahoma" w:hAnsi="Tahoma" w:cs="Tahoma"/>
          <w:sz w:val="18"/>
          <w:szCs w:val="18"/>
        </w:rPr>
      </w:pPr>
    </w:p>
    <w:p w:rsidR="004323B9" w:rsidRPr="00160748" w:rsidRDefault="004323B9" w:rsidP="000A18AA">
      <w:pPr>
        <w:pStyle w:val="FootnoteBulletLevel1"/>
        <w:numPr>
          <w:ilvl w:val="0"/>
          <w:numId w:val="13"/>
        </w:numPr>
        <w:tabs>
          <w:tab w:val="left" w:pos="720"/>
        </w:tabs>
        <w:spacing w:before="0" w:after="60"/>
        <w:ind w:left="1440"/>
        <w:rPr>
          <w:rFonts w:ascii="Tahoma" w:hAnsi="Tahoma" w:cs="Tahoma"/>
          <w:sz w:val="18"/>
          <w:szCs w:val="18"/>
        </w:rPr>
      </w:pPr>
      <w:r w:rsidRPr="00160748">
        <w:rPr>
          <w:rFonts w:ascii="Tahoma" w:hAnsi="Tahoma" w:cs="Tahoma"/>
          <w:sz w:val="18"/>
          <w:szCs w:val="18"/>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w:t>
      </w:r>
      <w:r w:rsidR="00160748">
        <w:rPr>
          <w:rFonts w:ascii="Tahoma" w:hAnsi="Tahoma" w:cs="Tahoma"/>
          <w:sz w:val="18"/>
          <w:szCs w:val="18"/>
        </w:rPr>
        <w:t> </w:t>
      </w:r>
      <w:r w:rsidRPr="00160748">
        <w:rPr>
          <w:rFonts w:ascii="Tahoma" w:hAnsi="Tahoma" w:cs="Tahoma"/>
          <w:sz w:val="18"/>
          <w:szCs w:val="18"/>
        </w:rPr>
        <w:t>cliente perderá os direitos às quatro licenças gratuitas do SMSD.</w:t>
      </w:r>
    </w:p>
    <w:p w:rsidR="004323B9" w:rsidRPr="00160748" w:rsidRDefault="004323B9" w:rsidP="000A18AA">
      <w:pPr>
        <w:pStyle w:val="FootnoteBulletLevel1"/>
        <w:numPr>
          <w:ilvl w:val="0"/>
          <w:numId w:val="14"/>
        </w:numPr>
        <w:tabs>
          <w:tab w:val="left" w:pos="720"/>
        </w:tabs>
        <w:spacing w:before="0" w:after="60"/>
        <w:ind w:left="1440"/>
        <w:rPr>
          <w:rFonts w:ascii="Tahoma" w:hAnsi="Tahoma" w:cs="Tahoma"/>
          <w:sz w:val="18"/>
          <w:szCs w:val="18"/>
        </w:rPr>
      </w:pPr>
      <w:r w:rsidRPr="00160748">
        <w:rPr>
          <w:rFonts w:ascii="Tahoma" w:hAnsi="Tahoma" w:cs="Tahoma"/>
          <w:sz w:val="18"/>
          <w:szCs w:val="18"/>
        </w:rPr>
        <w:t>Os clientes poderão renovar a cobertura para as licenças gratuitas do SMSD:</w:t>
      </w:r>
    </w:p>
    <w:p w:rsidR="004323B9" w:rsidRPr="00160748"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160748">
        <w:rPr>
          <w:rFonts w:ascii="Tahoma" w:hAnsi="Tahoma" w:cs="Tahoma"/>
          <w:sz w:val="18"/>
          <w:szCs w:val="18"/>
        </w:rPr>
        <w:t>Os clientes poderão renovar a cobertura para todas as licenças do SMSD do conjunto de quatro licenças gratuitas do SMSD outorgadas sob esta oferta. Nesta opção, o requisito para</w:t>
      </w:r>
      <w:r w:rsidR="00160748">
        <w:rPr>
          <w:rFonts w:ascii="Tahoma" w:hAnsi="Tahoma" w:cs="Tahoma"/>
          <w:sz w:val="18"/>
          <w:szCs w:val="18"/>
        </w:rPr>
        <w:t> </w:t>
      </w:r>
      <w:r w:rsidRPr="00160748">
        <w:rPr>
          <w:rFonts w:ascii="Tahoma" w:hAnsi="Tahoma" w:cs="Tahoma"/>
          <w:sz w:val="18"/>
          <w:szCs w:val="18"/>
        </w:rPr>
        <w:t>alocar o conjunto de quatro licenças a um único dispositivo será dispensado.</w:t>
      </w:r>
    </w:p>
    <w:p w:rsidR="004323B9" w:rsidRPr="00160748"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160748">
        <w:rPr>
          <w:rFonts w:ascii="Tahoma" w:hAnsi="Tahoma" w:cs="Tahoma"/>
          <w:sz w:val="18"/>
          <w:szCs w:val="18"/>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w:t>
      </w:r>
      <w:r w:rsidR="00172F11" w:rsidRPr="00160748">
        <w:rPr>
          <w:rFonts w:ascii="Tahoma" w:hAnsi="Tahoma" w:cs="Tahoma"/>
          <w:sz w:val="18"/>
          <w:szCs w:val="18"/>
        </w:rPr>
        <w:t xml:space="preserve"> </w:t>
      </w:r>
      <w:r w:rsidRPr="00160748">
        <w:rPr>
          <w:rFonts w:ascii="Tahoma" w:hAnsi="Tahoma" w:cs="Tahoma"/>
          <w:sz w:val="18"/>
          <w:szCs w:val="18"/>
        </w:rPr>
        <w:t xml:space="preserve">Nesta opção, o requisito para alocar o conjunto de quatro licenças a um único dispositivo continuará a ser aplicável na ocasião da </w:t>
      </w:r>
      <w:r w:rsidRPr="00160748">
        <w:rPr>
          <w:rFonts w:ascii="Tahoma" w:hAnsi="Tahoma" w:cs="Tahoma"/>
          <w:sz w:val="18"/>
          <w:szCs w:val="18"/>
        </w:rPr>
        <w:lastRenderedPageBreak/>
        <w:t>renovação.</w:t>
      </w:r>
      <w:r w:rsidR="00172F11" w:rsidRPr="00160748">
        <w:rPr>
          <w:rFonts w:ascii="Tahoma" w:hAnsi="Tahoma" w:cs="Tahoma"/>
          <w:sz w:val="18"/>
          <w:szCs w:val="18"/>
        </w:rPr>
        <w:t xml:space="preserve"> </w:t>
      </w:r>
      <w:r w:rsidRPr="00160748">
        <w:rPr>
          <w:rFonts w:ascii="Tahoma" w:hAnsi="Tahoma" w:cs="Tahoma"/>
          <w:sz w:val="18"/>
          <w:szCs w:val="18"/>
        </w:rPr>
        <w:t>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 SMSD a um único dispositivo só será dispensado nessa renovação subsequente se a cobertura para todas as quatro licenças do SMSD for renovada.</w:t>
      </w:r>
    </w:p>
    <w:p w:rsidR="00D63733" w:rsidRPr="004B208C" w:rsidRDefault="00D63733" w:rsidP="00D511CC">
      <w:pPr>
        <w:pStyle w:val="FootnoteBulletLevel1"/>
        <w:tabs>
          <w:tab w:val="clear" w:pos="900"/>
          <w:tab w:val="left" w:pos="720"/>
        </w:tabs>
        <w:spacing w:before="0" w:after="0"/>
        <w:ind w:firstLine="0"/>
        <w:rPr>
          <w:rFonts w:ascii="Tahoma" w:hAnsi="Tahoma" w:cs="Tahoma"/>
        </w:rPr>
      </w:pPr>
    </w:p>
    <w:p w:rsidR="00CF7343" w:rsidRPr="004B208C" w:rsidRDefault="004323B9" w:rsidP="000A18AA">
      <w:pPr>
        <w:pStyle w:val="FootnoteBulletLevel1"/>
        <w:tabs>
          <w:tab w:val="clear" w:pos="900"/>
          <w:tab w:val="left" w:pos="720"/>
        </w:tabs>
        <w:spacing w:before="0" w:after="60"/>
        <w:ind w:left="720" w:firstLine="0"/>
        <w:rPr>
          <w:rFonts w:ascii="Tahoma" w:hAnsi="Tahoma" w:cs="Tahoma"/>
        </w:rPr>
      </w:pPr>
      <w:r w:rsidRPr="004B208C">
        <w:rPr>
          <w:rFonts w:ascii="Tahoma" w:hAnsi="Tahoma" w:cs="Tahoma"/>
          <w:b/>
          <w:sz w:val="18"/>
        </w:rPr>
        <w:t>Remoção da limitação de que c</w:t>
      </w:r>
      <w:r w:rsidRPr="004B208C">
        <w:rPr>
          <w:rFonts w:ascii="Tahoma" w:hAnsi="Tahoma" w:cs="Tahoma"/>
          <w:b/>
          <w:color w:val="000000"/>
          <w:sz w:val="18"/>
        </w:rPr>
        <w:t>ada conjunto de licenças do SMSD outorgadas deverá ser alocado a um único dispositivo</w:t>
      </w:r>
    </w:p>
    <w:p w:rsidR="004323B9" w:rsidRPr="00160748"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160748">
        <w:rPr>
          <w:rFonts w:ascii="Tahoma" w:hAnsi="Tahoma" w:cs="Tahoma"/>
          <w:sz w:val="18"/>
          <w:szCs w:val="18"/>
        </w:rPr>
        <w:t xml:space="preserve">A qualquer momento antes da primeira renovação do Software Assurance após esta outorga, os clientes poderão remover o requisito de que </w:t>
      </w:r>
      <w:r w:rsidRPr="00160748">
        <w:rPr>
          <w:rFonts w:ascii="Tahoma" w:hAnsi="Tahoma" w:cs="Tahoma"/>
          <w:color w:val="000000"/>
          <w:sz w:val="18"/>
          <w:szCs w:val="18"/>
        </w:rPr>
        <w:t>cada conjunto de licenças do SMSD outorgadas deverá ser alocado a</w:t>
      </w:r>
      <w:r w:rsidR="00160748">
        <w:rPr>
          <w:rFonts w:ascii="Tahoma" w:hAnsi="Tahoma" w:cs="Tahoma"/>
          <w:color w:val="000000"/>
          <w:sz w:val="18"/>
          <w:szCs w:val="18"/>
        </w:rPr>
        <w:t> </w:t>
      </w:r>
      <w:r w:rsidRPr="00160748">
        <w:rPr>
          <w:rFonts w:ascii="Tahoma" w:hAnsi="Tahoma" w:cs="Tahoma"/>
          <w:color w:val="000000"/>
          <w:sz w:val="18"/>
          <w:szCs w:val="18"/>
        </w:rPr>
        <w:t>um único dispositivo. Para isso, deverão</w:t>
      </w:r>
      <w:r w:rsidRPr="00160748">
        <w:rPr>
          <w:rFonts w:ascii="Tahoma" w:hAnsi="Tahoma" w:cs="Tahoma"/>
          <w:sz w:val="18"/>
          <w:szCs w:val="18"/>
        </w:rPr>
        <w:t xml:space="preserve"> comprar a cobertura do Software Assurance para duas licenças do SMSD de um dado conjunto de quatro licenças gratuitas do SMSD.</w:t>
      </w:r>
      <w:r w:rsidR="00172F11" w:rsidRPr="00160748">
        <w:rPr>
          <w:rFonts w:ascii="Tahoma" w:hAnsi="Tahoma" w:cs="Tahoma"/>
          <w:sz w:val="18"/>
          <w:szCs w:val="18"/>
        </w:rPr>
        <w:t xml:space="preserve"> </w:t>
      </w:r>
    </w:p>
    <w:p w:rsidR="000A18AA" w:rsidRPr="00160748"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160748"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160748">
        <w:rPr>
          <w:rFonts w:ascii="Tahoma" w:hAnsi="Tahoma" w:cs="Tahoma"/>
          <w:sz w:val="18"/>
          <w:szCs w:val="18"/>
        </w:rPr>
        <w:t>O direito de uso do software pelos clientes sob as licenças gratuitas do SMSD é comprovado por esta nota de condição do produto e por evidências das licenças qualificadas correspondentes.</w:t>
      </w:r>
      <w:r w:rsidR="00172F11" w:rsidRPr="00160748">
        <w:rPr>
          <w:rFonts w:ascii="Tahoma" w:hAnsi="Tahoma" w:cs="Tahoma"/>
          <w:sz w:val="18"/>
          <w:szCs w:val="18"/>
        </w:rPr>
        <w:t xml:space="preserve"> </w:t>
      </w:r>
      <w:r w:rsidRPr="00160748">
        <w:rPr>
          <w:rFonts w:ascii="Tahoma" w:hAnsi="Tahoma" w:cs="Tahoma"/>
          <w:sz w:val="18"/>
          <w:szCs w:val="18"/>
        </w:rPr>
        <w:t>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qualificadas expirar. Os clientes não poderão transferir as licenças outorgadas sob esta oferta separadamente das licenças qualificadas correspondentes.</w:t>
      </w:r>
    </w:p>
    <w:p w:rsidR="000A18AA" w:rsidRPr="00160748"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F23A1B" w:rsidRPr="00160748" w:rsidRDefault="004323B9" w:rsidP="000A18AA">
      <w:pPr>
        <w:pStyle w:val="FootnoteBulletLevel1"/>
        <w:tabs>
          <w:tab w:val="clear" w:pos="900"/>
          <w:tab w:val="left" w:pos="720"/>
        </w:tabs>
        <w:spacing w:before="0" w:after="0"/>
        <w:ind w:left="720" w:firstLine="0"/>
        <w:rPr>
          <w:rFonts w:ascii="Tahoma" w:hAnsi="Tahoma" w:cs="Tahoma"/>
          <w:sz w:val="18"/>
          <w:szCs w:val="18"/>
        </w:rPr>
      </w:pPr>
      <w:r w:rsidRPr="00160748">
        <w:rPr>
          <w:rFonts w:ascii="Tahoma" w:hAnsi="Tahoma" w:cs="Tahoma"/>
          <w:sz w:val="18"/>
          <w:szCs w:val="18"/>
        </w:rPr>
        <w:t>*As alterações no licenciamento do SMSE são efetivas para o System Center Operations Manager 2007 R2 e</w:t>
      </w:r>
      <w:r w:rsidR="00160748">
        <w:rPr>
          <w:rFonts w:ascii="Tahoma" w:hAnsi="Tahoma" w:cs="Tahoma"/>
          <w:sz w:val="18"/>
          <w:szCs w:val="18"/>
        </w:rPr>
        <w:t> </w:t>
      </w:r>
      <w:r w:rsidRPr="00160748">
        <w:rPr>
          <w:rFonts w:ascii="Tahoma" w:hAnsi="Tahoma" w:cs="Tahoma"/>
          <w:sz w:val="18"/>
          <w:szCs w:val="18"/>
        </w:rPr>
        <w:t>para novos lançamentos dos outros produtos incluídos no System Center Server Management Suite Enterprise (por exemplo, o System Center Virtual Machine Manager 2008 R2).</w:t>
      </w:r>
    </w:p>
    <w:p w:rsidR="000A18AA" w:rsidRPr="00160748" w:rsidRDefault="000A18AA" w:rsidP="000A18AA">
      <w:pPr>
        <w:pStyle w:val="FootnoteBulletLevel1"/>
        <w:tabs>
          <w:tab w:val="clear" w:pos="900"/>
          <w:tab w:val="left" w:pos="720"/>
        </w:tabs>
        <w:spacing w:before="0" w:after="0"/>
        <w:rPr>
          <w:rFonts w:ascii="Tahoma" w:hAnsi="Tahoma" w:cs="Tahoma"/>
          <w:sz w:val="18"/>
          <w:szCs w:val="18"/>
        </w:rPr>
      </w:pPr>
    </w:p>
    <w:p w:rsidR="000A18AA" w:rsidRPr="00160748" w:rsidRDefault="000A18AA" w:rsidP="000A18AA">
      <w:pPr>
        <w:pStyle w:val="FootnoteBulletLevel1"/>
        <w:tabs>
          <w:tab w:val="clear" w:pos="900"/>
          <w:tab w:val="left" w:pos="720"/>
        </w:tabs>
        <w:spacing w:before="0" w:after="0"/>
        <w:rPr>
          <w:rFonts w:ascii="Tahoma" w:hAnsi="Tahoma" w:cs="Tahoma"/>
          <w:sz w:val="18"/>
          <w:szCs w:val="18"/>
        </w:rPr>
      </w:pPr>
    </w:p>
    <w:p w:rsidR="00F411FE" w:rsidRPr="004B208C" w:rsidRDefault="00A560B6" w:rsidP="0097015A">
      <w:pPr>
        <w:pStyle w:val="Heading3"/>
        <w:rPr>
          <w:rFonts w:ascii="Tahoma" w:hAnsi="Tahoma" w:cs="Tahoma"/>
        </w:rPr>
      </w:pPr>
      <w:bookmarkStart w:id="1481" w:name="_86_System_Center"/>
      <w:bookmarkStart w:id="1482" w:name="_94_System_Center"/>
      <w:bookmarkStart w:id="1483" w:name="_Toc336338355"/>
      <w:bookmarkStart w:id="1484" w:name="Srv_90SysCtrSvrMgmtSuiteDatacenter"/>
      <w:bookmarkStart w:id="1485" w:name="_Toc370981467"/>
      <w:bookmarkEnd w:id="1481"/>
      <w:bookmarkEnd w:id="1482"/>
      <w:r w:rsidRPr="004B208C">
        <w:rPr>
          <w:rFonts w:ascii="Tahoma" w:hAnsi="Tahoma" w:cs="Tahoma"/>
          <w:caps/>
          <w:color w:val="FF7415"/>
          <w:sz w:val="22"/>
          <w:szCs w:val="22"/>
          <w:vertAlign w:val="superscript"/>
        </w:rPr>
        <w:t xml:space="preserve">93 </w:t>
      </w:r>
      <w:r w:rsidRPr="004B208C">
        <w:rPr>
          <w:rFonts w:ascii="Tahoma" w:hAnsi="Tahoma" w:cs="Tahoma"/>
          <w:color w:val="FF7415"/>
          <w:sz w:val="22"/>
          <w:szCs w:val="22"/>
        </w:rPr>
        <w:t>System Center Server Management Suite Datacenter</w:t>
      </w:r>
      <w:bookmarkEnd w:id="1483"/>
      <w:bookmarkEnd w:id="1485"/>
    </w:p>
    <w:bookmarkEnd w:id="1484"/>
    <w:p w:rsidR="00F411FE" w:rsidRPr="004B208C" w:rsidRDefault="00F411FE" w:rsidP="00F411FE">
      <w:pPr>
        <w:ind w:left="360"/>
        <w:rPr>
          <w:rFonts w:cs="Tahoma"/>
        </w:rPr>
      </w:pPr>
    </w:p>
    <w:p w:rsidR="00FF4CAB" w:rsidRPr="00160748" w:rsidRDefault="00FF4CAB" w:rsidP="000A18AA">
      <w:pPr>
        <w:pStyle w:val="EndnoteText"/>
        <w:ind w:left="720"/>
        <w:rPr>
          <w:rFonts w:ascii="Tahoma" w:hAnsi="Tahoma" w:cs="Tahoma"/>
          <w:sz w:val="18"/>
          <w:szCs w:val="18"/>
        </w:rPr>
      </w:pPr>
      <w:r w:rsidRPr="00160748">
        <w:rPr>
          <w:rFonts w:ascii="Tahoma" w:hAnsi="Tahoma" w:cs="Tahoma"/>
          <w:color w:val="000000"/>
          <w:sz w:val="18"/>
          <w:szCs w:val="18"/>
        </w:rPr>
        <w:t xml:space="preserve">Este produto encontra-se no status EOL (Fim da Vida Útil) e não será mais oferecido. </w:t>
      </w:r>
    </w:p>
    <w:p w:rsidR="004F0CAE" w:rsidRPr="00160748" w:rsidRDefault="004F0CAE" w:rsidP="000A18AA">
      <w:pPr>
        <w:pStyle w:val="EndnoteText"/>
        <w:ind w:left="720"/>
        <w:rPr>
          <w:rFonts w:ascii="Tahoma" w:hAnsi="Tahoma" w:cs="Tahoma"/>
          <w:sz w:val="18"/>
          <w:szCs w:val="18"/>
        </w:rPr>
      </w:pPr>
    </w:p>
    <w:p w:rsidR="00FF4CAB" w:rsidRPr="00160748" w:rsidRDefault="00FF4CAB" w:rsidP="004F0CAE">
      <w:pPr>
        <w:pStyle w:val="FootnoteBulletLevel1"/>
        <w:tabs>
          <w:tab w:val="clear" w:pos="900"/>
        </w:tabs>
        <w:spacing w:before="0" w:after="60"/>
        <w:ind w:left="720" w:firstLine="0"/>
        <w:rPr>
          <w:rFonts w:ascii="Tahoma" w:hAnsi="Tahoma" w:cs="Tahoma"/>
          <w:sz w:val="18"/>
          <w:szCs w:val="18"/>
        </w:rPr>
      </w:pPr>
      <w:r w:rsidRPr="00160748">
        <w:rPr>
          <w:rFonts w:ascii="Tahoma" w:hAnsi="Tahoma" w:cs="Tahoma"/>
          <w:b/>
          <w:sz w:val="18"/>
          <w:szCs w:val="18"/>
        </w:rPr>
        <w:t>Detalhes da Outorga de Licença Transicional Única do System Center 2012</w:t>
      </w:r>
    </w:p>
    <w:p w:rsidR="00FF4CAB" w:rsidRPr="00160748" w:rsidRDefault="00FF4CAB" w:rsidP="000A18AA">
      <w:pPr>
        <w:ind w:left="720"/>
        <w:rPr>
          <w:rFonts w:cs="Tahoma"/>
          <w:szCs w:val="18"/>
        </w:rPr>
      </w:pPr>
      <w:r w:rsidRPr="00160748">
        <w:rPr>
          <w:rFonts w:cs="Tahoma"/>
          <w:szCs w:val="18"/>
        </w:rPr>
        <w:t>Consulte a nota do produto nas ofertas do System Center 2012 para obter detalhes sobre as outorgas de</w:t>
      </w:r>
      <w:r w:rsidR="00160748">
        <w:rPr>
          <w:rFonts w:cs="Tahoma"/>
          <w:szCs w:val="18"/>
        </w:rPr>
        <w:t> </w:t>
      </w:r>
      <w:r w:rsidRPr="00160748">
        <w:rPr>
          <w:rFonts w:cs="Tahoma"/>
          <w:szCs w:val="18"/>
        </w:rPr>
        <w:t>licença transicionais.</w:t>
      </w:r>
    </w:p>
    <w:p w:rsidR="00FF4CAB" w:rsidRPr="00160748" w:rsidRDefault="00FF4CAB" w:rsidP="000A18AA">
      <w:pPr>
        <w:ind w:left="720"/>
        <w:rPr>
          <w:rFonts w:cs="Tahoma"/>
          <w:szCs w:val="18"/>
        </w:rPr>
      </w:pPr>
    </w:p>
    <w:p w:rsidR="00F411FE" w:rsidRPr="00160748" w:rsidRDefault="00F411FE" w:rsidP="000A18AA">
      <w:pPr>
        <w:ind w:left="720"/>
        <w:rPr>
          <w:rFonts w:cs="Tahoma"/>
          <w:szCs w:val="18"/>
        </w:rPr>
      </w:pPr>
      <w:r w:rsidRPr="00160748">
        <w:rPr>
          <w:rFonts w:cs="Tahoma"/>
          <w:szCs w:val="18"/>
        </w:rPr>
        <w:t>O System Center Server Management Suite Datacenter é independente da versão e os direitos de uso de produto são determinados pelo status da cobertura do Software Assurance para o System Center Server Management Suite Datacenter.</w:t>
      </w:r>
      <w:r w:rsidR="00172F11" w:rsidRPr="00160748">
        <w:rPr>
          <w:rFonts w:cs="Tahoma"/>
          <w:szCs w:val="18"/>
        </w:rPr>
        <w:t xml:space="preserve"> </w:t>
      </w:r>
      <w:r w:rsidRPr="00160748">
        <w:rPr>
          <w:rFonts w:cs="Tahoma"/>
          <w:szCs w:val="18"/>
        </w:rPr>
        <w:t>Se a cobertura for interrompida, os direitos de acesso sob as licenças perpétuas serão determinados com base nos direitos de uso de produto em vigor antes da interrupção.</w:t>
      </w:r>
      <w:r w:rsidR="00172F11" w:rsidRPr="00160748">
        <w:rPr>
          <w:rFonts w:cs="Tahoma"/>
          <w:szCs w:val="18"/>
        </w:rPr>
        <w:t xml:space="preserve"> </w:t>
      </w:r>
    </w:p>
    <w:p w:rsidR="00E72B93" w:rsidRPr="00160748" w:rsidRDefault="00E72B93" w:rsidP="000A18AA">
      <w:pPr>
        <w:ind w:left="720"/>
        <w:rPr>
          <w:rFonts w:cs="Tahoma"/>
          <w:szCs w:val="18"/>
        </w:rPr>
      </w:pPr>
    </w:p>
    <w:p w:rsidR="00143CF6" w:rsidRPr="00160748" w:rsidRDefault="005C164D" w:rsidP="003165D6">
      <w:pPr>
        <w:ind w:left="720"/>
        <w:rPr>
          <w:rFonts w:cs="Tahoma"/>
          <w:szCs w:val="18"/>
        </w:rPr>
      </w:pPr>
      <w:r w:rsidRPr="00160748">
        <w:rPr>
          <w:rFonts w:cs="Tahoma"/>
          <w:color w:val="000000"/>
          <w:szCs w:val="18"/>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w:t>
      </w:r>
      <w:r w:rsidR="00160748">
        <w:rPr>
          <w:rFonts w:cs="Tahoma"/>
          <w:color w:val="000000"/>
          <w:szCs w:val="18"/>
        </w:rPr>
        <w:t> </w:t>
      </w:r>
      <w:r w:rsidRPr="00160748">
        <w:rPr>
          <w:rFonts w:cs="Tahoma"/>
          <w:color w:val="000000"/>
          <w:szCs w:val="18"/>
        </w:rPr>
        <w:t>uso.</w:t>
      </w:r>
      <w:bookmarkStart w:id="1486" w:name="_90_System_Center"/>
      <w:bookmarkEnd w:id="1486"/>
    </w:p>
    <w:p w:rsidR="00FF4CAB" w:rsidRPr="004B208C" w:rsidRDefault="00FF4CAB" w:rsidP="004F0CAE">
      <w:pPr>
        <w:rPr>
          <w:rFonts w:cs="Tahoma"/>
        </w:rPr>
      </w:pPr>
      <w:bookmarkStart w:id="1487" w:name="Srv_92TechNetPlusSingleUser"/>
    </w:p>
    <w:p w:rsidR="004F0CAE" w:rsidRPr="004B208C" w:rsidRDefault="004F0CAE" w:rsidP="004F0CAE">
      <w:pPr>
        <w:rPr>
          <w:rFonts w:cs="Tahoma"/>
        </w:rPr>
      </w:pPr>
      <w:bookmarkStart w:id="1488" w:name="_87_System_Center"/>
      <w:bookmarkStart w:id="1489" w:name="_Toc336338358"/>
      <w:bookmarkStart w:id="1490" w:name="Srv_101SystemCenter2012"/>
      <w:bookmarkEnd w:id="1488"/>
    </w:p>
    <w:p w:rsidR="00FF4CAB" w:rsidRPr="004B208C" w:rsidRDefault="00A560B6" w:rsidP="00FF4CAB">
      <w:pPr>
        <w:pStyle w:val="Heading3"/>
        <w:rPr>
          <w:rFonts w:ascii="Tahoma" w:hAnsi="Tahoma" w:cs="Tahoma"/>
        </w:rPr>
      </w:pPr>
      <w:bookmarkStart w:id="1491" w:name="_91_89_System"/>
      <w:bookmarkStart w:id="1492" w:name="_96_System_Center"/>
      <w:bookmarkStart w:id="1493" w:name="_Toc370981468"/>
      <w:bookmarkEnd w:id="1491"/>
      <w:bookmarkEnd w:id="1492"/>
      <w:r w:rsidRPr="004B208C">
        <w:rPr>
          <w:rFonts w:ascii="Tahoma" w:hAnsi="Tahoma" w:cs="Tahoma"/>
          <w:caps/>
          <w:color w:val="FF6F0D"/>
          <w:sz w:val="22"/>
          <w:szCs w:val="22"/>
          <w:vertAlign w:val="superscript"/>
        </w:rPr>
        <w:t>94</w:t>
      </w:r>
      <w:r w:rsidRPr="004B208C">
        <w:rPr>
          <w:rFonts w:ascii="Tahoma" w:hAnsi="Tahoma" w:cs="Tahoma"/>
          <w:color w:val="FF6F0D"/>
          <w:sz w:val="22"/>
          <w:szCs w:val="22"/>
        </w:rPr>
        <w:t xml:space="preserve"> System Center 2012</w:t>
      </w:r>
      <w:bookmarkEnd w:id="1489"/>
      <w:r w:rsidRPr="004B208C">
        <w:rPr>
          <w:rFonts w:ascii="Tahoma" w:hAnsi="Tahoma" w:cs="Tahoma"/>
          <w:color w:val="FF6F0D"/>
          <w:sz w:val="22"/>
          <w:szCs w:val="22"/>
        </w:rPr>
        <w:t xml:space="preserve"> R2 Datacenter</w:t>
      </w:r>
      <w:bookmarkEnd w:id="1493"/>
    </w:p>
    <w:bookmarkEnd w:id="1490"/>
    <w:p w:rsidR="00FF4CAB" w:rsidRPr="004B208C" w:rsidRDefault="00FF4CAB" w:rsidP="004F0CAE">
      <w:pPr>
        <w:rPr>
          <w:rFonts w:cs="Tahoma"/>
        </w:rPr>
      </w:pPr>
    </w:p>
    <w:p w:rsidR="00A83EBB" w:rsidRPr="004B208C" w:rsidRDefault="00A83EBB" w:rsidP="00A1385C">
      <w:pPr>
        <w:numPr>
          <w:ilvl w:val="0"/>
          <w:numId w:val="50"/>
        </w:numPr>
        <w:spacing w:afterLines="60" w:after="144"/>
        <w:ind w:left="1440" w:hanging="274"/>
        <w:rPr>
          <w:rFonts w:cs="Tahoma"/>
        </w:rPr>
      </w:pPr>
      <w:r w:rsidRPr="004B208C">
        <w:rPr>
          <w:rFonts w:eastAsia="Calibri" w:cs="Tahoma"/>
          <w:szCs w:val="18"/>
        </w:rPr>
        <w:t>A próxima versão do System Center 2012 Datacenter é o System Center 2012 R2 Datacenter.</w:t>
      </w:r>
      <w:r w:rsidRPr="004B208C">
        <w:rPr>
          <w:rFonts w:cs="Tahoma"/>
          <w:b/>
          <w:color w:val="000000"/>
        </w:rPr>
        <w:t xml:space="preserve"> </w:t>
      </w:r>
    </w:p>
    <w:p w:rsidR="00A83EBB" w:rsidRPr="004B208C" w:rsidRDefault="00A83EBB" w:rsidP="00A1385C">
      <w:pPr>
        <w:numPr>
          <w:ilvl w:val="0"/>
          <w:numId w:val="50"/>
        </w:numPr>
        <w:spacing w:afterLines="60" w:after="144"/>
        <w:ind w:left="1440" w:hanging="274"/>
        <w:rPr>
          <w:rFonts w:cs="Tahoma"/>
        </w:rPr>
      </w:pPr>
      <w:r w:rsidRPr="004B208C">
        <w:rPr>
          <w:rFonts w:cs="Tahoma"/>
          <w:color w:val="000000"/>
        </w:rPr>
        <w:t xml:space="preserve">Cada licença do System Center 2012 R2 Datacenter abrange até dois processadores físicos. </w:t>
      </w:r>
    </w:p>
    <w:p w:rsidR="00A83EBB" w:rsidRDefault="00A83EBB" w:rsidP="00A83EBB">
      <w:pPr>
        <w:rPr>
          <w:rFonts w:cs="Tahoma"/>
        </w:rPr>
      </w:pPr>
    </w:p>
    <w:p w:rsidR="004A7475" w:rsidRDefault="004A7475" w:rsidP="00A83EBB">
      <w:pPr>
        <w:rPr>
          <w:rFonts w:cs="Tahoma"/>
        </w:rPr>
      </w:pPr>
    </w:p>
    <w:p w:rsidR="00160748" w:rsidRPr="004B208C" w:rsidRDefault="00160748" w:rsidP="00A83EBB">
      <w:pPr>
        <w:rPr>
          <w:rFonts w:cs="Tahoma"/>
        </w:rPr>
      </w:pPr>
    </w:p>
    <w:p w:rsidR="00A83EBB" w:rsidRPr="004B208C" w:rsidRDefault="00162ADA" w:rsidP="00A83EBB">
      <w:pPr>
        <w:pStyle w:val="Heading3"/>
        <w:rPr>
          <w:rFonts w:ascii="Tahoma" w:hAnsi="Tahoma" w:cs="Tahoma"/>
        </w:rPr>
      </w:pPr>
      <w:bookmarkStart w:id="1494" w:name="_Toc370981469"/>
      <w:r w:rsidRPr="004B208C">
        <w:rPr>
          <w:rFonts w:ascii="Tahoma" w:hAnsi="Tahoma" w:cs="Tahoma"/>
          <w:caps/>
          <w:color w:val="FF6F0D"/>
          <w:sz w:val="22"/>
          <w:szCs w:val="22"/>
          <w:vertAlign w:val="superscript"/>
        </w:rPr>
        <w:lastRenderedPageBreak/>
        <w:t>95</w:t>
      </w:r>
      <w:r w:rsidRPr="004B208C">
        <w:rPr>
          <w:rFonts w:ascii="Tahoma" w:hAnsi="Tahoma" w:cs="Tahoma"/>
          <w:color w:val="FF6F0D"/>
          <w:sz w:val="22"/>
          <w:szCs w:val="22"/>
        </w:rPr>
        <w:t xml:space="preserve"> System Center 2012 R2 Standard</w:t>
      </w:r>
      <w:bookmarkEnd w:id="1494"/>
    </w:p>
    <w:p w:rsidR="00A83EBB" w:rsidRPr="004B208C" w:rsidRDefault="00A83EBB" w:rsidP="00A83EBB">
      <w:pPr>
        <w:rPr>
          <w:rFonts w:cs="Tahoma"/>
        </w:rPr>
      </w:pPr>
    </w:p>
    <w:p w:rsidR="00A83EBB" w:rsidRPr="004B208C" w:rsidRDefault="00A83EBB" w:rsidP="00A1385C">
      <w:pPr>
        <w:numPr>
          <w:ilvl w:val="0"/>
          <w:numId w:val="50"/>
        </w:numPr>
        <w:spacing w:afterLines="60" w:after="144"/>
        <w:ind w:left="1440" w:hanging="274"/>
        <w:rPr>
          <w:rFonts w:cs="Tahoma"/>
        </w:rPr>
      </w:pPr>
      <w:r w:rsidRPr="004B208C">
        <w:rPr>
          <w:rFonts w:eastAsia="Calibri" w:cs="Tahoma"/>
          <w:szCs w:val="18"/>
        </w:rPr>
        <w:t>A próxima versão do System Center 2012 Standard é o System Center 2012 R2 Standard.</w:t>
      </w:r>
    </w:p>
    <w:p w:rsidR="00A83EBB" w:rsidRPr="004B208C" w:rsidRDefault="00A83EBB" w:rsidP="00A1385C">
      <w:pPr>
        <w:numPr>
          <w:ilvl w:val="0"/>
          <w:numId w:val="50"/>
        </w:numPr>
        <w:spacing w:afterLines="60" w:after="144"/>
        <w:ind w:left="1440" w:hanging="274"/>
        <w:rPr>
          <w:rFonts w:cs="Tahoma"/>
        </w:rPr>
      </w:pPr>
      <w:r w:rsidRPr="004B208C">
        <w:rPr>
          <w:rFonts w:cs="Tahoma"/>
          <w:color w:val="000000"/>
        </w:rPr>
        <w:t xml:space="preserve">Cada licença do System Center 2012 R2 Standard abrange até dois processadores físicos. </w:t>
      </w:r>
    </w:p>
    <w:p w:rsidR="00A83EBB" w:rsidRDefault="00A83EBB" w:rsidP="00AE66FF">
      <w:pPr>
        <w:rPr>
          <w:rFonts w:cs="Tahoma"/>
        </w:rPr>
      </w:pPr>
    </w:p>
    <w:p w:rsidR="00160748" w:rsidRDefault="00160748" w:rsidP="00AE66FF">
      <w:pPr>
        <w:rPr>
          <w:rFonts w:cs="Tahoma"/>
        </w:rPr>
      </w:pPr>
    </w:p>
    <w:p w:rsidR="00A83EBB" w:rsidRPr="004B208C" w:rsidRDefault="00162ADA" w:rsidP="00A83EBB">
      <w:pPr>
        <w:pStyle w:val="Heading3"/>
        <w:rPr>
          <w:rFonts w:ascii="Tahoma" w:hAnsi="Tahoma" w:cs="Tahoma"/>
        </w:rPr>
      </w:pPr>
      <w:bookmarkStart w:id="1495" w:name="_96_System_Center_1"/>
      <w:bookmarkStart w:id="1496" w:name="_Toc370981470"/>
      <w:bookmarkEnd w:id="1495"/>
      <w:r w:rsidRPr="004B208C">
        <w:rPr>
          <w:rFonts w:ascii="Tahoma" w:hAnsi="Tahoma" w:cs="Tahoma"/>
          <w:caps/>
          <w:color w:val="FF6F0D"/>
          <w:sz w:val="22"/>
          <w:szCs w:val="22"/>
          <w:vertAlign w:val="superscript"/>
        </w:rPr>
        <w:t>96</w:t>
      </w:r>
      <w:r w:rsidRPr="004B208C">
        <w:rPr>
          <w:rFonts w:ascii="Tahoma" w:hAnsi="Tahoma" w:cs="Tahoma"/>
          <w:color w:val="FF6F0D"/>
          <w:sz w:val="22"/>
          <w:szCs w:val="22"/>
        </w:rPr>
        <w:t xml:space="preserve"> System Center 2012 R2 Client Management Suite</w:t>
      </w:r>
      <w:bookmarkEnd w:id="1496"/>
    </w:p>
    <w:p w:rsidR="00A83EBB" w:rsidRPr="004B208C" w:rsidRDefault="00A83EBB" w:rsidP="00A83EBB">
      <w:pPr>
        <w:rPr>
          <w:rFonts w:cs="Tahoma"/>
        </w:rPr>
      </w:pPr>
    </w:p>
    <w:p w:rsidR="00A83EBB" w:rsidRPr="004B208C" w:rsidRDefault="00A83EBB" w:rsidP="00A1385C">
      <w:pPr>
        <w:numPr>
          <w:ilvl w:val="0"/>
          <w:numId w:val="50"/>
        </w:numPr>
        <w:spacing w:afterLines="60" w:after="144"/>
        <w:ind w:left="1440" w:hanging="274"/>
        <w:rPr>
          <w:rFonts w:cs="Tahoma"/>
        </w:rPr>
      </w:pPr>
      <w:r w:rsidRPr="004B208C">
        <w:rPr>
          <w:rFonts w:eastAsia="Calibri" w:cs="Tahoma"/>
          <w:szCs w:val="18"/>
        </w:rPr>
        <w:t>O System Center 2012 R2 Client Management Suite é a próxima versão do System Center 2012 Client Management Suite.</w:t>
      </w:r>
    </w:p>
    <w:p w:rsidR="00A83EBB" w:rsidRPr="004B208C" w:rsidRDefault="00A83EBB" w:rsidP="00640E52">
      <w:pPr>
        <w:numPr>
          <w:ilvl w:val="0"/>
          <w:numId w:val="50"/>
        </w:numPr>
        <w:spacing w:afterLines="60" w:after="144"/>
        <w:ind w:left="1440" w:hanging="274"/>
        <w:rPr>
          <w:rFonts w:cs="Tahoma"/>
        </w:rPr>
      </w:pPr>
      <w:r w:rsidRPr="004B208C">
        <w:rPr>
          <w:rFonts w:eastAsia="Calibri" w:cs="Tahoma"/>
          <w:szCs w:val="18"/>
        </w:rPr>
        <w:t xml:space="preserve">Os clientes do System Center Client Management Suite </w:t>
      </w:r>
      <w:r w:rsidRPr="004B208C">
        <w:rPr>
          <w:rFonts w:cs="Tahoma"/>
          <w:color w:val="000000"/>
        </w:rPr>
        <w:t>que tinham cobertura do Software Assurance para System Center Client Management Suite em 1º de abril de 2012 podem estar qualificados para atualizar para a versão 2012 sob termos especiais</w:t>
      </w:r>
      <w:r w:rsidRPr="004B208C">
        <w:rPr>
          <w:rFonts w:eastAsia="Calibri" w:cs="Tahoma"/>
          <w:szCs w:val="18"/>
        </w:rPr>
        <w:t>.</w:t>
      </w:r>
      <w:r w:rsidR="00172F11">
        <w:rPr>
          <w:rFonts w:eastAsia="Calibri" w:cs="Tahoma"/>
          <w:szCs w:val="18"/>
        </w:rPr>
        <w:t xml:space="preserve"> </w:t>
      </w:r>
      <w:r w:rsidRPr="004B208C">
        <w:rPr>
          <w:rFonts w:eastAsia="Calibri" w:cs="Tahoma"/>
          <w:szCs w:val="18"/>
        </w:rPr>
        <w:t>Consulte a Lista de Produtos de outubro de 2013 para obter detalhes.</w:t>
      </w:r>
    </w:p>
    <w:p w:rsidR="00A83EBB" w:rsidRDefault="00A83EBB" w:rsidP="00A83EBB">
      <w:pPr>
        <w:rPr>
          <w:rFonts w:cs="Tahoma"/>
        </w:rPr>
      </w:pPr>
    </w:p>
    <w:p w:rsidR="009803C5" w:rsidRPr="004B208C" w:rsidRDefault="009803C5" w:rsidP="00A83EBB">
      <w:pPr>
        <w:rPr>
          <w:rFonts w:cs="Tahoma"/>
        </w:rPr>
      </w:pPr>
    </w:p>
    <w:p w:rsidR="00A83EBB" w:rsidRPr="004B208C" w:rsidRDefault="00162ADA" w:rsidP="00A83EBB">
      <w:pPr>
        <w:pStyle w:val="Heading3"/>
        <w:rPr>
          <w:rFonts w:ascii="Tahoma" w:hAnsi="Tahoma" w:cs="Tahoma"/>
        </w:rPr>
      </w:pPr>
      <w:bookmarkStart w:id="1497" w:name="_97_System_Center_1"/>
      <w:bookmarkStart w:id="1498" w:name="_Toc370981471"/>
      <w:bookmarkEnd w:id="1497"/>
      <w:r w:rsidRPr="004B208C">
        <w:rPr>
          <w:rFonts w:ascii="Tahoma" w:hAnsi="Tahoma" w:cs="Tahoma"/>
          <w:caps/>
          <w:color w:val="FF6F0D"/>
          <w:sz w:val="22"/>
          <w:szCs w:val="22"/>
          <w:vertAlign w:val="superscript"/>
        </w:rPr>
        <w:t>97</w:t>
      </w:r>
      <w:r w:rsidRPr="004B208C">
        <w:rPr>
          <w:rFonts w:ascii="Tahoma" w:hAnsi="Tahoma" w:cs="Tahoma"/>
          <w:color w:val="FF6F0D"/>
          <w:sz w:val="22"/>
          <w:szCs w:val="22"/>
        </w:rPr>
        <w:t xml:space="preserve"> System Center 2012 R2 Configuration Manager</w:t>
      </w:r>
      <w:bookmarkEnd w:id="1498"/>
    </w:p>
    <w:p w:rsidR="00A83EBB" w:rsidRPr="004B208C" w:rsidRDefault="00A83EBB" w:rsidP="00A83EBB">
      <w:pPr>
        <w:rPr>
          <w:rFonts w:cs="Tahoma"/>
        </w:rPr>
      </w:pPr>
    </w:p>
    <w:p w:rsidR="00A83EBB" w:rsidRPr="004B208C" w:rsidRDefault="00A83EBB" w:rsidP="00A1385C">
      <w:pPr>
        <w:numPr>
          <w:ilvl w:val="0"/>
          <w:numId w:val="50"/>
        </w:numPr>
        <w:spacing w:afterLines="60" w:after="144"/>
        <w:ind w:left="1440" w:hanging="274"/>
        <w:rPr>
          <w:rFonts w:cs="Tahoma"/>
        </w:rPr>
      </w:pPr>
      <w:r w:rsidRPr="004B208C">
        <w:rPr>
          <w:rFonts w:eastAsia="Calibri" w:cs="Tahoma"/>
          <w:szCs w:val="18"/>
        </w:rPr>
        <w:t>O System Center 2012 R2 Configuration Manager é a próxima versão do System Center 2012 Configuration Manager.</w:t>
      </w:r>
    </w:p>
    <w:p w:rsidR="00A83EBB" w:rsidRPr="004B208C" w:rsidRDefault="00A83EBB" w:rsidP="00640E52">
      <w:pPr>
        <w:numPr>
          <w:ilvl w:val="0"/>
          <w:numId w:val="50"/>
        </w:numPr>
        <w:spacing w:afterLines="60" w:after="144"/>
        <w:ind w:left="1440" w:hanging="274"/>
        <w:rPr>
          <w:rFonts w:cs="Tahoma"/>
        </w:rPr>
      </w:pPr>
      <w:r w:rsidRPr="004B208C">
        <w:rPr>
          <w:rFonts w:eastAsia="Calibri" w:cs="Tahoma"/>
          <w:szCs w:val="18"/>
        </w:rPr>
        <w:t xml:space="preserve">Os clientes do System Center Configuration Manager </w:t>
      </w:r>
      <w:r w:rsidRPr="004B208C">
        <w:rPr>
          <w:rFonts w:cs="Tahoma"/>
          <w:color w:val="000000"/>
        </w:rPr>
        <w:t>que tinham cobertura do Software Assurance para System Center Configuration Manager em 1º de abril de 2012 podem estar qualificados para atualizar para a versão 2012 sob termos especiais</w:t>
      </w:r>
      <w:r w:rsidRPr="004B208C">
        <w:rPr>
          <w:rFonts w:eastAsia="Calibri" w:cs="Tahoma"/>
          <w:szCs w:val="18"/>
        </w:rPr>
        <w:t>.</w:t>
      </w:r>
      <w:r w:rsidR="00172F11">
        <w:rPr>
          <w:rFonts w:eastAsia="Calibri" w:cs="Tahoma"/>
          <w:szCs w:val="18"/>
        </w:rPr>
        <w:t xml:space="preserve"> </w:t>
      </w:r>
      <w:r w:rsidRPr="004B208C">
        <w:rPr>
          <w:rFonts w:eastAsia="Calibri" w:cs="Tahoma"/>
          <w:szCs w:val="18"/>
        </w:rPr>
        <w:t>Consulte a Lista de Produtos de outubro de 2013 para obter detalhes.</w:t>
      </w:r>
    </w:p>
    <w:p w:rsidR="00FF4CAB" w:rsidRPr="004B208C" w:rsidRDefault="00FF4CAB" w:rsidP="009803C5">
      <w:pPr>
        <w:rPr>
          <w:rFonts w:cs="Tahoma"/>
        </w:rPr>
      </w:pPr>
    </w:p>
    <w:p w:rsidR="00FF4CAB" w:rsidRPr="004B208C" w:rsidRDefault="00FF4CAB" w:rsidP="00FF4CAB">
      <w:pPr>
        <w:rPr>
          <w:rFonts w:cs="Tahoma"/>
        </w:rPr>
      </w:pPr>
    </w:p>
    <w:p w:rsidR="00916E81" w:rsidRPr="004B208C" w:rsidRDefault="00A560B6" w:rsidP="002D35ED">
      <w:pPr>
        <w:pStyle w:val="Heading3"/>
        <w:rPr>
          <w:rFonts w:ascii="Tahoma" w:hAnsi="Tahoma" w:cs="Tahoma"/>
        </w:rPr>
      </w:pPr>
      <w:bookmarkStart w:id="1499" w:name="_103_System_Center"/>
      <w:bookmarkStart w:id="1500" w:name="_91_System_Center"/>
      <w:bookmarkStart w:id="1501" w:name="_97_System_Center"/>
      <w:bookmarkStart w:id="1502" w:name="Srv_102SysCtr2012EndpointProt"/>
      <w:bookmarkStart w:id="1503" w:name="_Toc336338359"/>
      <w:bookmarkStart w:id="1504" w:name="_Toc370981472"/>
      <w:bookmarkEnd w:id="1499"/>
      <w:bookmarkEnd w:id="1500"/>
      <w:bookmarkEnd w:id="1501"/>
      <w:r w:rsidRPr="004B208C">
        <w:rPr>
          <w:rFonts w:ascii="Tahoma" w:hAnsi="Tahoma" w:cs="Tahoma"/>
          <w:caps/>
          <w:color w:val="F66400"/>
          <w:sz w:val="22"/>
          <w:szCs w:val="22"/>
          <w:vertAlign w:val="superscript"/>
        </w:rPr>
        <w:t>98</w:t>
      </w:r>
      <w:r w:rsidRPr="004B208C">
        <w:rPr>
          <w:rFonts w:ascii="Tahoma" w:hAnsi="Tahoma" w:cs="Tahoma"/>
          <w:color w:val="F66400"/>
          <w:sz w:val="22"/>
          <w:szCs w:val="22"/>
        </w:rPr>
        <w:t xml:space="preserve"> System Center 2012 R2 Endpoint Protection</w:t>
      </w:r>
      <w:bookmarkEnd w:id="1502"/>
      <w:bookmarkEnd w:id="1503"/>
      <w:bookmarkEnd w:id="1504"/>
    </w:p>
    <w:p w:rsidR="00916E81" w:rsidRPr="004B208C" w:rsidRDefault="00916E81" w:rsidP="00C21BCF">
      <w:pPr>
        <w:ind w:left="720"/>
        <w:rPr>
          <w:rFonts w:cs="Tahoma"/>
        </w:rPr>
      </w:pPr>
    </w:p>
    <w:p w:rsidR="00C21BCF" w:rsidRPr="004B208C" w:rsidRDefault="00A0581B" w:rsidP="00A0581B">
      <w:pPr>
        <w:spacing w:after="60"/>
        <w:ind w:left="720"/>
        <w:rPr>
          <w:rFonts w:cs="Tahoma"/>
        </w:rPr>
      </w:pPr>
      <w:r w:rsidRPr="004B208C">
        <w:rPr>
          <w:rFonts w:eastAsia="Calibri" w:cs="Tahoma"/>
          <w:b/>
          <w:szCs w:val="18"/>
        </w:rPr>
        <w:t>Atualizações/Downgrade</w:t>
      </w:r>
    </w:p>
    <w:p w:rsidR="00C21BCF" w:rsidRPr="004B208C" w:rsidRDefault="00C21BCF" w:rsidP="00C21BCF">
      <w:pPr>
        <w:ind w:left="720"/>
        <w:rPr>
          <w:rFonts w:cs="Tahoma"/>
        </w:rPr>
      </w:pPr>
      <w:r w:rsidRPr="004B208C">
        <w:rPr>
          <w:rFonts w:eastAsia="Calibri" w:cs="Tahoma"/>
          <w:szCs w:val="18"/>
        </w:rPr>
        <w:t>A partir de 1º de abril de 2012, o Forefront Endpoint Protection se tornará o System Center 2012 Endpoint Protection. O System Center 2012 R2 Endpoint Protection, como uma oferta independente, confere direitos de uso apenas para proteger os dispositivos do cliente. Os direitos de uso para proteger dispositivos de servidor podem ser adquiridos somente por meio da aquisição das licenças de gerenciamento do servidor do</w:t>
      </w:r>
      <w:r w:rsidR="00160748">
        <w:rPr>
          <w:rFonts w:eastAsia="Calibri" w:cs="Tahoma"/>
          <w:szCs w:val="18"/>
        </w:rPr>
        <w:t> </w:t>
      </w:r>
      <w:r w:rsidRPr="004B208C">
        <w:rPr>
          <w:rFonts w:eastAsia="Calibri" w:cs="Tahoma"/>
          <w:szCs w:val="18"/>
        </w:rPr>
        <w:t>System Center 2012 R2 Standard ou Datacenter.</w:t>
      </w:r>
    </w:p>
    <w:p w:rsidR="00C21BCF" w:rsidRPr="004B208C" w:rsidRDefault="00C21BCF" w:rsidP="00C21BCF">
      <w:pPr>
        <w:ind w:left="720"/>
        <w:rPr>
          <w:rFonts w:cs="Tahoma"/>
        </w:rPr>
      </w:pPr>
    </w:p>
    <w:p w:rsidR="00C21BCF" w:rsidRPr="004B208C" w:rsidRDefault="00C21BCF" w:rsidP="00C21BCF">
      <w:pPr>
        <w:ind w:left="720"/>
        <w:rPr>
          <w:rFonts w:cs="Tahoma"/>
        </w:rPr>
      </w:pPr>
      <w:r w:rsidRPr="004B208C">
        <w:rPr>
          <w:rFonts w:eastAsia="Calibri" w:cs="Tahoma"/>
          <w:szCs w:val="18"/>
        </w:rPr>
        <w:t>Os usuários com assinaturas do Forefront Endpoint Protection e que ajudam o serviço a proteger os dispositivos do cliente, podem fazer atualização para e usar o System Center 2012 Endpoint Protection para a mesma finalidade. Os clientes com assinaturas do System Center 2012 Endpoint Protection também podem fazer downgrade para o Forefront Endpoint Protection.</w:t>
      </w:r>
    </w:p>
    <w:p w:rsidR="00C21BCF" w:rsidRPr="004B208C" w:rsidRDefault="00C21BCF" w:rsidP="00C21BCF">
      <w:pPr>
        <w:ind w:left="720"/>
        <w:rPr>
          <w:rFonts w:cs="Tahoma"/>
        </w:rPr>
      </w:pPr>
    </w:p>
    <w:p w:rsidR="00C21BCF" w:rsidRPr="004B208C" w:rsidRDefault="00C21BCF" w:rsidP="00C21BCF">
      <w:pPr>
        <w:ind w:left="720"/>
        <w:rPr>
          <w:rFonts w:cs="Tahoma"/>
        </w:rPr>
      </w:pPr>
      <w:r w:rsidRPr="004B208C">
        <w:rPr>
          <w:rFonts w:eastAsia="Calibri" w:cs="Tahoma"/>
          <w:szCs w:val="18"/>
        </w:rPr>
        <w:t>O System Center 2012 R2 Configuration Manager é o console de gerenciamento do System Center 2012 Endpoint Protection.</w:t>
      </w:r>
      <w:r w:rsidR="00172F11">
        <w:rPr>
          <w:rFonts w:eastAsia="Calibri" w:cs="Tahoma"/>
          <w:szCs w:val="18"/>
        </w:rPr>
        <w:t xml:space="preserve"> </w:t>
      </w:r>
      <w:r w:rsidRPr="004B208C">
        <w:rPr>
          <w:rFonts w:eastAsia="Calibri" w:cs="Tahoma"/>
          <w:szCs w:val="18"/>
        </w:rPr>
        <w:t>Os clientes devem ser licenciados para o System Center 2012 R2 Configuration Manager para fornecer gerenciamento para o System Center 2012 R2 Endpoint Protection.</w:t>
      </w:r>
      <w:r w:rsidR="00172F11">
        <w:rPr>
          <w:rFonts w:eastAsia="Calibri" w:cs="Tahoma"/>
          <w:szCs w:val="18"/>
        </w:rPr>
        <w:t xml:space="preserve"> </w:t>
      </w:r>
      <w:r w:rsidRPr="004B208C">
        <w:rPr>
          <w:rFonts w:eastAsia="Calibri" w:cs="Tahoma"/>
          <w:szCs w:val="18"/>
        </w:rPr>
        <w:t>Opcionalmente, o System Center 2012 R2 Endpoint Protection poderá ser usado de forma não gerenciada, sem a</w:t>
      </w:r>
      <w:r w:rsidR="00160748">
        <w:rPr>
          <w:rFonts w:eastAsia="Calibri" w:cs="Tahoma"/>
          <w:szCs w:val="18"/>
        </w:rPr>
        <w:t> </w:t>
      </w:r>
      <w:r w:rsidRPr="004B208C">
        <w:rPr>
          <w:rFonts w:eastAsia="Calibri" w:cs="Tahoma"/>
          <w:szCs w:val="18"/>
        </w:rPr>
        <w:t>necessidade de licenciar o System Center 2012 R2 Configuration Manager.</w:t>
      </w:r>
      <w:r w:rsidR="00172F11">
        <w:rPr>
          <w:rFonts w:eastAsia="Calibri" w:cs="Tahoma"/>
          <w:szCs w:val="18"/>
        </w:rPr>
        <w:t xml:space="preserve"> </w:t>
      </w:r>
    </w:p>
    <w:p w:rsidR="00C21BCF" w:rsidRPr="004B208C" w:rsidRDefault="00C21BCF" w:rsidP="00C21BCF">
      <w:pPr>
        <w:ind w:left="720"/>
        <w:rPr>
          <w:rFonts w:cs="Tahoma"/>
        </w:rPr>
      </w:pPr>
    </w:p>
    <w:p w:rsidR="00C21BCF" w:rsidRPr="004B208C" w:rsidRDefault="00A0581B" w:rsidP="00A0581B">
      <w:pPr>
        <w:spacing w:after="60"/>
        <w:ind w:left="720"/>
        <w:rPr>
          <w:rFonts w:cs="Tahoma"/>
        </w:rPr>
      </w:pPr>
      <w:r w:rsidRPr="004B208C">
        <w:rPr>
          <w:rFonts w:eastAsia="Calibri" w:cs="Tahoma"/>
          <w:b/>
          <w:szCs w:val="18"/>
        </w:rPr>
        <w:t>Uso Doméstico</w:t>
      </w:r>
    </w:p>
    <w:p w:rsidR="00FF4CAB" w:rsidRPr="004B208C" w:rsidRDefault="00C21BCF" w:rsidP="00A0581B">
      <w:pPr>
        <w:ind w:left="720"/>
        <w:rPr>
          <w:rFonts w:cs="Tahoma"/>
        </w:rPr>
      </w:pPr>
      <w:r w:rsidRPr="004B208C">
        <w:rPr>
          <w:rFonts w:eastAsia="Calibri" w:cs="Tahoma"/>
          <w:szCs w:val="18"/>
        </w:rPr>
        <w:t>Os clientes com as Licenças de Assinatura do Usuário atuais para qualificação do System Center 2012 Endpoint Protection como programa de Uso Doméstico</w:t>
      </w:r>
    </w:p>
    <w:p w:rsidR="00A0581B" w:rsidRPr="004B208C" w:rsidRDefault="00A0581B" w:rsidP="00A0581B">
      <w:pPr>
        <w:rPr>
          <w:rFonts w:cs="Tahoma"/>
        </w:rPr>
      </w:pPr>
    </w:p>
    <w:p w:rsidR="001704C2" w:rsidRDefault="001704C2" w:rsidP="001704C2">
      <w:pPr>
        <w:rPr>
          <w:rFonts w:cs="Tahoma"/>
        </w:rPr>
      </w:pPr>
      <w:bookmarkStart w:id="1505" w:name="_91_TechNet_Plus"/>
      <w:bookmarkStart w:id="1506" w:name="_98_TechNet_Plus"/>
      <w:bookmarkEnd w:id="1487"/>
      <w:bookmarkEnd w:id="1505"/>
      <w:bookmarkEnd w:id="1506"/>
    </w:p>
    <w:p w:rsidR="00160748" w:rsidRDefault="00160748" w:rsidP="001704C2">
      <w:pPr>
        <w:rPr>
          <w:rFonts w:cs="Tahoma"/>
        </w:rPr>
      </w:pPr>
    </w:p>
    <w:p w:rsidR="00160748" w:rsidRDefault="00160748" w:rsidP="001704C2">
      <w:pPr>
        <w:rPr>
          <w:rFonts w:cs="Tahoma"/>
        </w:rPr>
      </w:pPr>
    </w:p>
    <w:p w:rsidR="00160748" w:rsidRDefault="00160748" w:rsidP="001704C2">
      <w:pPr>
        <w:rPr>
          <w:rFonts w:cs="Tahoma"/>
        </w:rPr>
      </w:pPr>
    </w:p>
    <w:p w:rsidR="00E8145C" w:rsidRPr="004B208C" w:rsidRDefault="005B4D93" w:rsidP="00E8145C">
      <w:pPr>
        <w:pStyle w:val="Heading2"/>
        <w:ind w:left="0"/>
        <w:rPr>
          <w:rFonts w:ascii="Tahoma" w:hAnsi="Tahoma" w:cs="Tahoma"/>
        </w:rPr>
      </w:pPr>
      <w:bookmarkStart w:id="1507" w:name="_92_Visual_Studio"/>
      <w:bookmarkStart w:id="1508" w:name="_90_VDI_Standard"/>
      <w:bookmarkStart w:id="1509" w:name="_99_VDI_Standard"/>
      <w:bookmarkStart w:id="1510" w:name="_91_Vexcel_Server,"/>
      <w:bookmarkStart w:id="1511" w:name="_105_Windows_Azure"/>
      <w:bookmarkStart w:id="1512" w:name="_100_Windows_Azure"/>
      <w:bookmarkStart w:id="1513" w:name="_Toc336338362"/>
      <w:bookmarkStart w:id="1514" w:name="Srv_94VSLoadTestVirtualUserPack10"/>
      <w:bookmarkStart w:id="1515" w:name="_Toc370981473"/>
      <w:bookmarkEnd w:id="1507"/>
      <w:bookmarkEnd w:id="1508"/>
      <w:bookmarkEnd w:id="1509"/>
      <w:bookmarkEnd w:id="1510"/>
      <w:bookmarkEnd w:id="1511"/>
      <w:bookmarkEnd w:id="1512"/>
      <w:r w:rsidRPr="004B208C">
        <w:rPr>
          <w:rFonts w:ascii="Tahoma" w:hAnsi="Tahoma" w:cs="Tahoma"/>
          <w:caps/>
          <w:color w:val="EE6000"/>
          <w:sz w:val="22"/>
          <w:szCs w:val="18"/>
          <w:vertAlign w:val="superscript"/>
        </w:rPr>
        <w:lastRenderedPageBreak/>
        <w:t xml:space="preserve">99 </w:t>
      </w:r>
      <w:r w:rsidRPr="004B208C">
        <w:rPr>
          <w:rFonts w:ascii="Tahoma" w:hAnsi="Tahoma" w:cs="Tahoma"/>
          <w:color w:val="F8701C"/>
          <w:sz w:val="22"/>
          <w:szCs w:val="22"/>
        </w:rPr>
        <w:t>Serviços do Windows Azure</w:t>
      </w:r>
      <w:bookmarkEnd w:id="1513"/>
      <w:bookmarkEnd w:id="1515"/>
    </w:p>
    <w:p w:rsidR="00E8145C" w:rsidRPr="004B208C" w:rsidRDefault="00E8145C" w:rsidP="00B76943">
      <w:pPr>
        <w:widowControl w:val="0"/>
        <w:jc w:val="both"/>
        <w:rPr>
          <w:rFonts w:cs="Tahoma"/>
        </w:rPr>
      </w:pPr>
    </w:p>
    <w:p w:rsidR="00B76943" w:rsidRPr="004B208C" w:rsidRDefault="00E8145C" w:rsidP="00B76943">
      <w:pPr>
        <w:widowControl w:val="0"/>
        <w:spacing w:after="60"/>
        <w:ind w:left="720"/>
        <w:jc w:val="both"/>
        <w:rPr>
          <w:rFonts w:cs="Tahoma"/>
        </w:rPr>
      </w:pPr>
      <w:r w:rsidRPr="004B208C">
        <w:rPr>
          <w:rFonts w:cs="Tahoma"/>
          <w:b/>
          <w:color w:val="000000"/>
        </w:rPr>
        <w:t>Compromisso de Recursos do Windows Azure Compute</w:t>
      </w:r>
    </w:p>
    <w:p w:rsidR="00E8145C" w:rsidRPr="004B208C" w:rsidRDefault="00E8145C" w:rsidP="00B76943">
      <w:pPr>
        <w:widowControl w:val="0"/>
        <w:ind w:left="720"/>
        <w:jc w:val="both"/>
        <w:rPr>
          <w:rFonts w:cs="Tahoma"/>
        </w:rPr>
      </w:pPr>
      <w:r w:rsidRPr="004B208C">
        <w:rPr>
          <w:rFonts w:cs="Tahoma"/>
        </w:rPr>
        <w:t xml:space="preserve">No caso do Windows Azure Compute, a Microsoft concorda em fornecer ao cliente um Compromisso de Recursos do Compute. O Compromisso de Recursos do Compute corresponderá a (1) </w:t>
      </w:r>
      <w:r w:rsidRPr="004B208C">
        <w:rPr>
          <w:rFonts w:eastAsia="Times New Roman" w:cs="Tahoma"/>
          <w:color w:val="000000"/>
        </w:rPr>
        <w:t xml:space="preserve">50 instâncias pequenas e simultâneas do Compute por mês ou (2) </w:t>
      </w:r>
      <w:r w:rsidRPr="004B208C">
        <w:rPr>
          <w:rFonts w:cs="Tahoma"/>
        </w:rPr>
        <w:t xml:space="preserve">125% do Uso Estimado do Compute do cliente (conforme calculado abaixo), o que for maior. </w:t>
      </w:r>
    </w:p>
    <w:p w:rsidR="00B76943" w:rsidRPr="004B208C" w:rsidRDefault="00B76943" w:rsidP="00B76943">
      <w:pPr>
        <w:widowControl w:val="0"/>
        <w:ind w:left="720"/>
        <w:jc w:val="both"/>
        <w:rPr>
          <w:rFonts w:cs="Tahoma"/>
        </w:rPr>
      </w:pPr>
    </w:p>
    <w:p w:rsidR="00E8145C" w:rsidRPr="004B208C" w:rsidRDefault="00E8145C" w:rsidP="00B76943">
      <w:pPr>
        <w:widowControl w:val="0"/>
        <w:ind w:left="720"/>
        <w:jc w:val="both"/>
        <w:rPr>
          <w:rFonts w:cs="Tahoma"/>
        </w:rPr>
      </w:pPr>
      <w:r w:rsidRPr="004B208C">
        <w:rPr>
          <w:rFonts w:cs="Tahoma"/>
        </w:rPr>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w:t>
      </w:r>
      <w:r w:rsidRPr="004B208C">
        <w:rPr>
          <w:rFonts w:cs="Tahoma"/>
          <w:szCs w:val="18"/>
        </w:rPr>
        <w:t>coextensiva</w:t>
      </w:r>
      <w:r w:rsidRPr="004B208C">
        <w:rPr>
          <w:rFonts w:cs="Tahoma"/>
        </w:rPr>
        <w:t xml:space="preserve"> abaixo), e dividindo-se esse número pela Taxa de Compromissos para o Windows Azure Compute. Se o cliente adicionar fundos ao seu Compromisso Monetário durante o prazo do registro, o</w:t>
      </w:r>
      <w:r w:rsidR="00160748">
        <w:rPr>
          <w:rFonts w:cs="Tahoma"/>
        </w:rPr>
        <w:t> </w:t>
      </w:r>
      <w:r w:rsidRPr="004B208C">
        <w:rPr>
          <w:rFonts w:cs="Tahoma"/>
        </w:rPr>
        <w:t>Uso Estimado do Compute será recalculado de acordo com esses fundos. Se o Compromisso Monetário restante do cliente corresponder a um valor abaixo do valor monetário do Uso Estimado do Compute, este será reduzido proporcionalmente de forma que o Compromisso Monetário seja equivalente ao valor monetário do Uso Estimado do Compute.</w:t>
      </w:r>
    </w:p>
    <w:p w:rsidR="00B76943" w:rsidRPr="004B208C" w:rsidRDefault="00B76943" w:rsidP="00B76943">
      <w:pPr>
        <w:widowControl w:val="0"/>
        <w:ind w:left="720"/>
        <w:jc w:val="both"/>
        <w:rPr>
          <w:rFonts w:cs="Tahoma"/>
        </w:rPr>
      </w:pPr>
    </w:p>
    <w:p w:rsidR="00E8145C" w:rsidRPr="004B208C" w:rsidRDefault="00E8145C" w:rsidP="00B76943">
      <w:pPr>
        <w:widowControl w:val="0"/>
        <w:ind w:left="720"/>
        <w:jc w:val="both"/>
        <w:rPr>
          <w:rFonts w:cs="Tahoma"/>
        </w:rPr>
      </w:pPr>
      <w:r w:rsidRPr="004B208C">
        <w:rPr>
          <w:rFonts w:cs="Tahoma"/>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w:t>
      </w:r>
      <w:r w:rsidR="00160748">
        <w:rPr>
          <w:rFonts w:cs="Tahoma"/>
        </w:rPr>
        <w:t> </w:t>
      </w:r>
      <w:r w:rsidRPr="004B208C">
        <w:rPr>
          <w:rFonts w:cs="Tahoma"/>
        </w:rPr>
        <w:t>Contrato de Nível de Serviço (consulte a Seção 2.c acima), a entidade somente receberá a medida com o</w:t>
      </w:r>
      <w:r w:rsidR="00160748">
        <w:rPr>
          <w:rFonts w:cs="Tahoma"/>
        </w:rPr>
        <w:t> </w:t>
      </w:r>
      <w:r w:rsidRPr="004B208C">
        <w:rPr>
          <w:rFonts w:cs="Tahoma"/>
        </w:rPr>
        <w:t>valor monetário mais alto.</w:t>
      </w:r>
    </w:p>
    <w:p w:rsidR="00E8145C" w:rsidRPr="004B208C" w:rsidRDefault="00E8145C" w:rsidP="00B76943">
      <w:pPr>
        <w:widowControl w:val="0"/>
        <w:ind w:left="720"/>
        <w:jc w:val="both"/>
        <w:rPr>
          <w:rFonts w:cs="Tahoma"/>
        </w:rPr>
      </w:pPr>
      <w:r w:rsidRPr="004B208C">
        <w:rPr>
          <w:rFonts w:cs="Tahoma"/>
        </w:rPr>
        <w:t xml:space="preserve">O uso do Windows Azure Compute acima do Compromisso de Recursos do Compute será feito “conforme disponível”. O uso de qualquer Serviço do Windows Azure que não seja do Windows Azure Compute será feito “conforme disponível”. </w:t>
      </w:r>
    </w:p>
    <w:p w:rsidR="00152361" w:rsidRPr="00160748" w:rsidRDefault="00152361" w:rsidP="00B76943">
      <w:pPr>
        <w:pStyle w:val="EndnoteText"/>
        <w:ind w:left="720"/>
        <w:rPr>
          <w:rFonts w:ascii="Tahoma" w:hAnsi="Tahoma" w:cs="Tahoma"/>
          <w:sz w:val="18"/>
          <w:szCs w:val="18"/>
        </w:rPr>
      </w:pPr>
    </w:p>
    <w:p w:rsidR="00FF4CAB" w:rsidRPr="00160748" w:rsidRDefault="00FF4CAB" w:rsidP="00376D4B">
      <w:pPr>
        <w:pStyle w:val="EndnoteText"/>
        <w:ind w:left="720"/>
        <w:rPr>
          <w:rFonts w:ascii="Tahoma" w:hAnsi="Tahoma" w:cs="Tahoma"/>
          <w:sz w:val="18"/>
          <w:szCs w:val="18"/>
        </w:rPr>
      </w:pPr>
    </w:p>
    <w:p w:rsidR="00ED12C0" w:rsidRPr="004B208C" w:rsidRDefault="00A560B6" w:rsidP="00160748">
      <w:pPr>
        <w:pStyle w:val="Heading2"/>
        <w:ind w:left="360" w:hanging="360"/>
        <w:rPr>
          <w:rFonts w:ascii="Tahoma" w:hAnsi="Tahoma" w:cs="Tahoma"/>
        </w:rPr>
      </w:pPr>
      <w:bookmarkStart w:id="1516" w:name="_98_Windows_Embedded"/>
      <w:bookmarkStart w:id="1517" w:name="_101_Windows_Embedded"/>
      <w:bookmarkStart w:id="1518" w:name="Srv_107WindowsEmbeddedDeviceMgr2011"/>
      <w:bookmarkStart w:id="1519" w:name="_Toc336338363"/>
      <w:bookmarkStart w:id="1520" w:name="Srv_93SBS2008PremiumEdition"/>
      <w:bookmarkStart w:id="1521" w:name="_Toc370981474"/>
      <w:bookmarkEnd w:id="1514"/>
      <w:bookmarkEnd w:id="1516"/>
      <w:bookmarkEnd w:id="1517"/>
      <w:r w:rsidRPr="004B208C">
        <w:rPr>
          <w:rFonts w:ascii="Tahoma" w:hAnsi="Tahoma" w:cs="Tahoma"/>
          <w:caps/>
          <w:color w:val="FF6600"/>
          <w:sz w:val="22"/>
          <w:vertAlign w:val="superscript"/>
        </w:rPr>
        <w:t>100</w:t>
      </w:r>
      <w:r w:rsidRPr="004B208C">
        <w:rPr>
          <w:rFonts w:ascii="Tahoma" w:hAnsi="Tahoma" w:cs="Tahoma"/>
          <w:color w:val="FF6600"/>
        </w:rPr>
        <w:t xml:space="preserve"> </w:t>
      </w:r>
      <w:r w:rsidRPr="004B208C">
        <w:rPr>
          <w:rFonts w:ascii="Tahoma" w:hAnsi="Tahoma" w:cs="Tahoma"/>
          <w:color w:val="FF6600"/>
          <w:sz w:val="22"/>
        </w:rPr>
        <w:t>Windows Embedded Device Manager 2011 – Licença do Servidor de</w:t>
      </w:r>
      <w:r w:rsidR="00160748">
        <w:rPr>
          <w:rFonts w:ascii="Tahoma" w:hAnsi="Tahoma" w:cs="Tahoma"/>
          <w:color w:val="FF6600"/>
          <w:sz w:val="22"/>
        </w:rPr>
        <w:t> </w:t>
      </w:r>
      <w:r w:rsidRPr="004B208C">
        <w:rPr>
          <w:rFonts w:ascii="Tahoma" w:hAnsi="Tahoma" w:cs="Tahoma"/>
          <w:color w:val="FF6600"/>
          <w:sz w:val="22"/>
        </w:rPr>
        <w:t>Gerenciamento</w:t>
      </w:r>
      <w:bookmarkEnd w:id="1518"/>
      <w:bookmarkEnd w:id="1519"/>
      <w:bookmarkEnd w:id="1521"/>
    </w:p>
    <w:p w:rsidR="00ED12C0" w:rsidRPr="004B208C" w:rsidRDefault="00ED12C0" w:rsidP="00B76943">
      <w:pPr>
        <w:rPr>
          <w:rFonts w:cs="Tahoma"/>
        </w:rPr>
      </w:pPr>
    </w:p>
    <w:p w:rsidR="00ED12C0" w:rsidRPr="004B208C" w:rsidRDefault="00ED12C0" w:rsidP="00B76943">
      <w:pPr>
        <w:pStyle w:val="EndnoteText"/>
        <w:ind w:left="720"/>
        <w:rPr>
          <w:rFonts w:ascii="Tahoma" w:hAnsi="Tahoma" w:cs="Tahoma"/>
        </w:rPr>
      </w:pPr>
      <w:r w:rsidRPr="004B208C">
        <w:rPr>
          <w:rFonts w:ascii="Tahoma" w:hAnsi="Tahoma" w:cs="Tahoma"/>
          <w:color w:val="000000"/>
          <w:sz w:val="18"/>
        </w:rPr>
        <w:t>Este produto encontra-se no status EOL (Fim da Vida Útil) e não será mais oferecido.</w:t>
      </w:r>
    </w:p>
    <w:p w:rsidR="00ED12C0" w:rsidRPr="00160748" w:rsidRDefault="00ED12C0" w:rsidP="00B76943">
      <w:pPr>
        <w:pStyle w:val="EndnoteText"/>
        <w:ind w:left="720"/>
        <w:rPr>
          <w:rFonts w:ascii="Tahoma" w:hAnsi="Tahoma" w:cs="Tahoma"/>
          <w:sz w:val="18"/>
          <w:szCs w:val="18"/>
        </w:rPr>
      </w:pPr>
    </w:p>
    <w:p w:rsidR="00ED12C0" w:rsidRPr="00160748" w:rsidRDefault="00ED12C0" w:rsidP="00B76943">
      <w:pPr>
        <w:pStyle w:val="EndnoteText"/>
        <w:spacing w:after="60"/>
        <w:ind w:left="720"/>
        <w:rPr>
          <w:rFonts w:ascii="Tahoma" w:hAnsi="Tahoma" w:cs="Tahoma"/>
          <w:sz w:val="18"/>
          <w:szCs w:val="18"/>
        </w:rPr>
      </w:pPr>
      <w:r w:rsidRPr="00160748">
        <w:rPr>
          <w:rFonts w:ascii="Tahoma" w:hAnsi="Tahoma" w:cs="Tahoma"/>
          <w:b/>
          <w:color w:val="000000"/>
          <w:sz w:val="18"/>
          <w:szCs w:val="18"/>
        </w:rPr>
        <w:t>Outorga de Licença Única para Titulares de Licenças do Windows Embedded Device Manager 2011 com Software Assurance Ativo</w:t>
      </w:r>
    </w:p>
    <w:p w:rsidR="002512D3" w:rsidRPr="00160748" w:rsidRDefault="00ED12C0" w:rsidP="003165D6">
      <w:pPr>
        <w:pStyle w:val="EndnoteText"/>
        <w:ind w:left="720"/>
        <w:rPr>
          <w:rFonts w:ascii="Tahoma" w:hAnsi="Tahoma" w:cs="Tahoma"/>
          <w:sz w:val="18"/>
          <w:szCs w:val="18"/>
        </w:rPr>
      </w:pPr>
      <w:r w:rsidRPr="00160748">
        <w:rPr>
          <w:rFonts w:ascii="Tahoma" w:hAnsi="Tahoma" w:cs="Tahoma"/>
          <w:color w:val="000000"/>
          <w:sz w:val="18"/>
          <w:szCs w:val="18"/>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p>
    <w:p w:rsidR="00ED12C0" w:rsidRPr="00160748" w:rsidRDefault="00ED12C0" w:rsidP="00B76943">
      <w:pPr>
        <w:pStyle w:val="EndnoteText"/>
        <w:ind w:left="720"/>
        <w:rPr>
          <w:rFonts w:ascii="Tahoma" w:hAnsi="Tahoma" w:cs="Tahoma"/>
          <w:sz w:val="18"/>
          <w:szCs w:val="18"/>
        </w:rPr>
      </w:pPr>
    </w:p>
    <w:p w:rsidR="00ED12C0" w:rsidRPr="00160748" w:rsidRDefault="00ED12C0" w:rsidP="00B76943">
      <w:pPr>
        <w:pStyle w:val="EndnoteText"/>
        <w:rPr>
          <w:rFonts w:ascii="Tahoma" w:hAnsi="Tahoma" w:cs="Tahoma"/>
          <w:sz w:val="18"/>
          <w:szCs w:val="18"/>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4B208C" w:rsidTr="00CA14C9">
        <w:tc>
          <w:tcPr>
            <w:tcW w:w="3960" w:type="dxa"/>
            <w:tcBorders>
              <w:top w:val="single" w:sz="4" w:space="0" w:color="000000"/>
              <w:bottom w:val="single" w:sz="6" w:space="0" w:color="000000"/>
            </w:tcBorders>
            <w:shd w:val="clear" w:color="auto" w:fill="FABF8F"/>
          </w:tcPr>
          <w:p w:rsidR="00ED12C0" w:rsidRPr="004B208C" w:rsidRDefault="00ED12C0" w:rsidP="004342E4">
            <w:pPr>
              <w:jc w:val="center"/>
              <w:rPr>
                <w:rFonts w:cs="Tahoma"/>
                <w:b/>
                <w:color w:val="000000"/>
                <w:szCs w:val="20"/>
              </w:rPr>
            </w:pPr>
            <w:r w:rsidRPr="004B208C">
              <w:rPr>
                <w:rFonts w:cs="Tahoma"/>
                <w:b/>
                <w:color w:val="000000"/>
                <w:szCs w:val="20"/>
              </w:rPr>
              <w:t>Licenças Qualificadas</w:t>
            </w:r>
          </w:p>
        </w:tc>
        <w:tc>
          <w:tcPr>
            <w:tcW w:w="4050" w:type="dxa"/>
            <w:tcBorders>
              <w:top w:val="single" w:sz="4" w:space="0" w:color="000000"/>
              <w:bottom w:val="single" w:sz="6" w:space="0" w:color="000000"/>
            </w:tcBorders>
            <w:shd w:val="clear" w:color="auto" w:fill="FABF8F"/>
          </w:tcPr>
          <w:p w:rsidR="00ED12C0" w:rsidRPr="004B208C" w:rsidRDefault="00ED12C0" w:rsidP="004342E4">
            <w:pPr>
              <w:jc w:val="center"/>
              <w:rPr>
                <w:rFonts w:cs="Tahoma"/>
                <w:b/>
                <w:color w:val="000000"/>
                <w:szCs w:val="20"/>
              </w:rPr>
            </w:pPr>
            <w:r w:rsidRPr="004B208C">
              <w:rPr>
                <w:rFonts w:cs="Tahoma"/>
                <w:color w:val="000000"/>
              </w:rPr>
              <w:t>Licenças de Gerenciamento de Cliente do Windows Embedded Device Manager 2011</w:t>
            </w:r>
          </w:p>
        </w:tc>
      </w:tr>
      <w:tr w:rsidR="00ED12C0" w:rsidRPr="004B208C" w:rsidTr="00CA14C9">
        <w:tc>
          <w:tcPr>
            <w:tcW w:w="3960" w:type="dxa"/>
            <w:tcBorders>
              <w:top w:val="single" w:sz="6" w:space="0" w:color="000000"/>
            </w:tcBorders>
            <w:shd w:val="clear" w:color="auto" w:fill="FFFFFF"/>
          </w:tcPr>
          <w:p w:rsidR="00ED12C0" w:rsidRPr="004B208C" w:rsidRDefault="00ED12C0" w:rsidP="004342E4">
            <w:pPr>
              <w:rPr>
                <w:rFonts w:cs="Tahoma"/>
                <w:color w:val="000000"/>
                <w:szCs w:val="20"/>
              </w:rPr>
            </w:pPr>
            <w:r w:rsidRPr="004B208C">
              <w:rPr>
                <w:rFonts w:cs="Tahoma"/>
                <w:color w:val="000000"/>
                <w:szCs w:val="20"/>
              </w:rPr>
              <w:t>Licença do Windows Embedded Device Manager 2011 Server</w:t>
            </w:r>
          </w:p>
        </w:tc>
        <w:tc>
          <w:tcPr>
            <w:tcW w:w="4050" w:type="dxa"/>
            <w:tcBorders>
              <w:top w:val="single" w:sz="6" w:space="0" w:color="000000"/>
            </w:tcBorders>
            <w:shd w:val="clear" w:color="auto" w:fill="FFFFFF"/>
          </w:tcPr>
          <w:p w:rsidR="00ED12C0" w:rsidRPr="004B208C" w:rsidRDefault="00ED12C0" w:rsidP="004342E4">
            <w:pPr>
              <w:rPr>
                <w:rFonts w:cs="Tahoma"/>
                <w:color w:val="000000"/>
                <w:szCs w:val="20"/>
              </w:rPr>
            </w:pPr>
            <w:r w:rsidRPr="004B208C">
              <w:rPr>
                <w:rFonts w:cs="Tahoma"/>
                <w:color w:val="000000"/>
                <w:szCs w:val="20"/>
              </w:rPr>
              <w:t>13 Licenças de Gerenciamento de Cliente do Windows Embedded Device Manager 2011</w:t>
            </w:r>
          </w:p>
        </w:tc>
      </w:tr>
      <w:tr w:rsidR="00ED12C0" w:rsidRPr="004B208C" w:rsidTr="00CA14C9">
        <w:tc>
          <w:tcPr>
            <w:tcW w:w="3960" w:type="dxa"/>
            <w:shd w:val="clear" w:color="auto" w:fill="FFFFFF"/>
          </w:tcPr>
          <w:p w:rsidR="00ED12C0" w:rsidRPr="004B208C" w:rsidRDefault="00ED12C0" w:rsidP="004342E4">
            <w:pPr>
              <w:rPr>
                <w:rFonts w:cs="Tahoma"/>
                <w:color w:val="000000"/>
                <w:szCs w:val="20"/>
              </w:rPr>
            </w:pPr>
            <w:r w:rsidRPr="004B208C">
              <w:rPr>
                <w:rFonts w:cs="Tahoma"/>
                <w:color w:val="000000"/>
                <w:szCs w:val="20"/>
              </w:rPr>
              <w:t>Licença do Servidor do Windows Embedded Device Manager 2011 com Tecnologia SQL Server 2008</w:t>
            </w:r>
          </w:p>
        </w:tc>
        <w:tc>
          <w:tcPr>
            <w:tcW w:w="4050" w:type="dxa"/>
            <w:shd w:val="clear" w:color="auto" w:fill="FFFFFF"/>
          </w:tcPr>
          <w:p w:rsidR="00ED12C0" w:rsidRPr="004B208C" w:rsidRDefault="00ED12C0" w:rsidP="004342E4">
            <w:pPr>
              <w:rPr>
                <w:rFonts w:cs="Tahoma"/>
                <w:color w:val="000000"/>
                <w:szCs w:val="20"/>
              </w:rPr>
            </w:pPr>
            <w:r w:rsidRPr="004B208C">
              <w:rPr>
                <w:rFonts w:cs="Tahoma"/>
                <w:color w:val="000000"/>
                <w:szCs w:val="20"/>
              </w:rPr>
              <w:t>30 Licenças de Gerenciamento de Cliente do Windows Embedded Device Manager 2011</w:t>
            </w:r>
          </w:p>
        </w:tc>
      </w:tr>
    </w:tbl>
    <w:p w:rsidR="00ED12C0" w:rsidRPr="00160748" w:rsidRDefault="00ED12C0" w:rsidP="00ED12C0">
      <w:pPr>
        <w:pStyle w:val="EndnoteText"/>
        <w:ind w:left="0"/>
        <w:rPr>
          <w:rFonts w:ascii="Tahoma" w:hAnsi="Tahoma" w:cs="Tahoma"/>
          <w:sz w:val="18"/>
          <w:szCs w:val="18"/>
        </w:rPr>
      </w:pPr>
    </w:p>
    <w:p w:rsidR="00ED12C0" w:rsidRPr="00160748" w:rsidRDefault="00ED12C0" w:rsidP="00376D4B">
      <w:pPr>
        <w:pStyle w:val="EndnoteText"/>
        <w:ind w:left="720"/>
        <w:rPr>
          <w:rFonts w:ascii="Tahoma" w:hAnsi="Tahoma" w:cs="Tahoma"/>
          <w:sz w:val="18"/>
          <w:szCs w:val="18"/>
        </w:rPr>
      </w:pPr>
      <w:r w:rsidRPr="00160748">
        <w:rPr>
          <w:rFonts w:ascii="Tahoma" w:hAnsi="Tahoma" w:cs="Tahoma"/>
          <w:color w:val="000000"/>
          <w:sz w:val="18"/>
          <w:szCs w:val="18"/>
        </w:rPr>
        <w:t>Todas as licenças concedidas sob esta oferta incluirão cobertura do Software Assurance. Essa cobertura se</w:t>
      </w:r>
      <w:r w:rsidR="00160748">
        <w:rPr>
          <w:rFonts w:ascii="Tahoma" w:hAnsi="Tahoma" w:cs="Tahoma"/>
          <w:color w:val="000000"/>
          <w:sz w:val="18"/>
          <w:szCs w:val="18"/>
        </w:rPr>
        <w:t> </w:t>
      </w:r>
      <w:r w:rsidRPr="00160748">
        <w:rPr>
          <w:rFonts w:ascii="Tahoma" w:hAnsi="Tahoma" w:cs="Tahoma"/>
          <w:color w:val="000000"/>
          <w:sz w:val="18"/>
          <w:szCs w:val="18"/>
        </w:rPr>
        <w:t xml:space="preserve">encerrará no término da cobertura nas licenças qualificadas. Ao término dessa cobertura, os clientes poderão renovar o Software Assurance sobre as licenças outorgadas. </w:t>
      </w:r>
    </w:p>
    <w:p w:rsidR="00ED12C0" w:rsidRDefault="00ED12C0" w:rsidP="00376D4B">
      <w:pPr>
        <w:pStyle w:val="EndnoteText"/>
        <w:ind w:left="720"/>
        <w:rPr>
          <w:rFonts w:ascii="Tahoma" w:hAnsi="Tahoma" w:cs="Tahoma"/>
          <w:sz w:val="18"/>
          <w:szCs w:val="18"/>
        </w:rPr>
      </w:pPr>
    </w:p>
    <w:p w:rsidR="00160748" w:rsidRDefault="00160748" w:rsidP="00376D4B">
      <w:pPr>
        <w:pStyle w:val="EndnoteText"/>
        <w:ind w:left="720"/>
        <w:rPr>
          <w:rFonts w:ascii="Tahoma" w:hAnsi="Tahoma" w:cs="Tahoma"/>
          <w:sz w:val="18"/>
          <w:szCs w:val="18"/>
        </w:rPr>
      </w:pPr>
    </w:p>
    <w:p w:rsidR="00160748" w:rsidRDefault="00160748" w:rsidP="00376D4B">
      <w:pPr>
        <w:pStyle w:val="EndnoteText"/>
        <w:ind w:left="720"/>
        <w:rPr>
          <w:rFonts w:ascii="Tahoma" w:hAnsi="Tahoma" w:cs="Tahoma"/>
          <w:sz w:val="18"/>
          <w:szCs w:val="18"/>
        </w:rPr>
      </w:pPr>
    </w:p>
    <w:p w:rsidR="00160748" w:rsidRPr="00160748" w:rsidRDefault="00160748" w:rsidP="00376D4B">
      <w:pPr>
        <w:pStyle w:val="EndnoteText"/>
        <w:ind w:left="720"/>
        <w:rPr>
          <w:rFonts w:ascii="Tahoma" w:hAnsi="Tahoma" w:cs="Tahoma"/>
          <w:sz w:val="18"/>
          <w:szCs w:val="18"/>
        </w:rPr>
      </w:pPr>
    </w:p>
    <w:p w:rsidR="00ED12C0" w:rsidRPr="00160748" w:rsidRDefault="00ED12C0" w:rsidP="00376D4B">
      <w:pPr>
        <w:pStyle w:val="EndnoteText"/>
        <w:ind w:left="720"/>
        <w:rPr>
          <w:rFonts w:ascii="Tahoma" w:hAnsi="Tahoma" w:cs="Tahoma"/>
          <w:sz w:val="18"/>
          <w:szCs w:val="18"/>
        </w:rPr>
      </w:pPr>
      <w:r w:rsidRPr="00160748">
        <w:rPr>
          <w:rFonts w:ascii="Tahoma" w:hAnsi="Tahoma" w:cs="Tahoma"/>
          <w:color w:val="000000"/>
          <w:sz w:val="18"/>
          <w:szCs w:val="18"/>
        </w:rPr>
        <w:lastRenderedPageBreak/>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do Windows Embedded Device Manager 2011 expirar. A evidência de suas licenças qualificadas e esta Nota do Produto evidenciarão o direito do cliente de usar o Windows Embedded Device Manager 2011 sob os termos desta oferta. O cliente não terá mais o direito de usar o software sob as licenças qualificadas atribuídas ao servidor no seu uso do software sob esta oferta. Os clientes não poderão transferir as licenças outorgadas sob esta oferta separadamente das licenças qualificadas correspondentes.</w:t>
      </w:r>
    </w:p>
    <w:p w:rsidR="00ED12C0" w:rsidRPr="00160748" w:rsidRDefault="00ED12C0" w:rsidP="00376D4B">
      <w:pPr>
        <w:pStyle w:val="EndnoteText"/>
        <w:ind w:left="720"/>
        <w:rPr>
          <w:rFonts w:ascii="Tahoma" w:hAnsi="Tahoma" w:cs="Tahoma"/>
          <w:sz w:val="18"/>
          <w:szCs w:val="18"/>
        </w:rPr>
      </w:pPr>
    </w:p>
    <w:p w:rsidR="00ED12C0" w:rsidRPr="00160748" w:rsidRDefault="00ED12C0" w:rsidP="00376D4B">
      <w:pPr>
        <w:ind w:left="720"/>
        <w:rPr>
          <w:rFonts w:cs="Tahoma"/>
          <w:szCs w:val="18"/>
        </w:rPr>
      </w:pPr>
      <w:r w:rsidRPr="00160748">
        <w:rPr>
          <w:rFonts w:cs="Tahoma"/>
          <w:color w:val="000000"/>
          <w:szCs w:val="18"/>
        </w:rPr>
        <w:t>As licenças do Windows Embedded Device Manager 2011 adquiridas após 1º de abril de 2012 como parte do processo anual de adequação (“true-up”) de um cliente para Registros Enterprise sob os quais as licenças do Windows Embedded Device Manager 2011 foram adquiridas pela primeira vez antes de 1º de abril de 2012 também estarão qualificadas para MLs de Cliente d Windows Embedded Device Manager 2011 de acordo com esta oferta.</w:t>
      </w:r>
    </w:p>
    <w:p w:rsidR="00ED12C0" w:rsidRPr="00160748" w:rsidRDefault="00ED12C0" w:rsidP="00376D4B">
      <w:pPr>
        <w:ind w:left="720"/>
        <w:rPr>
          <w:rFonts w:cs="Tahoma"/>
          <w:szCs w:val="18"/>
        </w:rPr>
      </w:pPr>
    </w:p>
    <w:p w:rsidR="00ED12C0" w:rsidRPr="00160748" w:rsidRDefault="00ED12C0" w:rsidP="00376D4B">
      <w:pPr>
        <w:ind w:left="720"/>
        <w:rPr>
          <w:rFonts w:cs="Tahoma"/>
          <w:szCs w:val="18"/>
        </w:rPr>
      </w:pPr>
      <w:r w:rsidRPr="00160748">
        <w:rPr>
          <w:rFonts w:cs="Tahoma"/>
          <w:color w:val="000000"/>
          <w:szCs w:val="18"/>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w:t>
      </w:r>
      <w:r w:rsidR="00172F11" w:rsidRPr="00160748">
        <w:rPr>
          <w:rFonts w:cs="Tahoma"/>
          <w:color w:val="000000"/>
          <w:szCs w:val="18"/>
        </w:rPr>
        <w:t xml:space="preserve"> </w:t>
      </w:r>
      <w:r w:rsidRPr="00160748">
        <w:rPr>
          <w:rFonts w:cs="Tahoma"/>
          <w:color w:val="000000"/>
          <w:szCs w:val="18"/>
        </w:rPr>
        <w:t>Esses direitos só se tornarão permanentes se a opção de compra (“buy-out”) for exercida e continuarão sujeitos a todos os termos e condições do contrato de licença do cliente.</w:t>
      </w:r>
    </w:p>
    <w:p w:rsidR="00A40838" w:rsidRPr="004B208C" w:rsidRDefault="00A40838" w:rsidP="00376D4B">
      <w:pPr>
        <w:ind w:left="720"/>
        <w:rPr>
          <w:rFonts w:cs="Tahoma"/>
        </w:rPr>
      </w:pPr>
    </w:p>
    <w:p w:rsidR="005D5C95" w:rsidRPr="004B208C" w:rsidRDefault="005D5C95" w:rsidP="00376D4B">
      <w:pPr>
        <w:ind w:left="720"/>
        <w:rPr>
          <w:rFonts w:cs="Tahoma"/>
        </w:rPr>
      </w:pPr>
    </w:p>
    <w:p w:rsidR="005D5C95" w:rsidRPr="004B208C" w:rsidRDefault="00A560B6" w:rsidP="009803C5">
      <w:pPr>
        <w:pStyle w:val="Heading2"/>
        <w:keepNext/>
        <w:ind w:left="360" w:hanging="360"/>
        <w:rPr>
          <w:rFonts w:ascii="Tahoma" w:hAnsi="Tahoma" w:cs="Tahoma"/>
        </w:rPr>
      </w:pPr>
      <w:bookmarkStart w:id="1522" w:name="_96_Windows_Embedded"/>
      <w:bookmarkStart w:id="1523" w:name="_99_Windows_Embedded"/>
      <w:bookmarkStart w:id="1524" w:name="_102_Windows_Embedded"/>
      <w:bookmarkStart w:id="1525" w:name="Srv_108EBS2008StandardPrem"/>
      <w:bookmarkStart w:id="1526" w:name="_Toc370981475"/>
      <w:bookmarkEnd w:id="1522"/>
      <w:bookmarkEnd w:id="1523"/>
      <w:bookmarkEnd w:id="1524"/>
      <w:r w:rsidRPr="004B208C">
        <w:rPr>
          <w:rFonts w:ascii="Tahoma" w:hAnsi="Tahoma" w:cs="Tahoma"/>
          <w:caps/>
          <w:color w:val="FF6600"/>
          <w:sz w:val="22"/>
          <w:vertAlign w:val="superscript"/>
        </w:rPr>
        <w:t>101</w:t>
      </w:r>
      <w:r w:rsidRPr="004B208C">
        <w:rPr>
          <w:rFonts w:ascii="Tahoma" w:hAnsi="Tahoma" w:cs="Tahoma"/>
          <w:color w:val="FF6600"/>
        </w:rPr>
        <w:t xml:space="preserve"> </w:t>
      </w:r>
      <w:r w:rsidRPr="004B208C">
        <w:rPr>
          <w:rFonts w:ascii="Tahoma" w:hAnsi="Tahoma" w:cs="Tahoma"/>
          <w:color w:val="FF6600"/>
          <w:sz w:val="22"/>
        </w:rPr>
        <w:t xml:space="preserve">Windows Embedded Device Manager 2011 </w:t>
      </w:r>
      <w:r w:rsidR="003B262F" w:rsidRPr="004B208C">
        <w:rPr>
          <w:rFonts w:ascii="Tahoma" w:hAnsi="Tahoma" w:cs="Tahoma"/>
          <w:color w:val="FF6600"/>
          <w:sz w:val="22"/>
        </w:rPr>
        <w:t>–</w:t>
      </w:r>
      <w:r w:rsidRPr="004B208C">
        <w:rPr>
          <w:rFonts w:ascii="Tahoma" w:hAnsi="Tahoma" w:cs="Tahoma"/>
          <w:color w:val="FF6600"/>
          <w:sz w:val="22"/>
        </w:rPr>
        <w:t xml:space="preserve"> Licença de Gerenciamento de</w:t>
      </w:r>
      <w:r w:rsidR="00160748">
        <w:rPr>
          <w:rFonts w:ascii="Tahoma" w:hAnsi="Tahoma" w:cs="Tahoma"/>
          <w:color w:val="FF6600"/>
          <w:sz w:val="22"/>
        </w:rPr>
        <w:t> </w:t>
      </w:r>
      <w:r w:rsidRPr="004B208C">
        <w:rPr>
          <w:rFonts w:ascii="Tahoma" w:hAnsi="Tahoma" w:cs="Tahoma"/>
          <w:color w:val="FF6600"/>
          <w:sz w:val="22"/>
        </w:rPr>
        <w:t>Clientes</w:t>
      </w:r>
      <w:bookmarkEnd w:id="1526"/>
    </w:p>
    <w:p w:rsidR="005D5C95" w:rsidRPr="004B208C" w:rsidRDefault="005D5C95" w:rsidP="00076947">
      <w:pPr>
        <w:keepNext/>
        <w:rPr>
          <w:rFonts w:cs="Tahoma"/>
        </w:rPr>
      </w:pPr>
    </w:p>
    <w:p w:rsidR="005D5C95" w:rsidRPr="004B208C" w:rsidRDefault="005D5C95" w:rsidP="00076947">
      <w:pPr>
        <w:pStyle w:val="EndnoteText"/>
        <w:keepNext/>
        <w:ind w:left="720"/>
        <w:rPr>
          <w:rFonts w:ascii="Tahoma" w:hAnsi="Tahoma" w:cs="Tahoma"/>
        </w:rPr>
      </w:pPr>
      <w:r w:rsidRPr="004B208C">
        <w:rPr>
          <w:rFonts w:ascii="Tahoma" w:hAnsi="Tahoma" w:cs="Tahoma"/>
          <w:color w:val="000000"/>
          <w:sz w:val="18"/>
        </w:rPr>
        <w:t>Este produto encontra-se no status EOL (Fim da Vida Útil) e não será mais oferecido.</w:t>
      </w:r>
    </w:p>
    <w:p w:rsidR="005D5C95" w:rsidRPr="00160748" w:rsidRDefault="005D5C95" w:rsidP="005D5C95">
      <w:pPr>
        <w:pStyle w:val="EndnoteText"/>
        <w:ind w:left="720"/>
        <w:rPr>
          <w:rFonts w:ascii="Tahoma" w:hAnsi="Tahoma" w:cs="Tahoma"/>
          <w:sz w:val="18"/>
          <w:szCs w:val="18"/>
        </w:rPr>
      </w:pPr>
    </w:p>
    <w:p w:rsidR="005D5C95" w:rsidRPr="00160748" w:rsidRDefault="005D5C95" w:rsidP="007A34E3">
      <w:pPr>
        <w:pStyle w:val="EndnoteText"/>
        <w:spacing w:after="60"/>
        <w:ind w:left="720"/>
        <w:rPr>
          <w:rFonts w:ascii="Tahoma" w:hAnsi="Tahoma" w:cs="Tahoma"/>
          <w:sz w:val="18"/>
          <w:szCs w:val="18"/>
        </w:rPr>
      </w:pPr>
      <w:r w:rsidRPr="00160748">
        <w:rPr>
          <w:rFonts w:ascii="Tahoma" w:hAnsi="Tahoma" w:cs="Tahoma"/>
          <w:b/>
          <w:color w:val="000000"/>
          <w:sz w:val="18"/>
          <w:szCs w:val="18"/>
        </w:rPr>
        <w:t>Outorga de Licença Única para Titulares de Licenças do Windows Embedded Device Manager 2011 – Licença de Gerenciamento de Clientes com Software Assurance Ativo</w:t>
      </w:r>
    </w:p>
    <w:p w:rsidR="005D5C95" w:rsidRPr="00160748" w:rsidRDefault="005D5C95" w:rsidP="005D5C95">
      <w:pPr>
        <w:pStyle w:val="EndnoteText"/>
        <w:ind w:left="720"/>
        <w:rPr>
          <w:rFonts w:ascii="Tahoma" w:hAnsi="Tahoma" w:cs="Tahoma"/>
          <w:sz w:val="18"/>
          <w:szCs w:val="18"/>
        </w:rPr>
      </w:pPr>
      <w:r w:rsidRPr="00160748">
        <w:rPr>
          <w:rFonts w:ascii="Tahoma" w:hAnsi="Tahoma" w:cs="Tahoma"/>
          <w:color w:val="000000"/>
          <w:sz w:val="18"/>
          <w:szCs w:val="18"/>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rsidR="005D5C95" w:rsidRPr="00160748" w:rsidRDefault="005D5C95" w:rsidP="005D5C95">
      <w:pPr>
        <w:pStyle w:val="EndnoteText"/>
        <w:ind w:left="0"/>
        <w:rPr>
          <w:rFonts w:ascii="Tahoma" w:hAnsi="Tahoma" w:cs="Tahoma"/>
          <w:sz w:val="18"/>
          <w:szCs w:val="18"/>
        </w:rPr>
      </w:pPr>
    </w:p>
    <w:p w:rsidR="005D5C95" w:rsidRPr="00160748" w:rsidRDefault="005D5C95" w:rsidP="005D5C95">
      <w:pPr>
        <w:pStyle w:val="EndnoteText"/>
        <w:ind w:left="720"/>
        <w:rPr>
          <w:rFonts w:ascii="Tahoma" w:hAnsi="Tahoma" w:cs="Tahoma"/>
          <w:sz w:val="18"/>
          <w:szCs w:val="18"/>
        </w:rPr>
      </w:pPr>
      <w:r w:rsidRPr="00160748">
        <w:rPr>
          <w:rFonts w:ascii="Tahoma" w:hAnsi="Tahoma" w:cs="Tahoma"/>
          <w:color w:val="000000"/>
          <w:sz w:val="18"/>
          <w:szCs w:val="18"/>
        </w:rPr>
        <w:t>Todas as licenças concedidas sob esta oferta incluirão cobertura do Software Assurance. Essa cobertura se</w:t>
      </w:r>
      <w:r w:rsidR="00160748">
        <w:rPr>
          <w:rFonts w:ascii="Tahoma" w:hAnsi="Tahoma" w:cs="Tahoma"/>
          <w:color w:val="000000"/>
          <w:sz w:val="18"/>
          <w:szCs w:val="18"/>
        </w:rPr>
        <w:t> </w:t>
      </w:r>
      <w:r w:rsidRPr="00160748">
        <w:rPr>
          <w:rFonts w:ascii="Tahoma" w:hAnsi="Tahoma" w:cs="Tahoma"/>
          <w:color w:val="000000"/>
          <w:sz w:val="18"/>
          <w:szCs w:val="18"/>
        </w:rPr>
        <w:t xml:space="preserve">encerrará no término da cobertura nas licenças qualificadas. Ao término dessa cobertura, os clientes poderão renovar o Software Assurance sobre as licenças outorgadas. </w:t>
      </w:r>
    </w:p>
    <w:p w:rsidR="005D5C95" w:rsidRPr="00160748" w:rsidRDefault="005D5C95" w:rsidP="005D5C95">
      <w:pPr>
        <w:pStyle w:val="EndnoteText"/>
        <w:ind w:left="720"/>
        <w:rPr>
          <w:rFonts w:ascii="Tahoma" w:hAnsi="Tahoma" w:cs="Tahoma"/>
          <w:sz w:val="18"/>
          <w:szCs w:val="18"/>
        </w:rPr>
      </w:pPr>
    </w:p>
    <w:p w:rsidR="005D5C95" w:rsidRPr="00160748" w:rsidRDefault="005D5C95" w:rsidP="005D5C95">
      <w:pPr>
        <w:pStyle w:val="EndnoteText"/>
        <w:ind w:left="720"/>
        <w:rPr>
          <w:rFonts w:ascii="Tahoma" w:hAnsi="Tahoma" w:cs="Tahoma"/>
          <w:sz w:val="18"/>
          <w:szCs w:val="18"/>
        </w:rPr>
      </w:pPr>
      <w:r w:rsidRPr="00160748">
        <w:rPr>
          <w:rFonts w:ascii="Tahoma" w:hAnsi="Tahoma" w:cs="Tahoma"/>
          <w:color w:val="000000"/>
          <w:sz w:val="18"/>
          <w:szCs w:val="18"/>
        </w:rPr>
        <w:t>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qualificada de 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w:t>
      </w:r>
      <w:r w:rsidR="00160748">
        <w:rPr>
          <w:rFonts w:ascii="Tahoma" w:hAnsi="Tahoma" w:cs="Tahoma"/>
          <w:color w:val="000000"/>
          <w:sz w:val="18"/>
          <w:szCs w:val="18"/>
        </w:rPr>
        <w:t> </w:t>
      </w:r>
      <w:r w:rsidRPr="00160748">
        <w:rPr>
          <w:rFonts w:ascii="Tahoma" w:hAnsi="Tahoma" w:cs="Tahoma"/>
          <w:color w:val="000000"/>
          <w:sz w:val="18"/>
          <w:szCs w:val="18"/>
        </w:rPr>
        <w:t>cliente não terá mais o direito de usar o software sob as licenças qualificadas atribuídas ao servidor no</w:t>
      </w:r>
      <w:r w:rsidR="00160748">
        <w:rPr>
          <w:rFonts w:ascii="Tahoma" w:hAnsi="Tahoma" w:cs="Tahoma"/>
          <w:color w:val="000000"/>
          <w:sz w:val="18"/>
          <w:szCs w:val="18"/>
        </w:rPr>
        <w:t> </w:t>
      </w:r>
      <w:r w:rsidRPr="00160748">
        <w:rPr>
          <w:rFonts w:ascii="Tahoma" w:hAnsi="Tahoma" w:cs="Tahoma"/>
          <w:color w:val="000000"/>
          <w:sz w:val="18"/>
          <w:szCs w:val="18"/>
        </w:rPr>
        <w:t>seu uso do software sob esta oferta. Os clientes não poderão transferir as licenças outorgadas sob esta</w:t>
      </w:r>
      <w:r w:rsidR="00160748">
        <w:rPr>
          <w:rFonts w:ascii="Tahoma" w:hAnsi="Tahoma" w:cs="Tahoma"/>
          <w:color w:val="000000"/>
          <w:sz w:val="18"/>
          <w:szCs w:val="18"/>
        </w:rPr>
        <w:t> </w:t>
      </w:r>
      <w:r w:rsidRPr="00160748">
        <w:rPr>
          <w:rFonts w:ascii="Tahoma" w:hAnsi="Tahoma" w:cs="Tahoma"/>
          <w:color w:val="000000"/>
          <w:sz w:val="18"/>
          <w:szCs w:val="18"/>
        </w:rPr>
        <w:t>oferta separadamente das licenças qualificadas correspondentes.</w:t>
      </w:r>
    </w:p>
    <w:p w:rsidR="005D5C95" w:rsidRPr="00160748" w:rsidRDefault="005D5C95" w:rsidP="005D5C95">
      <w:pPr>
        <w:pStyle w:val="EndnoteText"/>
        <w:ind w:left="720"/>
        <w:rPr>
          <w:rFonts w:ascii="Tahoma" w:hAnsi="Tahoma" w:cs="Tahoma"/>
          <w:sz w:val="18"/>
          <w:szCs w:val="18"/>
        </w:rPr>
      </w:pPr>
    </w:p>
    <w:p w:rsidR="005D5C95" w:rsidRPr="00160748" w:rsidRDefault="005D5C95" w:rsidP="005D5C95">
      <w:pPr>
        <w:ind w:left="720"/>
        <w:rPr>
          <w:rFonts w:cs="Tahoma"/>
          <w:szCs w:val="18"/>
        </w:rPr>
      </w:pPr>
      <w:r w:rsidRPr="00160748">
        <w:rPr>
          <w:rFonts w:cs="Tahoma"/>
          <w:color w:val="000000"/>
          <w:szCs w:val="18"/>
        </w:rPr>
        <w:t>As licenças de Gerenciamento de Clientes do Windows Embedded Device Manager 2011 adquiridas após 1º</w:t>
      </w:r>
      <w:r w:rsidR="00160748">
        <w:rPr>
          <w:rFonts w:cs="Tahoma"/>
          <w:color w:val="000000"/>
          <w:szCs w:val="18"/>
        </w:rPr>
        <w:t> </w:t>
      </w:r>
      <w:r w:rsidRPr="00160748">
        <w:rPr>
          <w:rFonts w:cs="Tahoma"/>
          <w:color w:val="000000"/>
          <w:szCs w:val="18"/>
        </w:rPr>
        <w:t>de janeiro de 2013 como parte do processo anual de adequação (“true-up”)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rsidR="005D5C95" w:rsidRDefault="005D5C95" w:rsidP="005D5C95">
      <w:pPr>
        <w:ind w:left="720"/>
        <w:rPr>
          <w:rFonts w:cs="Tahoma"/>
          <w:szCs w:val="18"/>
        </w:rPr>
      </w:pPr>
    </w:p>
    <w:p w:rsidR="00160748" w:rsidRDefault="00160748" w:rsidP="005D5C95">
      <w:pPr>
        <w:ind w:left="720"/>
        <w:rPr>
          <w:rFonts w:cs="Tahoma"/>
          <w:szCs w:val="18"/>
        </w:rPr>
      </w:pPr>
    </w:p>
    <w:p w:rsidR="00160748" w:rsidRDefault="00160748" w:rsidP="005D5C95">
      <w:pPr>
        <w:ind w:left="720"/>
        <w:rPr>
          <w:rFonts w:cs="Tahoma"/>
          <w:szCs w:val="18"/>
        </w:rPr>
      </w:pPr>
    </w:p>
    <w:p w:rsidR="00160748" w:rsidRDefault="00160748" w:rsidP="005D5C95">
      <w:pPr>
        <w:ind w:left="720"/>
        <w:rPr>
          <w:rFonts w:cs="Tahoma"/>
          <w:szCs w:val="18"/>
        </w:rPr>
      </w:pPr>
    </w:p>
    <w:p w:rsidR="00160748" w:rsidRPr="00160748" w:rsidRDefault="00160748" w:rsidP="005D5C95">
      <w:pPr>
        <w:ind w:left="720"/>
        <w:rPr>
          <w:rFonts w:cs="Tahoma"/>
          <w:szCs w:val="18"/>
        </w:rPr>
      </w:pPr>
    </w:p>
    <w:p w:rsidR="005D5C95" w:rsidRPr="004B208C" w:rsidRDefault="005D5C95" w:rsidP="005D5C95">
      <w:pPr>
        <w:ind w:left="720"/>
        <w:rPr>
          <w:rFonts w:cs="Tahoma"/>
        </w:rPr>
      </w:pPr>
      <w:r w:rsidRPr="00160748">
        <w:rPr>
          <w:rFonts w:cs="Tahoma"/>
          <w:color w:val="000000"/>
          <w:szCs w:val="18"/>
        </w:rPr>
        <w:lastRenderedPageBreak/>
        <w:t>No caso de Contratos Enterprise Subscription, Campus e School e Open Value Subscription, os mesmos direitos serão</w:t>
      </w:r>
      <w:r w:rsidRPr="004B208C">
        <w:rPr>
          <w:rFonts w:cs="Tahoma"/>
          <w:color w:val="000000"/>
          <w:szCs w:val="24"/>
        </w:rPr>
        <w:t xml:space="preserve"> outorgados temporariamente até o final do prazo do registro da licença, contanto que as Licenças e o Software Assurance sejam válidos durante o período da outorga e o cliente mantenha uma cobertura contínua da assinatura.</w:t>
      </w:r>
      <w:r w:rsidR="00172F11">
        <w:rPr>
          <w:rFonts w:cs="Tahoma"/>
          <w:color w:val="000000"/>
          <w:szCs w:val="24"/>
        </w:rPr>
        <w:t xml:space="preserve"> </w:t>
      </w:r>
      <w:r w:rsidRPr="004B208C">
        <w:rPr>
          <w:rFonts w:cs="Tahoma"/>
          <w:color w:val="000000"/>
          <w:szCs w:val="24"/>
        </w:rPr>
        <w:t>Esses direitos só se tornarão permanentes se a opção de compra (“buy-out”) for exercida e continuarão sujeitos a todos os termos e condições do contrato de licença do cliente.</w:t>
      </w:r>
    </w:p>
    <w:p w:rsidR="005D5C95" w:rsidRPr="004B208C" w:rsidRDefault="005D5C95" w:rsidP="005D5C95">
      <w:pPr>
        <w:ind w:left="720"/>
        <w:rPr>
          <w:rFonts w:cs="Tahoma"/>
        </w:rPr>
      </w:pPr>
    </w:p>
    <w:p w:rsidR="005D5C95" w:rsidRPr="004B208C" w:rsidRDefault="005D5C95" w:rsidP="005D5C95">
      <w:pPr>
        <w:ind w:left="720"/>
        <w:rPr>
          <w:rFonts w:cs="Tahoma"/>
        </w:rPr>
      </w:pPr>
      <w:r w:rsidRPr="004B208C">
        <w:rPr>
          <w:rFonts w:cs="Tahoma"/>
          <w:color w:val="000000"/>
          <w:szCs w:val="24"/>
        </w:rPr>
        <w:t>Os direitos de downgrade da versão podem ser aplicados a todas as Licenças de Gerenciamento de Clientes do System Center 2012 Configuration Manager 2012 concedidas.</w:t>
      </w:r>
    </w:p>
    <w:p w:rsidR="00ED12C0" w:rsidRPr="004B208C" w:rsidRDefault="00ED12C0" w:rsidP="00ED12C0">
      <w:pPr>
        <w:ind w:left="900"/>
        <w:rPr>
          <w:rFonts w:cs="Tahoma"/>
        </w:rPr>
      </w:pPr>
    </w:p>
    <w:p w:rsidR="007B35CE" w:rsidRPr="004B208C" w:rsidRDefault="007B35CE" w:rsidP="00ED12C0">
      <w:pPr>
        <w:ind w:left="900"/>
        <w:rPr>
          <w:rFonts w:cs="Tahoma"/>
        </w:rPr>
      </w:pPr>
    </w:p>
    <w:p w:rsidR="00A6493D" w:rsidRPr="004B208C" w:rsidRDefault="00A560B6" w:rsidP="00A6493D">
      <w:pPr>
        <w:pStyle w:val="Heading3"/>
        <w:rPr>
          <w:rFonts w:ascii="Tahoma" w:hAnsi="Tahoma" w:cs="Tahoma"/>
        </w:rPr>
      </w:pPr>
      <w:bookmarkStart w:id="1527" w:name="_100_Windows_EBS"/>
      <w:bookmarkStart w:id="1528" w:name="_103_Windows_EBS"/>
      <w:bookmarkStart w:id="1529" w:name="_Toc336338364"/>
      <w:bookmarkStart w:id="1530" w:name="Srv_101WindowsEssBusSvrStdPrem"/>
      <w:bookmarkStart w:id="1531" w:name="_Toc370981476"/>
      <w:bookmarkEnd w:id="1527"/>
      <w:bookmarkEnd w:id="1528"/>
      <w:r w:rsidRPr="004B208C">
        <w:rPr>
          <w:rFonts w:ascii="Tahoma" w:hAnsi="Tahoma" w:cs="Tahoma"/>
          <w:caps/>
          <w:color w:val="FF6600"/>
          <w:sz w:val="22"/>
          <w:szCs w:val="24"/>
          <w:vertAlign w:val="superscript"/>
        </w:rPr>
        <w:t>102</w:t>
      </w:r>
      <w:r w:rsidRPr="004B208C">
        <w:rPr>
          <w:rFonts w:ascii="Tahoma" w:hAnsi="Tahoma" w:cs="Tahoma"/>
          <w:caps/>
          <w:color w:val="F66400"/>
          <w:sz w:val="24"/>
          <w:vertAlign w:val="superscript"/>
        </w:rPr>
        <w:t xml:space="preserve"> </w:t>
      </w:r>
      <w:r w:rsidRPr="004B208C">
        <w:rPr>
          <w:rFonts w:ascii="Tahoma" w:hAnsi="Tahoma" w:cs="Tahoma"/>
          <w:color w:val="F66400"/>
          <w:sz w:val="22"/>
          <w:szCs w:val="22"/>
        </w:rPr>
        <w:t>Windows EBS 2008 Standard e EBS 2008 Premium</w:t>
      </w:r>
      <w:bookmarkEnd w:id="1525"/>
      <w:bookmarkEnd w:id="1529"/>
      <w:bookmarkEnd w:id="1531"/>
    </w:p>
    <w:bookmarkEnd w:id="1520"/>
    <w:bookmarkEnd w:id="1530"/>
    <w:p w:rsidR="00113634" w:rsidRPr="004B208C" w:rsidRDefault="00113634" w:rsidP="00113634">
      <w:pPr>
        <w:rPr>
          <w:rFonts w:cs="Tahoma"/>
        </w:rPr>
      </w:pPr>
    </w:p>
    <w:p w:rsidR="00113634" w:rsidRPr="004B208C" w:rsidRDefault="00113634" w:rsidP="00376D4B">
      <w:pPr>
        <w:pStyle w:val="EndnoteText"/>
        <w:ind w:left="720"/>
        <w:rPr>
          <w:rFonts w:ascii="Tahoma" w:hAnsi="Tahoma" w:cs="Tahoma"/>
        </w:rPr>
      </w:pPr>
      <w:r w:rsidRPr="004B208C">
        <w:rPr>
          <w:rFonts w:ascii="Tahoma" w:hAnsi="Tahoma" w:cs="Tahoma"/>
          <w:sz w:val="18"/>
          <w:szCs w:val="18"/>
        </w:rPr>
        <w:t>Estes produtos encontram-se no status EOL (Fim da Vida Útil) e não serão mais oferecidos.</w:t>
      </w:r>
    </w:p>
    <w:p w:rsidR="00113634" w:rsidRPr="00160748" w:rsidRDefault="00113634" w:rsidP="00376D4B">
      <w:pPr>
        <w:pStyle w:val="EndnoteText"/>
        <w:ind w:left="720"/>
        <w:rPr>
          <w:rFonts w:ascii="Tahoma" w:hAnsi="Tahoma" w:cs="Tahoma"/>
          <w:sz w:val="18"/>
          <w:szCs w:val="18"/>
        </w:rPr>
      </w:pPr>
    </w:p>
    <w:p w:rsidR="00113634" w:rsidRPr="00160748" w:rsidRDefault="00113634" w:rsidP="00B76943">
      <w:pPr>
        <w:pStyle w:val="EndnoteText"/>
        <w:spacing w:after="60"/>
        <w:ind w:left="720"/>
        <w:rPr>
          <w:rFonts w:ascii="Tahoma" w:hAnsi="Tahoma" w:cs="Tahoma"/>
          <w:sz w:val="18"/>
          <w:szCs w:val="18"/>
        </w:rPr>
      </w:pPr>
      <w:r w:rsidRPr="00160748">
        <w:rPr>
          <w:rFonts w:ascii="Tahoma" w:hAnsi="Tahoma" w:cs="Tahoma"/>
          <w:b/>
          <w:sz w:val="18"/>
          <w:szCs w:val="18"/>
        </w:rPr>
        <w:t>Outorga de Licença única para titulares de licenças do EBS 2008 Standard e do EBS 2008 Premium</w:t>
      </w:r>
    </w:p>
    <w:p w:rsidR="00113634" w:rsidRPr="00160748" w:rsidRDefault="00113634" w:rsidP="00B76943">
      <w:pPr>
        <w:pStyle w:val="ListParagraph"/>
        <w:contextualSpacing w:val="0"/>
        <w:rPr>
          <w:rFonts w:ascii="Tahoma" w:hAnsi="Tahoma" w:cs="Tahoma"/>
          <w:sz w:val="18"/>
          <w:szCs w:val="18"/>
        </w:rPr>
      </w:pPr>
      <w:r w:rsidRPr="00160748">
        <w:rPr>
          <w:rFonts w:ascii="Tahoma" w:hAnsi="Tahoma" w:cs="Tahoma"/>
          <w:sz w:val="18"/>
          <w:szCs w:val="18"/>
          <w:u w:val="single"/>
        </w:rPr>
        <w:t>Todos os clientes do Licenciamento por Volume para o Windows Essential Business Server 2008 (EBS) Standard e Premium</w:t>
      </w:r>
      <w:r w:rsidRPr="00160748">
        <w:rPr>
          <w:rFonts w:ascii="Tahoma" w:hAnsi="Tahoma" w:cs="Tahoma"/>
          <w:b/>
          <w:sz w:val="18"/>
          <w:szCs w:val="18"/>
        </w:rPr>
        <w:t xml:space="preserve"> </w:t>
      </w:r>
      <w:r w:rsidRPr="00160748">
        <w:rPr>
          <w:rFonts w:ascii="Tahoma" w:hAnsi="Tahoma" w:cs="Tahoma"/>
          <w:sz w:val="18"/>
          <w:szCs w:val="18"/>
        </w:rPr>
        <w:t>estarão qualificados para as seguintes licenças gratuitas para cada licença do EBS 2008 Standard ou Premium que tiverem a partir de 1° de julho de 2010:</w:t>
      </w:r>
    </w:p>
    <w:p w:rsidR="00A6493D" w:rsidRPr="00160748" w:rsidRDefault="00A6493D" w:rsidP="00E63984">
      <w:pPr>
        <w:pStyle w:val="ListParagraph"/>
        <w:ind w:left="1260"/>
        <w:contextualSpacing w:val="0"/>
        <w:rPr>
          <w:rFonts w:ascii="Tahoma" w:hAnsi="Tahoma" w:cs="Tahoma"/>
          <w:sz w:val="18"/>
          <w:szCs w:val="18"/>
        </w:rPr>
      </w:pPr>
    </w:p>
    <w:p w:rsidR="00113634" w:rsidRPr="00160748" w:rsidRDefault="00113634" w:rsidP="00346F4B">
      <w:pPr>
        <w:pStyle w:val="ListParagraph"/>
        <w:numPr>
          <w:ilvl w:val="0"/>
          <w:numId w:val="24"/>
        </w:numPr>
        <w:spacing w:after="60"/>
        <w:ind w:left="1440"/>
        <w:contextualSpacing w:val="0"/>
        <w:rPr>
          <w:rFonts w:ascii="Tahoma" w:hAnsi="Tahoma" w:cs="Tahoma"/>
          <w:sz w:val="18"/>
          <w:szCs w:val="18"/>
        </w:rPr>
      </w:pPr>
      <w:r w:rsidRPr="00160748">
        <w:rPr>
          <w:rFonts w:ascii="Tahoma" w:hAnsi="Tahoma" w:cs="Tahoma"/>
          <w:sz w:val="18"/>
          <w:szCs w:val="18"/>
        </w:rPr>
        <w:t>3 licenças de software para o Windows Server 2008 Standard</w:t>
      </w:r>
    </w:p>
    <w:p w:rsidR="00113634" w:rsidRPr="00160748" w:rsidRDefault="00113634" w:rsidP="00346F4B">
      <w:pPr>
        <w:pStyle w:val="ListParagraph"/>
        <w:numPr>
          <w:ilvl w:val="0"/>
          <w:numId w:val="24"/>
        </w:numPr>
        <w:spacing w:after="60"/>
        <w:ind w:left="1440"/>
        <w:contextualSpacing w:val="0"/>
        <w:rPr>
          <w:rFonts w:ascii="Tahoma" w:hAnsi="Tahoma" w:cs="Tahoma"/>
          <w:sz w:val="18"/>
          <w:szCs w:val="18"/>
        </w:rPr>
      </w:pPr>
      <w:r w:rsidRPr="00160748">
        <w:rPr>
          <w:rFonts w:ascii="Tahoma" w:hAnsi="Tahoma" w:cs="Tahoma"/>
          <w:sz w:val="18"/>
          <w:szCs w:val="18"/>
        </w:rPr>
        <w:t>2 licenças de software para o Exchange Server 2007 Standard</w:t>
      </w:r>
    </w:p>
    <w:p w:rsidR="00113634" w:rsidRPr="00160748" w:rsidRDefault="00113634" w:rsidP="00346F4B">
      <w:pPr>
        <w:pStyle w:val="ListParagraph"/>
        <w:numPr>
          <w:ilvl w:val="0"/>
          <w:numId w:val="24"/>
        </w:numPr>
        <w:spacing w:after="60"/>
        <w:ind w:left="1440"/>
        <w:contextualSpacing w:val="0"/>
        <w:rPr>
          <w:rFonts w:ascii="Tahoma" w:hAnsi="Tahoma" w:cs="Tahoma"/>
          <w:sz w:val="18"/>
          <w:szCs w:val="18"/>
        </w:rPr>
      </w:pPr>
      <w:r w:rsidRPr="00160748">
        <w:rPr>
          <w:rFonts w:ascii="Tahoma" w:hAnsi="Tahoma" w:cs="Tahoma"/>
          <w:sz w:val="18"/>
          <w:szCs w:val="18"/>
        </w:rPr>
        <w:t>1 licença de software para o System Center Essentials 2007 e 10 licenças de gerenciamento de</w:t>
      </w:r>
      <w:r w:rsidR="00160748">
        <w:rPr>
          <w:rFonts w:ascii="Tahoma" w:hAnsi="Tahoma" w:cs="Tahoma"/>
          <w:sz w:val="18"/>
          <w:szCs w:val="18"/>
        </w:rPr>
        <w:t> </w:t>
      </w:r>
      <w:r w:rsidRPr="00160748">
        <w:rPr>
          <w:rFonts w:ascii="Tahoma" w:hAnsi="Tahoma" w:cs="Tahoma"/>
          <w:sz w:val="18"/>
          <w:szCs w:val="18"/>
        </w:rPr>
        <w:t>Servidor e 50 de Cliente</w:t>
      </w:r>
    </w:p>
    <w:p w:rsidR="00113634" w:rsidRPr="004B208C" w:rsidRDefault="00113634" w:rsidP="00E63984">
      <w:pPr>
        <w:ind w:left="1260"/>
        <w:rPr>
          <w:rFonts w:cs="Tahoma"/>
        </w:rPr>
      </w:pPr>
    </w:p>
    <w:p w:rsidR="00113634" w:rsidRPr="004B208C" w:rsidRDefault="00113634" w:rsidP="00B76943">
      <w:pPr>
        <w:ind w:left="720"/>
        <w:rPr>
          <w:rFonts w:cs="Tahoma"/>
        </w:rPr>
      </w:pPr>
      <w:r w:rsidRPr="004B208C">
        <w:rPr>
          <w:rFonts w:cs="Tahoma"/>
          <w:szCs w:val="18"/>
        </w:rPr>
        <w:t>O contrato de Licenciamento por Volume dos clientes e esta nota de condição do produto são evidências dessas licenças gratuitas.</w:t>
      </w:r>
      <w:r w:rsidR="00172F11">
        <w:rPr>
          <w:rFonts w:cs="Tahoma"/>
          <w:szCs w:val="18"/>
        </w:rPr>
        <w:t xml:space="preserve"> </w:t>
      </w:r>
      <w:r w:rsidRPr="004B208C">
        <w:rPr>
          <w:rFonts w:cs="Tahoma"/>
          <w:szCs w:val="18"/>
        </w:rPr>
        <w:t>O uso do software sob as licenças gratuitas está sujeito aos termos e condições do contrato celebrado pelos clientes e aos direitos de uso dos produtos individuais.</w:t>
      </w:r>
      <w:r w:rsidR="00172F11">
        <w:rPr>
          <w:rFonts w:cs="Tahoma"/>
          <w:szCs w:val="18"/>
        </w:rPr>
        <w:t xml:space="preserve"> </w:t>
      </w:r>
      <w:r w:rsidRPr="004B208C">
        <w:rPr>
          <w:rFonts w:cs="Tahoma"/>
          <w:szCs w:val="18"/>
        </w:rPr>
        <w:t>O direito de usar o software sob as licenças gratuitas expirará quando o direito de usar o software sob as licenças qualificadas expirar.</w:t>
      </w:r>
      <w:r w:rsidR="00172F11">
        <w:rPr>
          <w:rFonts w:cs="Tahoma"/>
          <w:szCs w:val="18"/>
        </w:rPr>
        <w:t xml:space="preserve"> </w:t>
      </w:r>
      <w:r w:rsidRPr="004B208C">
        <w:rPr>
          <w:rFonts w:cs="Tahoma"/>
          <w:szCs w:val="18"/>
        </w:rPr>
        <w:t>As licenças gratuitas não podem ser transferidas separadamente das licenças qualificadas.</w:t>
      </w:r>
    </w:p>
    <w:p w:rsidR="00113634" w:rsidRPr="004B208C" w:rsidRDefault="00113634" w:rsidP="00957DE8">
      <w:pPr>
        <w:ind w:left="720"/>
        <w:rPr>
          <w:rFonts w:cs="Tahoma"/>
        </w:rPr>
      </w:pPr>
    </w:p>
    <w:p w:rsidR="00113634" w:rsidRPr="00160748" w:rsidRDefault="00113634" w:rsidP="00957DE8">
      <w:pPr>
        <w:pStyle w:val="ListParagraph"/>
        <w:contextualSpacing w:val="0"/>
        <w:rPr>
          <w:rFonts w:ascii="Tahoma" w:hAnsi="Tahoma" w:cs="Tahoma"/>
          <w:sz w:val="18"/>
          <w:szCs w:val="18"/>
        </w:rPr>
      </w:pPr>
      <w:r w:rsidRPr="00160748">
        <w:rPr>
          <w:rFonts w:ascii="Tahoma" w:hAnsi="Tahoma" w:cs="Tahoma"/>
          <w:sz w:val="18"/>
          <w:szCs w:val="18"/>
          <w:u w:val="single"/>
        </w:rPr>
        <w:t>Os clientes do Licenciamento por Volume para o Windows Essential Business Server (EBS) 2008 Standard</w:t>
      </w:r>
      <w:r w:rsidRPr="00160748">
        <w:rPr>
          <w:rFonts w:ascii="Tahoma" w:hAnsi="Tahoma" w:cs="Tahoma"/>
          <w:b/>
          <w:sz w:val="18"/>
          <w:szCs w:val="18"/>
        </w:rPr>
        <w:t xml:space="preserve"> </w:t>
      </w:r>
      <w:r w:rsidRPr="00160748">
        <w:rPr>
          <w:rFonts w:ascii="Tahoma" w:hAnsi="Tahoma" w:cs="Tahoma"/>
          <w:sz w:val="18"/>
          <w:szCs w:val="18"/>
        </w:rPr>
        <w:t>estarão adicionalmente qualificados para as seguintes licenças gratuitas para cada licença do EBS 2008 Standard com cobertura do Software Assurance ativa que tiverem a partir de 1° de julho de 2010:</w:t>
      </w:r>
    </w:p>
    <w:p w:rsidR="00A6493D" w:rsidRPr="00160748" w:rsidRDefault="00A6493D" w:rsidP="00E63984">
      <w:pPr>
        <w:pStyle w:val="ListParagraph"/>
        <w:ind w:left="1260"/>
        <w:contextualSpacing w:val="0"/>
        <w:rPr>
          <w:rFonts w:ascii="Tahoma" w:hAnsi="Tahoma" w:cs="Tahoma"/>
          <w:sz w:val="18"/>
          <w:szCs w:val="18"/>
        </w:rPr>
      </w:pPr>
    </w:p>
    <w:p w:rsidR="00113634" w:rsidRPr="00160748" w:rsidRDefault="00113634" w:rsidP="00346F4B">
      <w:pPr>
        <w:pStyle w:val="ListParagraph"/>
        <w:numPr>
          <w:ilvl w:val="0"/>
          <w:numId w:val="25"/>
        </w:numPr>
        <w:spacing w:after="60"/>
        <w:ind w:left="1440"/>
        <w:contextualSpacing w:val="0"/>
        <w:rPr>
          <w:rFonts w:ascii="Tahoma" w:hAnsi="Tahoma" w:cs="Tahoma"/>
          <w:sz w:val="18"/>
          <w:szCs w:val="18"/>
        </w:rPr>
      </w:pPr>
      <w:r w:rsidRPr="00160748">
        <w:rPr>
          <w:rFonts w:ascii="Tahoma" w:hAnsi="Tahoma" w:cs="Tahoma"/>
          <w:sz w:val="18"/>
          <w:szCs w:val="18"/>
        </w:rPr>
        <w:t>3 licenças de software para o Windows Server 2008 R2 Standard</w:t>
      </w:r>
    </w:p>
    <w:p w:rsidR="00113634" w:rsidRPr="00160748" w:rsidRDefault="00113634" w:rsidP="00346F4B">
      <w:pPr>
        <w:pStyle w:val="ListParagraph"/>
        <w:numPr>
          <w:ilvl w:val="0"/>
          <w:numId w:val="25"/>
        </w:numPr>
        <w:spacing w:after="60"/>
        <w:ind w:left="1440"/>
        <w:contextualSpacing w:val="0"/>
        <w:rPr>
          <w:rFonts w:ascii="Tahoma" w:hAnsi="Tahoma" w:cs="Tahoma"/>
          <w:sz w:val="18"/>
          <w:szCs w:val="18"/>
        </w:rPr>
      </w:pPr>
      <w:r w:rsidRPr="00160748">
        <w:rPr>
          <w:rFonts w:ascii="Tahoma" w:hAnsi="Tahoma" w:cs="Tahoma"/>
          <w:sz w:val="18"/>
          <w:szCs w:val="18"/>
        </w:rPr>
        <w:t>1 licença de software para o Exchange Server 2010 Standard</w:t>
      </w:r>
    </w:p>
    <w:p w:rsidR="00113634" w:rsidRPr="00160748" w:rsidRDefault="00113634" w:rsidP="00346F4B">
      <w:pPr>
        <w:pStyle w:val="ListParagraph"/>
        <w:numPr>
          <w:ilvl w:val="0"/>
          <w:numId w:val="25"/>
        </w:numPr>
        <w:spacing w:after="60"/>
        <w:ind w:left="1440"/>
        <w:contextualSpacing w:val="0"/>
        <w:rPr>
          <w:rFonts w:ascii="Tahoma" w:hAnsi="Tahoma" w:cs="Tahoma"/>
          <w:sz w:val="18"/>
          <w:szCs w:val="18"/>
        </w:rPr>
      </w:pPr>
      <w:r w:rsidRPr="00160748">
        <w:rPr>
          <w:rFonts w:ascii="Tahoma" w:hAnsi="Tahoma" w:cs="Tahoma"/>
          <w:sz w:val="18"/>
          <w:szCs w:val="18"/>
        </w:rPr>
        <w:t>1 licença de software para o System Center Essentials 2010 e 10 licenças de gerenciamento de Servidor e 50 de Cliente</w:t>
      </w:r>
    </w:p>
    <w:p w:rsidR="00113634" w:rsidRPr="00160748" w:rsidRDefault="00113634" w:rsidP="00346F4B">
      <w:pPr>
        <w:pStyle w:val="ListParagraph"/>
        <w:numPr>
          <w:ilvl w:val="0"/>
          <w:numId w:val="25"/>
        </w:numPr>
        <w:spacing w:after="60"/>
        <w:ind w:left="1440"/>
        <w:contextualSpacing w:val="0"/>
        <w:rPr>
          <w:rFonts w:ascii="Tahoma" w:hAnsi="Tahoma" w:cs="Tahoma"/>
          <w:sz w:val="18"/>
          <w:szCs w:val="18"/>
        </w:rPr>
      </w:pPr>
      <w:r w:rsidRPr="00160748">
        <w:rPr>
          <w:rFonts w:ascii="Tahoma" w:hAnsi="Tahoma" w:cs="Tahoma"/>
          <w:sz w:val="18"/>
          <w:szCs w:val="18"/>
        </w:rPr>
        <w:t>1 licença de software para o Forefront Threat Management Gateway Medium Business Edition 2010</w:t>
      </w:r>
    </w:p>
    <w:p w:rsidR="00113634" w:rsidRPr="00160748" w:rsidRDefault="00113634" w:rsidP="00E63984">
      <w:pPr>
        <w:pStyle w:val="ListParagraph"/>
        <w:ind w:left="1260"/>
        <w:rPr>
          <w:rFonts w:ascii="Tahoma" w:hAnsi="Tahoma" w:cs="Tahoma"/>
          <w:sz w:val="18"/>
          <w:szCs w:val="18"/>
        </w:rPr>
      </w:pPr>
    </w:p>
    <w:p w:rsidR="00113634" w:rsidRPr="00160748" w:rsidRDefault="00113634" w:rsidP="00957DE8">
      <w:pPr>
        <w:pStyle w:val="ListParagraph"/>
        <w:rPr>
          <w:rFonts w:ascii="Tahoma" w:hAnsi="Tahoma" w:cs="Tahoma"/>
          <w:sz w:val="18"/>
          <w:szCs w:val="18"/>
        </w:rPr>
      </w:pPr>
      <w:r w:rsidRPr="00160748">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Standard, o cliente estará qualificado para usar essa nova versão no lugar da versão especificada acima.)</w:t>
      </w:r>
    </w:p>
    <w:p w:rsidR="00113634" w:rsidRPr="00160748" w:rsidRDefault="00113634" w:rsidP="00957DE8">
      <w:pPr>
        <w:pStyle w:val="ListParagraph"/>
        <w:rPr>
          <w:rFonts w:ascii="Tahoma" w:hAnsi="Tahoma" w:cs="Tahoma"/>
          <w:sz w:val="18"/>
          <w:szCs w:val="18"/>
        </w:rPr>
      </w:pPr>
    </w:p>
    <w:p w:rsidR="00113634" w:rsidRPr="00160748" w:rsidRDefault="00113634" w:rsidP="00957DE8">
      <w:pPr>
        <w:ind w:left="720"/>
        <w:rPr>
          <w:rFonts w:cs="Tahoma"/>
          <w:szCs w:val="18"/>
        </w:rPr>
      </w:pPr>
      <w:r w:rsidRPr="00160748">
        <w:rPr>
          <w:rFonts w:cs="Tahoma"/>
          <w:szCs w:val="18"/>
        </w:rPr>
        <w:t>O contrato de Licenciamento por Volume dos clientes e esta nota de condição do produto são evidências dessas licenças gratuitas.</w:t>
      </w:r>
      <w:r w:rsidR="00172F11" w:rsidRPr="00160748">
        <w:rPr>
          <w:rFonts w:cs="Tahoma"/>
          <w:szCs w:val="18"/>
        </w:rPr>
        <w:t xml:space="preserve"> </w:t>
      </w:r>
      <w:r w:rsidRPr="00160748">
        <w:rPr>
          <w:rFonts w:cs="Tahoma"/>
          <w:szCs w:val="18"/>
        </w:rPr>
        <w:t>O uso do software sob as licenças gratuitas está sujeito aos termos e condições do contrato celebrado pelos clientes e aos direitos de uso dos produtos individuais.</w:t>
      </w:r>
      <w:r w:rsidR="00172F11" w:rsidRPr="00160748">
        <w:rPr>
          <w:rFonts w:cs="Tahoma"/>
          <w:szCs w:val="18"/>
        </w:rPr>
        <w:t xml:space="preserve"> </w:t>
      </w:r>
      <w:r w:rsidRPr="00160748">
        <w:rPr>
          <w:rFonts w:cs="Tahoma"/>
          <w:szCs w:val="18"/>
        </w:rPr>
        <w:t>Salvo no caso do Forefront Protection for Exchange Server 2010, o direito de usar o software sob as licenças gratuitas expirará quando o direito de usar o software sob as licenças qualificadas expirar.</w:t>
      </w:r>
      <w:r w:rsidR="00172F11" w:rsidRPr="00160748">
        <w:rPr>
          <w:rFonts w:cs="Tahoma"/>
          <w:szCs w:val="18"/>
        </w:rPr>
        <w:t xml:space="preserve"> </w:t>
      </w:r>
      <w:r w:rsidRPr="00160748">
        <w:rPr>
          <w:rFonts w:cs="Tahoma"/>
          <w:szCs w:val="18"/>
        </w:rPr>
        <w:t>O direito de usar o Forefront Protection for Exchange Server 2010 expirará em caso de término da cobertura do Software Assurance sobre as licenças qualificadas.</w:t>
      </w:r>
      <w:r w:rsidR="00172F11" w:rsidRPr="00160748">
        <w:rPr>
          <w:rFonts w:cs="Tahoma"/>
          <w:szCs w:val="18"/>
        </w:rPr>
        <w:t xml:space="preserve"> </w:t>
      </w:r>
      <w:r w:rsidRPr="00160748">
        <w:rPr>
          <w:rFonts w:cs="Tahoma"/>
          <w:szCs w:val="18"/>
        </w:rPr>
        <w:t>Em todos os casos, as licenças gratuitas não poderão ser transferidas separadamente das licenças qualificadas.</w:t>
      </w:r>
    </w:p>
    <w:p w:rsidR="00113634" w:rsidRPr="00160748" w:rsidRDefault="00113634" w:rsidP="00E63984">
      <w:pPr>
        <w:pStyle w:val="ListParagraph"/>
        <w:ind w:left="1260"/>
        <w:rPr>
          <w:rFonts w:ascii="Tahoma" w:hAnsi="Tahoma" w:cs="Tahoma"/>
          <w:sz w:val="18"/>
          <w:szCs w:val="18"/>
        </w:rPr>
      </w:pPr>
    </w:p>
    <w:p w:rsidR="00113634" w:rsidRPr="00160748" w:rsidRDefault="00113634" w:rsidP="00957DE8">
      <w:pPr>
        <w:tabs>
          <w:tab w:val="left" w:pos="1260"/>
        </w:tabs>
        <w:ind w:left="720"/>
        <w:rPr>
          <w:rFonts w:cs="Tahoma"/>
          <w:szCs w:val="18"/>
        </w:rPr>
      </w:pPr>
      <w:r w:rsidRPr="00160748">
        <w:rPr>
          <w:rFonts w:cs="Tahoma"/>
          <w:szCs w:val="18"/>
          <w:u w:val="single"/>
        </w:rPr>
        <w:lastRenderedPageBreak/>
        <w:t xml:space="preserve">Os clientes do Licenciamento por Volume para o Windows Essential Business Server (EBS) 2008 Premium </w:t>
      </w:r>
      <w:r w:rsidRPr="00160748">
        <w:rPr>
          <w:rFonts w:cs="Tahoma"/>
          <w:szCs w:val="18"/>
        </w:rPr>
        <w:t>estarão adicionalmente qualificados para as seguintes licenças gratuitas para cada licença do EBS 2008 Premium com cobertura do Software Assurance ativa que tiverem a partir de 1° de julho de 2010:</w:t>
      </w:r>
    </w:p>
    <w:p w:rsidR="00A6493D" w:rsidRPr="00160748" w:rsidRDefault="00A6493D" w:rsidP="00E63984">
      <w:pPr>
        <w:pStyle w:val="ListParagraph"/>
        <w:ind w:left="1620"/>
        <w:contextualSpacing w:val="0"/>
        <w:rPr>
          <w:rFonts w:ascii="Tahoma" w:hAnsi="Tahoma" w:cs="Tahoma"/>
          <w:sz w:val="18"/>
          <w:szCs w:val="18"/>
        </w:rPr>
      </w:pPr>
    </w:p>
    <w:p w:rsidR="00113634" w:rsidRPr="00160748" w:rsidRDefault="00113634" w:rsidP="00346F4B">
      <w:pPr>
        <w:pStyle w:val="ListParagraph"/>
        <w:numPr>
          <w:ilvl w:val="0"/>
          <w:numId w:val="26"/>
        </w:numPr>
        <w:spacing w:after="60"/>
        <w:contextualSpacing w:val="0"/>
        <w:rPr>
          <w:rFonts w:ascii="Tahoma" w:hAnsi="Tahoma" w:cs="Tahoma"/>
          <w:sz w:val="18"/>
          <w:szCs w:val="18"/>
        </w:rPr>
      </w:pPr>
      <w:r w:rsidRPr="00160748">
        <w:rPr>
          <w:rFonts w:ascii="Tahoma" w:hAnsi="Tahoma" w:cs="Tahoma"/>
          <w:sz w:val="18"/>
          <w:szCs w:val="18"/>
        </w:rPr>
        <w:t>4 licenças de software para o Windows Server 2008 R2 Standard</w:t>
      </w:r>
    </w:p>
    <w:p w:rsidR="00113634" w:rsidRPr="00160748" w:rsidRDefault="00113634" w:rsidP="00346F4B">
      <w:pPr>
        <w:pStyle w:val="ListParagraph"/>
        <w:numPr>
          <w:ilvl w:val="0"/>
          <w:numId w:val="26"/>
        </w:numPr>
        <w:spacing w:after="60"/>
        <w:contextualSpacing w:val="0"/>
        <w:rPr>
          <w:rFonts w:ascii="Tahoma" w:hAnsi="Tahoma" w:cs="Tahoma"/>
          <w:sz w:val="18"/>
          <w:szCs w:val="18"/>
        </w:rPr>
      </w:pPr>
      <w:r w:rsidRPr="00160748">
        <w:rPr>
          <w:rFonts w:ascii="Tahoma" w:hAnsi="Tahoma" w:cs="Tahoma"/>
          <w:sz w:val="18"/>
          <w:szCs w:val="18"/>
        </w:rPr>
        <w:t>1 licença de software para o SQL Server 2008 R2 Standard</w:t>
      </w:r>
    </w:p>
    <w:p w:rsidR="00113634" w:rsidRPr="00160748" w:rsidRDefault="00113634" w:rsidP="00346F4B">
      <w:pPr>
        <w:pStyle w:val="ListParagraph"/>
        <w:numPr>
          <w:ilvl w:val="0"/>
          <w:numId w:val="26"/>
        </w:numPr>
        <w:spacing w:after="60"/>
        <w:contextualSpacing w:val="0"/>
        <w:rPr>
          <w:rFonts w:ascii="Tahoma" w:hAnsi="Tahoma" w:cs="Tahoma"/>
          <w:sz w:val="18"/>
          <w:szCs w:val="18"/>
        </w:rPr>
      </w:pPr>
      <w:r w:rsidRPr="00160748">
        <w:rPr>
          <w:rFonts w:ascii="Tahoma" w:hAnsi="Tahoma" w:cs="Tahoma"/>
          <w:sz w:val="18"/>
          <w:szCs w:val="18"/>
        </w:rPr>
        <w:t>2 licenças de software para o Exchange Server 2010 Standard</w:t>
      </w:r>
    </w:p>
    <w:p w:rsidR="00113634" w:rsidRPr="00160748" w:rsidRDefault="00113634" w:rsidP="00346F4B">
      <w:pPr>
        <w:pStyle w:val="ListParagraph"/>
        <w:numPr>
          <w:ilvl w:val="0"/>
          <w:numId w:val="26"/>
        </w:numPr>
        <w:spacing w:after="60"/>
        <w:contextualSpacing w:val="0"/>
        <w:rPr>
          <w:rFonts w:ascii="Tahoma" w:hAnsi="Tahoma" w:cs="Tahoma"/>
          <w:sz w:val="18"/>
          <w:szCs w:val="18"/>
        </w:rPr>
      </w:pPr>
      <w:r w:rsidRPr="00160748">
        <w:rPr>
          <w:rFonts w:ascii="Tahoma" w:hAnsi="Tahoma" w:cs="Tahoma"/>
          <w:sz w:val="18"/>
          <w:szCs w:val="18"/>
        </w:rPr>
        <w:t>1 licença de software para o System Center Essentials 2010 e 10 licenças de gerenciamento de</w:t>
      </w:r>
      <w:r w:rsidR="00160748">
        <w:rPr>
          <w:rFonts w:ascii="Tahoma" w:hAnsi="Tahoma" w:cs="Tahoma"/>
          <w:sz w:val="18"/>
          <w:szCs w:val="18"/>
        </w:rPr>
        <w:t> </w:t>
      </w:r>
      <w:r w:rsidRPr="00160748">
        <w:rPr>
          <w:rFonts w:ascii="Tahoma" w:hAnsi="Tahoma" w:cs="Tahoma"/>
          <w:sz w:val="18"/>
          <w:szCs w:val="18"/>
        </w:rPr>
        <w:t>Servidor e 50 de Cliente</w:t>
      </w:r>
    </w:p>
    <w:p w:rsidR="00113634" w:rsidRPr="00160748" w:rsidRDefault="00113634" w:rsidP="00346F4B">
      <w:pPr>
        <w:pStyle w:val="ListParagraph"/>
        <w:numPr>
          <w:ilvl w:val="0"/>
          <w:numId w:val="26"/>
        </w:numPr>
        <w:spacing w:after="60"/>
        <w:contextualSpacing w:val="0"/>
        <w:rPr>
          <w:rFonts w:ascii="Tahoma" w:hAnsi="Tahoma" w:cs="Tahoma"/>
          <w:sz w:val="18"/>
          <w:szCs w:val="18"/>
        </w:rPr>
      </w:pPr>
      <w:r w:rsidRPr="00160748">
        <w:rPr>
          <w:rFonts w:ascii="Tahoma" w:hAnsi="Tahoma" w:cs="Tahoma"/>
          <w:sz w:val="18"/>
          <w:szCs w:val="18"/>
        </w:rPr>
        <w:t>1 licença de software para o Forefront Threat Management Gateway Medium Business 2010</w:t>
      </w:r>
    </w:p>
    <w:p w:rsidR="00113634" w:rsidRPr="00160748" w:rsidRDefault="00113634" w:rsidP="00E63984">
      <w:pPr>
        <w:pStyle w:val="ListParagraph"/>
        <w:ind w:left="1620"/>
        <w:rPr>
          <w:rFonts w:ascii="Tahoma" w:hAnsi="Tahoma" w:cs="Tahoma"/>
          <w:sz w:val="18"/>
          <w:szCs w:val="18"/>
        </w:rPr>
      </w:pPr>
    </w:p>
    <w:p w:rsidR="00113634" w:rsidRPr="00160748" w:rsidRDefault="00113634" w:rsidP="00957DE8">
      <w:pPr>
        <w:pStyle w:val="ListParagraph"/>
        <w:rPr>
          <w:rFonts w:ascii="Tahoma" w:hAnsi="Tahoma" w:cs="Tahoma"/>
          <w:sz w:val="18"/>
          <w:szCs w:val="18"/>
        </w:rPr>
      </w:pPr>
      <w:r w:rsidRPr="00160748">
        <w:rPr>
          <w:rFonts w:ascii="Tahoma" w:hAnsi="Tahoma" w:cs="Tahoma"/>
          <w:sz w:val="18"/>
          <w:szCs w:val="18"/>
        </w:rPr>
        <w:t>(Se uma nova versão de qualquer um dos produtos acima estiver disponível sob o Programa de Licenciamento por Volume sob o qual um cliente adquiriu as licenças qualificadas antes do término da cobertura do Software Assurance ativa para a licença do EBS 2008 Premium, o cliente estará qualificado para usar essa nova versão no lugar da versão especificada acima.)</w:t>
      </w:r>
    </w:p>
    <w:p w:rsidR="00113634" w:rsidRPr="00160748" w:rsidRDefault="00113634" w:rsidP="00EF2279">
      <w:pPr>
        <w:pStyle w:val="ListParagraph"/>
        <w:ind w:left="1260"/>
        <w:rPr>
          <w:rFonts w:ascii="Tahoma" w:hAnsi="Tahoma" w:cs="Tahoma"/>
          <w:sz w:val="18"/>
          <w:szCs w:val="18"/>
        </w:rPr>
      </w:pPr>
    </w:p>
    <w:p w:rsidR="00113634" w:rsidRPr="00160748" w:rsidRDefault="00113634" w:rsidP="00957DE8">
      <w:pPr>
        <w:ind w:left="720"/>
        <w:rPr>
          <w:rFonts w:cs="Tahoma"/>
          <w:szCs w:val="18"/>
        </w:rPr>
      </w:pPr>
      <w:r w:rsidRPr="00160748">
        <w:rPr>
          <w:rFonts w:cs="Tahoma"/>
          <w:szCs w:val="18"/>
        </w:rPr>
        <w:t>O contrato de Licenciamento por Volume dos clientes e esta nota de condição do produto são evidências dessas licenças gratuitas.</w:t>
      </w:r>
      <w:r w:rsidR="00172F11" w:rsidRPr="00160748">
        <w:rPr>
          <w:rFonts w:cs="Tahoma"/>
          <w:szCs w:val="18"/>
        </w:rPr>
        <w:t xml:space="preserve"> </w:t>
      </w:r>
      <w:r w:rsidRPr="00160748">
        <w:rPr>
          <w:rFonts w:cs="Tahoma"/>
          <w:szCs w:val="18"/>
        </w:rPr>
        <w:t>O uso do software sob as licenças gratuitas está sujeito aos termos e condições do contrato celebrado pelos clientes e aos direitos de uso dos produtos individuais.</w:t>
      </w:r>
      <w:r w:rsidR="00172F11" w:rsidRPr="00160748">
        <w:rPr>
          <w:rFonts w:cs="Tahoma"/>
          <w:szCs w:val="18"/>
        </w:rPr>
        <w:t xml:space="preserve"> </w:t>
      </w:r>
      <w:r w:rsidRPr="00160748">
        <w:rPr>
          <w:rFonts w:cs="Tahoma"/>
          <w:szCs w:val="18"/>
        </w:rPr>
        <w:t>Salvo no caso do Forefront Protection for Exchange Server 2010, o direito de usar o software sob as licenças gratuitas expirará quando o direito de usar o software sob as licenças qualificadas expirar.</w:t>
      </w:r>
      <w:r w:rsidR="00172F11" w:rsidRPr="00160748">
        <w:rPr>
          <w:rFonts w:cs="Tahoma"/>
          <w:szCs w:val="18"/>
        </w:rPr>
        <w:t xml:space="preserve"> </w:t>
      </w:r>
      <w:r w:rsidRPr="00160748">
        <w:rPr>
          <w:rFonts w:cs="Tahoma"/>
          <w:szCs w:val="18"/>
        </w:rPr>
        <w:t>O direito de usar o Forefront Protection for Exchange Server 2010 expirará em caso de término da cobertura do Software Assurance sobre as licenças qualificadas.</w:t>
      </w:r>
      <w:r w:rsidR="00172F11" w:rsidRPr="00160748">
        <w:rPr>
          <w:rFonts w:cs="Tahoma"/>
          <w:szCs w:val="18"/>
        </w:rPr>
        <w:t xml:space="preserve"> </w:t>
      </w:r>
      <w:r w:rsidRPr="00160748">
        <w:rPr>
          <w:rFonts w:cs="Tahoma"/>
          <w:szCs w:val="18"/>
        </w:rPr>
        <w:t>Em todos os casos, as licenças gratuitas não poderão ser transferidas separadamente das licenças qualificadas.</w:t>
      </w:r>
    </w:p>
    <w:p w:rsidR="00C41189" w:rsidRPr="004B208C" w:rsidRDefault="00C41189">
      <w:pPr>
        <w:rPr>
          <w:rFonts w:cs="Tahoma"/>
        </w:rPr>
      </w:pPr>
    </w:p>
    <w:p w:rsidR="00113634" w:rsidRPr="004B208C" w:rsidRDefault="00113634" w:rsidP="00957DE8">
      <w:pPr>
        <w:pStyle w:val="ListParagraph"/>
        <w:spacing w:after="60"/>
        <w:contextualSpacing w:val="0"/>
        <w:rPr>
          <w:rFonts w:ascii="Tahoma" w:hAnsi="Tahoma" w:cs="Tahoma"/>
        </w:rPr>
      </w:pPr>
      <w:r w:rsidRPr="004B208C">
        <w:rPr>
          <w:rFonts w:ascii="Tahoma" w:hAnsi="Tahoma" w:cs="Tahoma"/>
          <w:b/>
          <w:sz w:val="18"/>
          <w:szCs w:val="18"/>
        </w:rPr>
        <w:t>Direitos de uso adicionais para CALs do Windows Essential Business Server (EBS) 2008</w:t>
      </w:r>
    </w:p>
    <w:p w:rsidR="00113634" w:rsidRPr="004B208C" w:rsidRDefault="00113634" w:rsidP="00957DE8">
      <w:pPr>
        <w:ind w:left="720"/>
        <w:rPr>
          <w:rFonts w:cs="Tahoma"/>
        </w:rPr>
      </w:pPr>
      <w:r w:rsidRPr="004B208C">
        <w:rPr>
          <w:rFonts w:cs="Tahoma"/>
          <w:szCs w:val="18"/>
        </w:rPr>
        <w:t>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rsidR="00113634" w:rsidRPr="004B208C" w:rsidRDefault="00113634" w:rsidP="00EF2279">
      <w:pPr>
        <w:tabs>
          <w:tab w:val="left" w:pos="1260"/>
        </w:tabs>
        <w:ind w:left="1260"/>
        <w:rPr>
          <w:rFonts w:cs="Tahoma"/>
        </w:rPr>
      </w:pPr>
    </w:p>
    <w:p w:rsidR="00113634" w:rsidRPr="004B208C" w:rsidRDefault="00113634" w:rsidP="00957DE8">
      <w:pPr>
        <w:tabs>
          <w:tab w:val="left" w:pos="1260"/>
        </w:tabs>
        <w:ind w:left="720"/>
        <w:rPr>
          <w:rFonts w:cs="Tahoma"/>
        </w:rPr>
      </w:pPr>
      <w:r w:rsidRPr="004B208C">
        <w:rPr>
          <w:rFonts w:cs="Tahoma"/>
          <w:szCs w:val="18"/>
        </w:rPr>
        <w:t>Para clientes com CALs do Windows Essential Business Server (EBS) 2008 com cobertura do Software Assurance ativa a partir de 1</w:t>
      </w:r>
      <w:r w:rsidRPr="004B208C">
        <w:rPr>
          <w:rFonts w:cs="Tahoma"/>
          <w:szCs w:val="18"/>
          <w:vertAlign w:val="superscript"/>
        </w:rPr>
        <w:t>°</w:t>
      </w:r>
      <w:r w:rsidRPr="004B208C">
        <w:rPr>
          <w:rFonts w:cs="Tahoma"/>
          <w:szCs w:val="18"/>
        </w:rPr>
        <w:t xml:space="preserve"> de julho de 2010:</w:t>
      </w:r>
    </w:p>
    <w:p w:rsidR="00A6493D" w:rsidRPr="00160748" w:rsidRDefault="00A6493D" w:rsidP="00EF2279">
      <w:pPr>
        <w:pStyle w:val="ListParagraph"/>
        <w:tabs>
          <w:tab w:val="left" w:pos="1260"/>
        </w:tabs>
        <w:ind w:left="1260"/>
        <w:contextualSpacing w:val="0"/>
        <w:rPr>
          <w:rFonts w:ascii="Tahoma" w:hAnsi="Tahoma" w:cs="Tahoma"/>
          <w:sz w:val="18"/>
          <w:szCs w:val="18"/>
        </w:rPr>
      </w:pPr>
    </w:p>
    <w:p w:rsidR="00113634" w:rsidRPr="00160748" w:rsidRDefault="00113634" w:rsidP="00A1385C">
      <w:pPr>
        <w:pStyle w:val="ListParagraph"/>
        <w:numPr>
          <w:ilvl w:val="0"/>
          <w:numId w:val="115"/>
        </w:numPr>
        <w:tabs>
          <w:tab w:val="left" w:pos="1440"/>
        </w:tabs>
        <w:spacing w:after="60"/>
        <w:contextualSpacing w:val="0"/>
        <w:rPr>
          <w:rFonts w:ascii="Tahoma" w:hAnsi="Tahoma" w:cs="Tahoma"/>
          <w:sz w:val="18"/>
          <w:szCs w:val="18"/>
        </w:rPr>
      </w:pPr>
      <w:r w:rsidRPr="00160748">
        <w:rPr>
          <w:rFonts w:ascii="Tahoma" w:hAnsi="Tahoma" w:cs="Tahoma"/>
          <w:sz w:val="18"/>
          <w:szCs w:val="18"/>
        </w:rPr>
        <w:t>Para cada EBS 2008 CAL Suite com cobertura do Software Assurance ativa a partir de 1</w:t>
      </w:r>
      <w:r w:rsidRPr="00160748">
        <w:rPr>
          <w:rFonts w:ascii="Tahoma" w:hAnsi="Tahoma" w:cs="Tahoma"/>
          <w:sz w:val="18"/>
          <w:szCs w:val="18"/>
          <w:vertAlign w:val="superscript"/>
        </w:rPr>
        <w:t>°</w:t>
      </w:r>
      <w:r w:rsidRPr="00160748">
        <w:rPr>
          <w:rFonts w:ascii="Tahoma" w:hAnsi="Tahoma" w:cs="Tahoma"/>
          <w:sz w:val="18"/>
          <w:szCs w:val="18"/>
        </w:rPr>
        <w:t xml:space="preserve"> de julho de 2010 que tiver, o cliente estará qualificado para as seguintes licenças gratuitas:</w:t>
      </w:r>
    </w:p>
    <w:p w:rsidR="00113634" w:rsidRPr="00160748" w:rsidRDefault="00113634" w:rsidP="00A1385C">
      <w:pPr>
        <w:pStyle w:val="ListParagraph"/>
        <w:numPr>
          <w:ilvl w:val="1"/>
          <w:numId w:val="116"/>
        </w:numPr>
        <w:tabs>
          <w:tab w:val="clear" w:pos="720"/>
        </w:tabs>
        <w:spacing w:after="60"/>
        <w:ind w:left="1980"/>
        <w:contextualSpacing w:val="0"/>
        <w:rPr>
          <w:rFonts w:ascii="Tahoma" w:hAnsi="Tahoma" w:cs="Tahoma"/>
          <w:sz w:val="18"/>
          <w:szCs w:val="18"/>
        </w:rPr>
      </w:pPr>
      <w:r w:rsidRPr="00160748">
        <w:rPr>
          <w:rFonts w:ascii="Tahoma" w:hAnsi="Tahoma" w:cs="Tahoma"/>
          <w:sz w:val="18"/>
          <w:szCs w:val="18"/>
        </w:rPr>
        <w:t>1 CAL do Windows Server 2008</w:t>
      </w:r>
    </w:p>
    <w:p w:rsidR="00113634" w:rsidRPr="00160748" w:rsidRDefault="00113634" w:rsidP="00A1385C">
      <w:pPr>
        <w:pStyle w:val="ListParagraph"/>
        <w:numPr>
          <w:ilvl w:val="1"/>
          <w:numId w:val="116"/>
        </w:numPr>
        <w:tabs>
          <w:tab w:val="clear" w:pos="720"/>
        </w:tabs>
        <w:spacing w:after="60"/>
        <w:ind w:left="1980"/>
        <w:contextualSpacing w:val="0"/>
        <w:rPr>
          <w:rFonts w:ascii="Tahoma" w:hAnsi="Tahoma" w:cs="Tahoma"/>
          <w:sz w:val="18"/>
          <w:szCs w:val="18"/>
        </w:rPr>
      </w:pPr>
      <w:r w:rsidRPr="00160748">
        <w:rPr>
          <w:rFonts w:ascii="Tahoma" w:hAnsi="Tahoma" w:cs="Tahoma"/>
          <w:sz w:val="18"/>
          <w:szCs w:val="18"/>
        </w:rPr>
        <w:t>1 CAL do Exchange Server 2010 Standard</w:t>
      </w:r>
    </w:p>
    <w:p w:rsidR="00113634" w:rsidRPr="00160748" w:rsidRDefault="00113634" w:rsidP="00A1385C">
      <w:pPr>
        <w:pStyle w:val="ListParagraph"/>
        <w:numPr>
          <w:ilvl w:val="1"/>
          <w:numId w:val="116"/>
        </w:numPr>
        <w:tabs>
          <w:tab w:val="clear" w:pos="720"/>
        </w:tabs>
        <w:spacing w:after="60"/>
        <w:ind w:left="1980"/>
        <w:contextualSpacing w:val="0"/>
        <w:rPr>
          <w:rFonts w:ascii="Tahoma" w:hAnsi="Tahoma" w:cs="Tahoma"/>
          <w:sz w:val="18"/>
          <w:szCs w:val="18"/>
        </w:rPr>
      </w:pPr>
      <w:r w:rsidRPr="00160748">
        <w:rPr>
          <w:rFonts w:ascii="Tahoma" w:hAnsi="Tahoma" w:cs="Tahoma"/>
          <w:sz w:val="18"/>
          <w:szCs w:val="18"/>
        </w:rPr>
        <w:t>1 licença de assinatura de dispositivo ou usuário para o Forefront Protection for Exchange Server 2010</w:t>
      </w:r>
    </w:p>
    <w:p w:rsidR="00A6493D" w:rsidRPr="00160748" w:rsidRDefault="00A6493D" w:rsidP="00A434A4">
      <w:pPr>
        <w:pStyle w:val="ListParagraph"/>
        <w:tabs>
          <w:tab w:val="num" w:pos="1800"/>
        </w:tabs>
        <w:spacing w:after="60"/>
        <w:ind w:left="1800"/>
        <w:contextualSpacing w:val="0"/>
        <w:rPr>
          <w:rFonts w:ascii="Tahoma" w:hAnsi="Tahoma" w:cs="Tahoma"/>
          <w:sz w:val="18"/>
          <w:szCs w:val="18"/>
        </w:rPr>
      </w:pPr>
    </w:p>
    <w:p w:rsidR="00113634" w:rsidRPr="00160748" w:rsidRDefault="00113634" w:rsidP="00A1385C">
      <w:pPr>
        <w:pStyle w:val="ListParagraph"/>
        <w:numPr>
          <w:ilvl w:val="0"/>
          <w:numId w:val="115"/>
        </w:numPr>
        <w:tabs>
          <w:tab w:val="left" w:pos="1440"/>
        </w:tabs>
        <w:spacing w:after="60"/>
        <w:contextualSpacing w:val="0"/>
        <w:rPr>
          <w:rFonts w:ascii="Tahoma" w:hAnsi="Tahoma" w:cs="Tahoma"/>
          <w:sz w:val="18"/>
          <w:szCs w:val="18"/>
        </w:rPr>
      </w:pPr>
      <w:r w:rsidRPr="00160748">
        <w:rPr>
          <w:rFonts w:ascii="Tahoma" w:hAnsi="Tahoma" w:cs="Tahoma"/>
          <w:sz w:val="18"/>
          <w:szCs w:val="18"/>
        </w:rPr>
        <w:t>Para cada EBS 2008 CAL Suite para Usuários e Dispositivos Premium com cobertura do Software Assurance ativa a partir de 1° de julho de 2010 que tiver, o cliente estará qualificado para as seguintes licenças gratuitas:</w:t>
      </w:r>
    </w:p>
    <w:p w:rsidR="00113634" w:rsidRPr="00160748" w:rsidRDefault="00113634" w:rsidP="00A1385C">
      <w:pPr>
        <w:pStyle w:val="ListParagraph"/>
        <w:numPr>
          <w:ilvl w:val="1"/>
          <w:numId w:val="116"/>
        </w:numPr>
        <w:tabs>
          <w:tab w:val="clear" w:pos="720"/>
        </w:tabs>
        <w:spacing w:after="60"/>
        <w:ind w:left="1980"/>
        <w:contextualSpacing w:val="0"/>
        <w:rPr>
          <w:rFonts w:ascii="Tahoma" w:hAnsi="Tahoma" w:cs="Tahoma"/>
          <w:sz w:val="18"/>
          <w:szCs w:val="18"/>
        </w:rPr>
      </w:pPr>
      <w:r w:rsidRPr="00160748">
        <w:rPr>
          <w:rFonts w:ascii="Tahoma" w:hAnsi="Tahoma" w:cs="Tahoma"/>
          <w:sz w:val="18"/>
          <w:szCs w:val="18"/>
        </w:rPr>
        <w:t>CAL do Windows Server 2008</w:t>
      </w:r>
    </w:p>
    <w:p w:rsidR="00113634" w:rsidRPr="00160748" w:rsidRDefault="00113634" w:rsidP="00A1385C">
      <w:pPr>
        <w:pStyle w:val="ListParagraph"/>
        <w:numPr>
          <w:ilvl w:val="1"/>
          <w:numId w:val="116"/>
        </w:numPr>
        <w:tabs>
          <w:tab w:val="clear" w:pos="720"/>
        </w:tabs>
        <w:spacing w:after="60"/>
        <w:ind w:left="1980"/>
        <w:contextualSpacing w:val="0"/>
        <w:rPr>
          <w:rFonts w:ascii="Tahoma" w:hAnsi="Tahoma" w:cs="Tahoma"/>
          <w:sz w:val="18"/>
          <w:szCs w:val="18"/>
        </w:rPr>
      </w:pPr>
      <w:r w:rsidRPr="00160748">
        <w:rPr>
          <w:rFonts w:ascii="Tahoma" w:hAnsi="Tahoma" w:cs="Tahoma"/>
          <w:sz w:val="18"/>
          <w:szCs w:val="18"/>
        </w:rPr>
        <w:t>CAL do Exchange Server 2010 Standard</w:t>
      </w:r>
    </w:p>
    <w:p w:rsidR="002512D3" w:rsidRPr="00160748" w:rsidRDefault="00113634" w:rsidP="00A1385C">
      <w:pPr>
        <w:pStyle w:val="ListParagraph"/>
        <w:numPr>
          <w:ilvl w:val="1"/>
          <w:numId w:val="116"/>
        </w:numPr>
        <w:tabs>
          <w:tab w:val="clear" w:pos="720"/>
        </w:tabs>
        <w:spacing w:after="60"/>
        <w:ind w:left="1980"/>
        <w:contextualSpacing w:val="0"/>
        <w:rPr>
          <w:rFonts w:ascii="Tahoma" w:hAnsi="Tahoma" w:cs="Tahoma"/>
          <w:sz w:val="18"/>
          <w:szCs w:val="18"/>
        </w:rPr>
      </w:pPr>
      <w:r w:rsidRPr="00160748">
        <w:rPr>
          <w:rFonts w:ascii="Tahoma" w:hAnsi="Tahoma" w:cs="Tahoma"/>
          <w:sz w:val="18"/>
          <w:szCs w:val="18"/>
        </w:rPr>
        <w:t>CAL do SQL Server 2008 R2</w:t>
      </w:r>
    </w:p>
    <w:p w:rsidR="00113634" w:rsidRDefault="00113634" w:rsidP="00A1385C">
      <w:pPr>
        <w:pStyle w:val="ListParagraph"/>
        <w:numPr>
          <w:ilvl w:val="1"/>
          <w:numId w:val="116"/>
        </w:numPr>
        <w:tabs>
          <w:tab w:val="clear" w:pos="720"/>
        </w:tabs>
        <w:spacing w:after="60"/>
        <w:ind w:left="1980"/>
        <w:contextualSpacing w:val="0"/>
        <w:rPr>
          <w:rFonts w:ascii="Tahoma" w:hAnsi="Tahoma" w:cs="Tahoma"/>
          <w:sz w:val="18"/>
          <w:szCs w:val="18"/>
        </w:rPr>
      </w:pPr>
      <w:r w:rsidRPr="00160748">
        <w:rPr>
          <w:rFonts w:ascii="Tahoma" w:hAnsi="Tahoma" w:cs="Tahoma"/>
          <w:sz w:val="18"/>
          <w:szCs w:val="18"/>
        </w:rPr>
        <w:t>1 licença de assinatura de dispositivo ou usuário para o Forefront Protection for Exchange Server 2010</w:t>
      </w:r>
    </w:p>
    <w:p w:rsidR="00160748" w:rsidRPr="00160748" w:rsidRDefault="00160748" w:rsidP="00160748">
      <w:pPr>
        <w:pStyle w:val="ListParagraph"/>
        <w:spacing w:after="60"/>
        <w:ind w:left="1980"/>
        <w:contextualSpacing w:val="0"/>
        <w:rPr>
          <w:rFonts w:ascii="Tahoma" w:hAnsi="Tahoma" w:cs="Tahoma"/>
          <w:sz w:val="18"/>
          <w:szCs w:val="18"/>
        </w:rPr>
      </w:pPr>
    </w:p>
    <w:p w:rsidR="00113634" w:rsidRPr="00160748" w:rsidRDefault="00113634" w:rsidP="00A434A4">
      <w:pPr>
        <w:pStyle w:val="ListParagraph"/>
        <w:spacing w:after="60"/>
        <w:ind w:left="1980"/>
        <w:contextualSpacing w:val="0"/>
        <w:rPr>
          <w:rFonts w:ascii="Tahoma" w:hAnsi="Tahoma" w:cs="Tahoma"/>
          <w:sz w:val="18"/>
          <w:szCs w:val="18"/>
        </w:rPr>
      </w:pPr>
      <w:r w:rsidRPr="00160748">
        <w:rPr>
          <w:rFonts w:ascii="Tahoma" w:hAnsi="Tahoma" w:cs="Tahoma"/>
          <w:sz w:val="18"/>
          <w:szCs w:val="18"/>
        </w:rPr>
        <w:lastRenderedPageBreak/>
        <w:t>(Se uma nova versão desses produtos estiver disponível sob o Programa de Licenciamento por Volume sob o qual um cliente adquiriu as licenças qualificadas antes do término da cobertura do Software Assurance ativa para a CAL do EBS 2008 qualificada, o cliente estará qualificado para CALs correspondentes a essa nova versão.)</w:t>
      </w:r>
    </w:p>
    <w:p w:rsidR="00113634" w:rsidRPr="004B208C" w:rsidRDefault="00113634" w:rsidP="00113634">
      <w:pPr>
        <w:rPr>
          <w:rFonts w:cs="Tahoma"/>
        </w:rPr>
      </w:pPr>
    </w:p>
    <w:p w:rsidR="001E3F07" w:rsidRPr="004B208C" w:rsidRDefault="00113634" w:rsidP="00A434A4">
      <w:pPr>
        <w:ind w:left="720"/>
        <w:rPr>
          <w:rFonts w:cs="Tahoma"/>
        </w:rPr>
      </w:pPr>
      <w:r w:rsidRPr="004B208C">
        <w:rPr>
          <w:rFonts w:cs="Tahoma"/>
          <w:szCs w:val="18"/>
        </w:rPr>
        <w:t>O contrato de Licenciamento por Volume dos clientes e esta nota de condição do produto são evidências dessas CALs gratuitas.</w:t>
      </w:r>
      <w:r w:rsidR="00172F11">
        <w:rPr>
          <w:rFonts w:cs="Tahoma"/>
          <w:szCs w:val="18"/>
        </w:rPr>
        <w:t xml:space="preserve"> </w:t>
      </w:r>
      <w:r w:rsidRPr="004B208C">
        <w:rPr>
          <w:rFonts w:cs="Tahoma"/>
          <w:szCs w:val="18"/>
        </w:rPr>
        <w:t>O uso do software sob as CALs gratuitas está sujeito aos termos e condições do contrato celebrado pelos clientes e aos direitos de uso dos produtos individuais.</w:t>
      </w:r>
      <w:r w:rsidR="00172F11">
        <w:rPr>
          <w:rFonts w:cs="Tahoma"/>
          <w:szCs w:val="18"/>
        </w:rPr>
        <w:t xml:space="preserve"> </w:t>
      </w:r>
      <w:r w:rsidRPr="004B208C">
        <w:rPr>
          <w:rFonts w:cs="Tahoma"/>
          <w:szCs w:val="18"/>
        </w:rPr>
        <w:t>O direito de usar o software sob as CALs gratuitas expirará quando o direito de usar o software sob as CALs qualificadas expirar.</w:t>
      </w:r>
      <w:r w:rsidR="00172F11">
        <w:rPr>
          <w:rFonts w:cs="Tahoma"/>
          <w:szCs w:val="18"/>
        </w:rPr>
        <w:t xml:space="preserve"> </w:t>
      </w:r>
      <w:r w:rsidRPr="004B208C">
        <w:rPr>
          <w:rFonts w:cs="Tahoma"/>
          <w:szCs w:val="18"/>
        </w:rPr>
        <w:t>Em todos os casos, as CALs gratuitas não poderão ser transferidas separadamente das CALs qualificadas.</w:t>
      </w:r>
      <w:bookmarkStart w:id="1532" w:name="_107_Windows_Azure"/>
      <w:bookmarkEnd w:id="1532"/>
    </w:p>
    <w:p w:rsidR="00113634" w:rsidRPr="004B208C" w:rsidRDefault="00113634" w:rsidP="00113634">
      <w:pPr>
        <w:rPr>
          <w:rFonts w:cs="Tahoma"/>
        </w:rPr>
      </w:pPr>
    </w:p>
    <w:p w:rsidR="00DE0D10" w:rsidRPr="004B208C" w:rsidRDefault="00DE0D10" w:rsidP="00957DE8">
      <w:pPr>
        <w:rPr>
          <w:rFonts w:cs="Tahoma"/>
        </w:rPr>
      </w:pPr>
    </w:p>
    <w:p w:rsidR="00023FE7" w:rsidRPr="004B208C" w:rsidRDefault="00A560B6" w:rsidP="00EF2279">
      <w:pPr>
        <w:pStyle w:val="Heading3"/>
        <w:rPr>
          <w:rFonts w:ascii="Tahoma" w:hAnsi="Tahoma" w:cs="Tahoma"/>
        </w:rPr>
      </w:pPr>
      <w:bookmarkStart w:id="1533" w:name="_104_Windows_HPC"/>
      <w:bookmarkStart w:id="1534" w:name="Srv_109HPCServer2008_R2Suite"/>
      <w:bookmarkStart w:id="1535" w:name="_Toc336338365"/>
      <w:bookmarkStart w:id="1536" w:name="Srv_96WindowsHighPerfCompSvr08"/>
      <w:bookmarkStart w:id="1537" w:name="Srv_94HPCServer2008_R2Suite"/>
      <w:bookmarkStart w:id="1538" w:name="Srv_106HPCServer2008_R2Suite"/>
      <w:bookmarkStart w:id="1539" w:name="_Toc370981477"/>
      <w:bookmarkEnd w:id="1533"/>
      <w:r w:rsidRPr="004B208C">
        <w:rPr>
          <w:rFonts w:ascii="Tahoma" w:hAnsi="Tahoma" w:cs="Tahoma"/>
          <w:caps/>
          <w:color w:val="F66400"/>
          <w:sz w:val="22"/>
          <w:vertAlign w:val="superscript"/>
        </w:rPr>
        <w:t xml:space="preserve">103 </w:t>
      </w:r>
      <w:r w:rsidRPr="004B208C">
        <w:rPr>
          <w:rFonts w:ascii="Tahoma" w:hAnsi="Tahoma" w:cs="Tahoma"/>
          <w:color w:val="F66400"/>
          <w:sz w:val="22"/>
        </w:rPr>
        <w:t>Windows HPC Server 2008 R2 Suite</w:t>
      </w:r>
      <w:bookmarkEnd w:id="1534"/>
      <w:bookmarkEnd w:id="1535"/>
      <w:bookmarkEnd w:id="1539"/>
    </w:p>
    <w:bookmarkEnd w:id="1536"/>
    <w:bookmarkEnd w:id="1537"/>
    <w:bookmarkEnd w:id="1538"/>
    <w:p w:rsidR="00023FE7" w:rsidRPr="009803C5" w:rsidRDefault="00023FE7" w:rsidP="00A434A4">
      <w:pPr>
        <w:pStyle w:val="EndnoteText"/>
        <w:rPr>
          <w:rFonts w:ascii="Tahoma" w:hAnsi="Tahoma" w:cs="Tahoma"/>
          <w:sz w:val="18"/>
          <w:szCs w:val="18"/>
        </w:rPr>
      </w:pPr>
    </w:p>
    <w:p w:rsidR="00A434A4" w:rsidRPr="004B208C" w:rsidRDefault="001978C7" w:rsidP="00A434A4">
      <w:pPr>
        <w:spacing w:after="60"/>
        <w:ind w:left="720"/>
        <w:rPr>
          <w:rFonts w:cs="Tahoma"/>
        </w:rPr>
      </w:pPr>
      <w:r w:rsidRPr="004B208C">
        <w:rPr>
          <w:rFonts w:cs="Tahoma"/>
          <w:b/>
          <w:color w:val="000000"/>
        </w:rPr>
        <w:t>Outorgas de licença associadas ao término da validade da edição do HPC Server Suite</w:t>
      </w:r>
    </w:p>
    <w:p w:rsidR="001978C7" w:rsidRPr="004B208C" w:rsidRDefault="001978C7" w:rsidP="00A434A4">
      <w:pPr>
        <w:ind w:left="720"/>
        <w:rPr>
          <w:rFonts w:cs="Tahoma"/>
        </w:rPr>
      </w:pPr>
      <w:r w:rsidRPr="004B208C">
        <w:rPr>
          <w:rFonts w:cs="Tahoma"/>
          <w:color w:val="000000"/>
        </w:rPr>
        <w:t>O HPC Server Suite 2008 R2 será a última versão do HPC Server Suite. Os clientes de Licenciamento por Volume com Software Assurance ativo para licenças do HPC Server Suite em 1º de setembro de 2012 ou a</w:t>
      </w:r>
      <w:r w:rsidR="00160748">
        <w:rPr>
          <w:rFonts w:cs="Tahoma"/>
          <w:color w:val="000000"/>
        </w:rPr>
        <w:t> </w:t>
      </w:r>
      <w:r w:rsidRPr="004B208C">
        <w:rPr>
          <w:rFonts w:cs="Tahoma"/>
          <w:color w:val="000000"/>
        </w:rPr>
        <w:t>partir da data da primeira disponibilização do Windows Server 2012 para download no Volume Licensing Service Center (Centro de Atendimento de Licenciamento por Volume), o que ocorrer primeiro, (“Licenças Qualificadas”) poderão</w:t>
      </w:r>
      <w:r w:rsidRPr="004B208C">
        <w:rPr>
          <w:rFonts w:eastAsia="Calibri" w:cs="Tahoma"/>
          <w:szCs w:val="18"/>
        </w:rPr>
        <w:t xml:space="preserve"> atualizar para e usar o software Windows Server 2012 Standard em vez do HPC Server Suite. Para facilitar essa atualização, para cada Licença Qualificada que o cliente possui, ele terá uma</w:t>
      </w:r>
      <w:r w:rsidR="00160748">
        <w:rPr>
          <w:rFonts w:eastAsia="Calibri" w:cs="Tahoma"/>
          <w:szCs w:val="18"/>
        </w:rPr>
        <w:t> </w:t>
      </w:r>
      <w:r w:rsidRPr="004B208C">
        <w:rPr>
          <w:rFonts w:eastAsia="Calibri" w:cs="Tahoma"/>
          <w:szCs w:val="18"/>
        </w:rPr>
        <w:t>licença do processador Windows Server 2012 Standard mediante a disponibilização do Windows Server</w:t>
      </w:r>
      <w:r w:rsidR="00160748">
        <w:rPr>
          <w:rFonts w:eastAsia="Calibri" w:cs="Tahoma"/>
          <w:szCs w:val="18"/>
        </w:rPr>
        <w:t> </w:t>
      </w:r>
      <w:r w:rsidRPr="004B208C">
        <w:rPr>
          <w:rFonts w:eastAsia="Calibri" w:cs="Tahoma"/>
          <w:szCs w:val="18"/>
        </w:rPr>
        <w:t>2012.</w:t>
      </w:r>
    </w:p>
    <w:p w:rsidR="00A434A4" w:rsidRPr="004B208C" w:rsidRDefault="00A434A4" w:rsidP="00A434A4">
      <w:pPr>
        <w:ind w:left="720"/>
        <w:rPr>
          <w:rFonts w:cs="Tahoma"/>
        </w:rPr>
      </w:pPr>
    </w:p>
    <w:p w:rsidR="001978C7" w:rsidRPr="004B208C" w:rsidRDefault="001978C7" w:rsidP="00A1385C">
      <w:pPr>
        <w:numPr>
          <w:ilvl w:val="0"/>
          <w:numId w:val="50"/>
        </w:numPr>
        <w:tabs>
          <w:tab w:val="left" w:pos="1440"/>
        </w:tabs>
        <w:spacing w:after="60"/>
        <w:ind w:left="1440"/>
        <w:rPr>
          <w:rFonts w:cs="Tahoma"/>
        </w:rPr>
      </w:pPr>
      <w:r w:rsidRPr="004B208C">
        <w:rPr>
          <w:rFonts w:eastAsia="Calibri" w:cs="Tahoma"/>
          <w:szCs w:val="18"/>
        </w:rPr>
        <w:t>As licenças adquiridas sob esta concessão incluirão cobertura do Software Assurance.</w:t>
      </w:r>
      <w:r w:rsidR="00172F11">
        <w:rPr>
          <w:rFonts w:eastAsia="Calibri" w:cs="Tahoma"/>
          <w:szCs w:val="18"/>
        </w:rPr>
        <w:t xml:space="preserve"> </w:t>
      </w:r>
      <w:r w:rsidRPr="004B208C">
        <w:rPr>
          <w:rFonts w:eastAsia="Calibri" w:cs="Tahoma"/>
          <w:szCs w:val="18"/>
        </w:rPr>
        <w:t>Tal cobertura expira quando a cobertura correspondente nas Licenças Qualificadas expirar.</w:t>
      </w:r>
    </w:p>
    <w:p w:rsidR="001978C7" w:rsidRPr="004B208C" w:rsidRDefault="001978C7" w:rsidP="00A1385C">
      <w:pPr>
        <w:numPr>
          <w:ilvl w:val="0"/>
          <w:numId w:val="50"/>
        </w:numPr>
        <w:tabs>
          <w:tab w:val="left" w:pos="1440"/>
        </w:tabs>
        <w:spacing w:after="60"/>
        <w:ind w:left="1440"/>
        <w:rPr>
          <w:rFonts w:cs="Tahoma"/>
        </w:rPr>
      </w:pPr>
      <w:r w:rsidRPr="004B208C">
        <w:rPr>
          <w:rFonts w:eastAsia="Calibri" w:cs="Tahoma"/>
          <w:szCs w:val="18"/>
        </w:rPr>
        <w:t>Se os clientes adquiriram direitos perpétuos para usar o software sob as Licenças Qualificadas, as</w:t>
      </w:r>
      <w:r w:rsidR="00C84F74">
        <w:rPr>
          <w:rFonts w:eastAsia="Calibri" w:cs="Tahoma"/>
          <w:szCs w:val="18"/>
        </w:rPr>
        <w:t> </w:t>
      </w:r>
      <w:r w:rsidRPr="004B208C">
        <w:rPr>
          <w:rFonts w:eastAsia="Calibri" w:cs="Tahoma"/>
          <w:szCs w:val="18"/>
        </w:rPr>
        <w:t>licenças adquiridas sob essa concessão serão também perpétuas; caso contrário, as licenças adquiridas sob essa concessão expirarão quando as Licenças Qualificadas subjacentes expirarem.</w:t>
      </w:r>
    </w:p>
    <w:p w:rsidR="001978C7" w:rsidRPr="004B208C" w:rsidRDefault="001978C7" w:rsidP="00A1385C">
      <w:pPr>
        <w:numPr>
          <w:ilvl w:val="0"/>
          <w:numId w:val="50"/>
        </w:numPr>
        <w:tabs>
          <w:tab w:val="left" w:pos="1440"/>
        </w:tabs>
        <w:spacing w:after="60"/>
        <w:ind w:left="1440"/>
        <w:rPr>
          <w:rFonts w:cs="Tahoma"/>
        </w:rPr>
      </w:pPr>
      <w:r w:rsidRPr="004B208C">
        <w:rPr>
          <w:rFonts w:eastAsia="Calibri" w:cs="Tahoma"/>
          <w:szCs w:val="18"/>
        </w:rPr>
        <w:t>Na atualização para o Windows Server 2012 Standard sob essa concessão, as Licenças Qualificadas do HPC Server Suite existentes do cliente não serão mais válidas.</w:t>
      </w:r>
    </w:p>
    <w:p w:rsidR="001978C7" w:rsidRPr="004B208C" w:rsidRDefault="001978C7" w:rsidP="00A1385C">
      <w:pPr>
        <w:numPr>
          <w:ilvl w:val="0"/>
          <w:numId w:val="54"/>
        </w:numPr>
        <w:tabs>
          <w:tab w:val="left" w:pos="1440"/>
        </w:tabs>
        <w:spacing w:after="60"/>
        <w:ind w:left="1440"/>
        <w:rPr>
          <w:rFonts w:cs="Tahoma"/>
        </w:rPr>
      </w:pPr>
      <w:r w:rsidRPr="004B208C">
        <w:rPr>
          <w:rFonts w:cs="Tahoma"/>
          <w:color w:val="000000"/>
        </w:rPr>
        <w:t xml:space="preserve">As licenças do HPC Server Suite </w:t>
      </w:r>
      <w:r w:rsidRPr="004B208C">
        <w:rPr>
          <w:rFonts w:cs="Tahoma"/>
          <w:bCs/>
          <w:color w:val="000000"/>
          <w:szCs w:val="18"/>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rsidR="001978C7" w:rsidRPr="004B208C" w:rsidRDefault="001978C7" w:rsidP="00A1385C">
      <w:pPr>
        <w:numPr>
          <w:ilvl w:val="0"/>
          <w:numId w:val="54"/>
        </w:numPr>
        <w:tabs>
          <w:tab w:val="left" w:pos="1440"/>
        </w:tabs>
        <w:spacing w:after="60"/>
        <w:ind w:left="1440"/>
        <w:rPr>
          <w:rFonts w:cs="Tahoma"/>
        </w:rPr>
      </w:pPr>
      <w:r w:rsidRPr="004B208C">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DE4110" w:rsidRPr="004B208C" w:rsidRDefault="001978C7" w:rsidP="00A1385C">
      <w:pPr>
        <w:numPr>
          <w:ilvl w:val="0"/>
          <w:numId w:val="54"/>
        </w:numPr>
        <w:tabs>
          <w:tab w:val="left" w:pos="1440"/>
        </w:tabs>
        <w:spacing w:after="60"/>
        <w:ind w:left="1440"/>
        <w:rPr>
          <w:rFonts w:cs="Tahoma"/>
        </w:rPr>
      </w:pPr>
      <w:r w:rsidRPr="004B208C">
        <w:rPr>
          <w:rFonts w:cs="Tahoma"/>
          <w:bCs/>
          <w:color w:val="000000"/>
          <w:szCs w:val="18"/>
        </w:rPr>
        <w:t>Consulte as notas da lista de produtos relacionadas ao Windows Server 2008 R2 HPC Edition e HPC Pack 2008 R2 Enterprise.</w:t>
      </w:r>
      <w:bookmarkStart w:id="1540" w:name="_109_Windows®_Intune"/>
      <w:bookmarkEnd w:id="1540"/>
    </w:p>
    <w:p w:rsidR="00A434A4" w:rsidRPr="004B208C" w:rsidRDefault="00A434A4" w:rsidP="009803C5">
      <w:pPr>
        <w:rPr>
          <w:rFonts w:cs="Tahoma"/>
        </w:rPr>
      </w:pPr>
    </w:p>
    <w:p w:rsidR="00A434A4" w:rsidRPr="004B208C" w:rsidRDefault="00A434A4" w:rsidP="009803C5">
      <w:pPr>
        <w:rPr>
          <w:rFonts w:cs="Tahoma"/>
        </w:rPr>
      </w:pPr>
    </w:p>
    <w:p w:rsidR="008779BC" w:rsidRPr="004B208C" w:rsidRDefault="00A560B6" w:rsidP="00A434A4">
      <w:pPr>
        <w:pStyle w:val="Heading2"/>
        <w:ind w:left="0"/>
        <w:rPr>
          <w:rFonts w:ascii="Tahoma" w:hAnsi="Tahoma" w:cs="Tahoma"/>
        </w:rPr>
      </w:pPr>
      <w:bookmarkStart w:id="1541" w:name="_105_Windows_Multipoint"/>
      <w:bookmarkStart w:id="1542" w:name="_104_Windows_Multipoint"/>
      <w:bookmarkStart w:id="1543" w:name="_Toc336338367"/>
      <w:bookmarkStart w:id="1544" w:name="_Toc370981478"/>
      <w:bookmarkEnd w:id="1541"/>
      <w:bookmarkEnd w:id="1542"/>
      <w:r w:rsidRPr="004B208C">
        <w:rPr>
          <w:rFonts w:ascii="Tahoma" w:hAnsi="Tahoma" w:cs="Tahoma"/>
          <w:caps/>
          <w:color w:val="FA6500"/>
          <w:sz w:val="22"/>
          <w:vertAlign w:val="superscript"/>
        </w:rPr>
        <w:t xml:space="preserve">104 </w:t>
      </w:r>
      <w:r w:rsidRPr="004B208C">
        <w:rPr>
          <w:rFonts w:ascii="Tahoma" w:hAnsi="Tahoma" w:cs="Tahoma"/>
          <w:color w:val="FA6500"/>
          <w:sz w:val="22"/>
        </w:rPr>
        <w:t xml:space="preserve">Windows Multipoint Server </w:t>
      </w:r>
      <w:bookmarkEnd w:id="1543"/>
      <w:r w:rsidRPr="004B208C">
        <w:rPr>
          <w:rFonts w:ascii="Tahoma" w:hAnsi="Tahoma" w:cs="Tahoma"/>
          <w:color w:val="FA6500"/>
          <w:sz w:val="22"/>
        </w:rPr>
        <w:t>2012 Standard</w:t>
      </w:r>
      <w:bookmarkEnd w:id="1544"/>
      <w:r w:rsidRPr="004B208C">
        <w:rPr>
          <w:rFonts w:ascii="Tahoma" w:hAnsi="Tahoma" w:cs="Tahoma"/>
          <w:color w:val="FA6500"/>
          <w:sz w:val="22"/>
        </w:rPr>
        <w:t xml:space="preserve"> </w:t>
      </w:r>
    </w:p>
    <w:p w:rsidR="00A434A4" w:rsidRPr="004B208C" w:rsidRDefault="00A434A4" w:rsidP="00A434A4">
      <w:pPr>
        <w:rPr>
          <w:rFonts w:cs="Tahoma"/>
        </w:rPr>
      </w:pPr>
    </w:p>
    <w:p w:rsidR="00F745E1" w:rsidRPr="004B208C" w:rsidRDefault="008779BC" w:rsidP="00A434A4">
      <w:pPr>
        <w:ind w:left="720"/>
        <w:rPr>
          <w:rFonts w:cs="Tahoma"/>
        </w:rPr>
      </w:pPr>
      <w:r w:rsidRPr="004B208C">
        <w:rPr>
          <w:rFonts w:eastAsia="Calibri" w:cs="Tahoma"/>
          <w:color w:val="000000"/>
          <w:szCs w:val="18"/>
        </w:rPr>
        <w:t>O Windows Multipoint Server 2012 Standard é a próxima versão do Windows Multipoint Server 2011 Standard.</w:t>
      </w:r>
    </w:p>
    <w:p w:rsidR="00A434A4" w:rsidRPr="004B208C" w:rsidRDefault="00A434A4" w:rsidP="00A434A4">
      <w:pPr>
        <w:rPr>
          <w:rFonts w:cs="Tahoma"/>
        </w:rPr>
      </w:pPr>
    </w:p>
    <w:p w:rsidR="00A434A4" w:rsidRPr="004B208C" w:rsidRDefault="00A434A4" w:rsidP="00A434A4">
      <w:pPr>
        <w:rPr>
          <w:rFonts w:cs="Tahoma"/>
        </w:rPr>
      </w:pPr>
    </w:p>
    <w:p w:rsidR="00092F30" w:rsidRPr="004B208C" w:rsidRDefault="00A560B6" w:rsidP="00A434A4">
      <w:pPr>
        <w:pStyle w:val="Heading2"/>
        <w:ind w:left="0"/>
        <w:rPr>
          <w:rFonts w:ascii="Tahoma" w:hAnsi="Tahoma" w:cs="Tahoma"/>
        </w:rPr>
      </w:pPr>
      <w:bookmarkStart w:id="1545" w:name="_106_Windows_Multipoint"/>
      <w:bookmarkStart w:id="1546" w:name="_Toc336338368"/>
      <w:bookmarkStart w:id="1547" w:name="Srv_103WinMultipointSvr2011Premium"/>
      <w:bookmarkStart w:id="1548" w:name="Srv_107WinMultipointSvr2011Premium"/>
      <w:bookmarkStart w:id="1549" w:name="Srv_111WinMultipointSvr2011Premium"/>
      <w:bookmarkStart w:id="1550" w:name="_Toc370981479"/>
      <w:bookmarkEnd w:id="1545"/>
      <w:r w:rsidRPr="004B208C">
        <w:rPr>
          <w:rFonts w:ascii="Tahoma" w:hAnsi="Tahoma" w:cs="Tahoma"/>
          <w:caps/>
          <w:color w:val="FA6500"/>
          <w:sz w:val="22"/>
          <w:szCs w:val="22"/>
          <w:vertAlign w:val="superscript"/>
        </w:rPr>
        <w:t>105</w:t>
      </w:r>
      <w:r w:rsidRPr="004B208C">
        <w:rPr>
          <w:rFonts w:ascii="Tahoma" w:hAnsi="Tahoma" w:cs="Tahoma"/>
          <w:caps/>
          <w:color w:val="FA6500"/>
          <w:sz w:val="22"/>
          <w:vertAlign w:val="superscript"/>
        </w:rPr>
        <w:t xml:space="preserve"> </w:t>
      </w:r>
      <w:r w:rsidRPr="004B208C">
        <w:rPr>
          <w:rFonts w:ascii="Tahoma" w:hAnsi="Tahoma" w:cs="Tahoma"/>
          <w:color w:val="FA6500"/>
          <w:sz w:val="22"/>
        </w:rPr>
        <w:t xml:space="preserve">Windows Multipoint Server </w:t>
      </w:r>
      <w:bookmarkEnd w:id="1546"/>
      <w:r w:rsidRPr="004B208C">
        <w:rPr>
          <w:rFonts w:ascii="Tahoma" w:hAnsi="Tahoma" w:cs="Tahoma"/>
          <w:color w:val="FA6500"/>
          <w:sz w:val="22"/>
        </w:rPr>
        <w:t>2012 Premium</w:t>
      </w:r>
      <w:bookmarkEnd w:id="1550"/>
      <w:r w:rsidRPr="004B208C">
        <w:rPr>
          <w:rFonts w:ascii="Tahoma" w:hAnsi="Tahoma" w:cs="Tahoma"/>
          <w:color w:val="FA6500"/>
          <w:sz w:val="22"/>
        </w:rPr>
        <w:t xml:space="preserve"> </w:t>
      </w:r>
      <w:bookmarkEnd w:id="1547"/>
      <w:bookmarkEnd w:id="1548"/>
      <w:bookmarkEnd w:id="1549"/>
    </w:p>
    <w:p w:rsidR="00A434A4" w:rsidRPr="004B208C" w:rsidRDefault="00A434A4" w:rsidP="00A434A4">
      <w:pPr>
        <w:rPr>
          <w:rFonts w:cs="Tahoma"/>
        </w:rPr>
      </w:pPr>
    </w:p>
    <w:p w:rsidR="00F745E1" w:rsidRPr="004B208C" w:rsidRDefault="00092F30" w:rsidP="00A434A4">
      <w:pPr>
        <w:ind w:left="720"/>
        <w:rPr>
          <w:rFonts w:cs="Tahoma"/>
        </w:rPr>
      </w:pPr>
      <w:r w:rsidRPr="004B208C">
        <w:rPr>
          <w:rFonts w:eastAsia="Calibri" w:cs="Tahoma"/>
          <w:color w:val="000000"/>
          <w:szCs w:val="18"/>
        </w:rPr>
        <w:t>O Windows MultiPoint Server 2012 Premium é a próxima versão do Windows MultiPoint Server 2011 Premium.</w:t>
      </w:r>
      <w:bookmarkStart w:id="1551" w:name="_Toc280612355"/>
    </w:p>
    <w:p w:rsidR="00A434A4" w:rsidRPr="004B208C" w:rsidRDefault="00A434A4" w:rsidP="00A434A4">
      <w:pPr>
        <w:rPr>
          <w:rFonts w:cs="Tahoma"/>
        </w:rPr>
      </w:pPr>
    </w:p>
    <w:p w:rsidR="00A434A4" w:rsidRDefault="00A434A4" w:rsidP="00A434A4">
      <w:pPr>
        <w:rPr>
          <w:rFonts w:cs="Tahoma"/>
        </w:rPr>
      </w:pPr>
    </w:p>
    <w:p w:rsidR="00160748" w:rsidRDefault="00160748" w:rsidP="00A434A4">
      <w:pPr>
        <w:rPr>
          <w:rFonts w:cs="Tahoma"/>
        </w:rPr>
      </w:pPr>
    </w:p>
    <w:p w:rsidR="00160748" w:rsidRPr="004B208C" w:rsidRDefault="00160748" w:rsidP="00A434A4">
      <w:pPr>
        <w:rPr>
          <w:rFonts w:cs="Tahoma"/>
        </w:rPr>
      </w:pPr>
    </w:p>
    <w:p w:rsidR="00092F30" w:rsidRPr="004B208C" w:rsidRDefault="00A560B6" w:rsidP="00092F30">
      <w:pPr>
        <w:pStyle w:val="Heading2"/>
        <w:ind w:left="0"/>
        <w:rPr>
          <w:rFonts w:ascii="Tahoma" w:hAnsi="Tahoma" w:cs="Tahoma"/>
        </w:rPr>
      </w:pPr>
      <w:bookmarkStart w:id="1552" w:name="Srv_104WinMultipointSvr2011CAL"/>
      <w:bookmarkStart w:id="1553" w:name="Srv_108WinMultipointSvr2011CAL"/>
      <w:bookmarkStart w:id="1554" w:name="Srv_112WinMultipointSvr2011CAL"/>
      <w:bookmarkStart w:id="1555" w:name="_Toc370981480"/>
      <w:r w:rsidRPr="004B208C">
        <w:rPr>
          <w:rFonts w:ascii="Tahoma" w:hAnsi="Tahoma" w:cs="Tahoma"/>
          <w:caps/>
          <w:color w:val="FA6500"/>
          <w:sz w:val="22"/>
          <w:szCs w:val="22"/>
          <w:vertAlign w:val="superscript"/>
        </w:rPr>
        <w:lastRenderedPageBreak/>
        <w:t>106</w:t>
      </w:r>
      <w:r w:rsidRPr="004B208C">
        <w:rPr>
          <w:rFonts w:ascii="Tahoma" w:hAnsi="Tahoma" w:cs="Tahoma"/>
          <w:color w:val="FA6500"/>
          <w:sz w:val="22"/>
          <w:szCs w:val="22"/>
        </w:rPr>
        <w:t xml:space="preserve"> CAL do Windows </w:t>
      </w:r>
      <w:bookmarkEnd w:id="1551"/>
      <w:r w:rsidRPr="004B208C">
        <w:rPr>
          <w:rFonts w:ascii="Tahoma" w:hAnsi="Tahoma" w:cs="Tahoma"/>
          <w:color w:val="FA6500"/>
          <w:sz w:val="22"/>
          <w:szCs w:val="22"/>
        </w:rPr>
        <w:t>Multipoint Server 2012</w:t>
      </w:r>
      <w:bookmarkEnd w:id="1555"/>
    </w:p>
    <w:bookmarkEnd w:id="1552"/>
    <w:bookmarkEnd w:id="1553"/>
    <w:bookmarkEnd w:id="1554"/>
    <w:p w:rsidR="00092F30" w:rsidRPr="004B208C" w:rsidRDefault="00092F30" w:rsidP="00092F30">
      <w:pPr>
        <w:ind w:firstLine="360"/>
        <w:rPr>
          <w:rFonts w:cs="Tahoma"/>
        </w:rPr>
      </w:pPr>
    </w:p>
    <w:p w:rsidR="0008452D" w:rsidRPr="004B208C" w:rsidRDefault="00092F30" w:rsidP="00A434A4">
      <w:pPr>
        <w:ind w:left="720"/>
        <w:rPr>
          <w:rFonts w:cs="Tahoma"/>
        </w:rPr>
      </w:pPr>
      <w:r w:rsidRPr="004B208C">
        <w:rPr>
          <w:rFonts w:eastAsia="Calibri" w:cs="Tahoma"/>
          <w:color w:val="000000"/>
          <w:szCs w:val="18"/>
        </w:rPr>
        <w:t>A CAL do Windows MultiPoint Server 2012 é a próxima versão da CAL do Windows MultiPoint Server 2011.</w:t>
      </w:r>
    </w:p>
    <w:p w:rsidR="00A434A4" w:rsidRPr="004B208C" w:rsidRDefault="00A434A4" w:rsidP="00A434A4">
      <w:pPr>
        <w:rPr>
          <w:rFonts w:cs="Tahoma"/>
        </w:rPr>
      </w:pPr>
    </w:p>
    <w:p w:rsidR="00A434A4" w:rsidRPr="004B208C" w:rsidRDefault="00A434A4" w:rsidP="00A434A4">
      <w:pPr>
        <w:rPr>
          <w:rFonts w:cs="Tahoma"/>
        </w:rPr>
      </w:pPr>
    </w:p>
    <w:p w:rsidR="00023FE7" w:rsidRPr="004B208C" w:rsidRDefault="00A560B6" w:rsidP="00EF2279">
      <w:pPr>
        <w:pStyle w:val="Heading3"/>
        <w:ind w:left="360" w:hanging="360"/>
        <w:rPr>
          <w:rFonts w:ascii="Tahoma" w:hAnsi="Tahoma" w:cs="Tahoma"/>
        </w:rPr>
      </w:pPr>
      <w:bookmarkStart w:id="1556" w:name="_108_Windows_Server"/>
      <w:bookmarkStart w:id="1557" w:name="_107_Windows_Server"/>
      <w:bookmarkStart w:id="1558" w:name="_Toc336338369"/>
      <w:bookmarkStart w:id="1559" w:name="Srv_97WinSvr08HighPerfCompandHyperV"/>
      <w:bookmarkStart w:id="1560" w:name="Srv_98WinSvr08HighPerfCompandHyperV"/>
      <w:bookmarkStart w:id="1561" w:name="Srv_110WinSvr08R2HPC"/>
      <w:bookmarkStart w:id="1562" w:name="Srv_114WinSvr08R2HPC"/>
      <w:bookmarkStart w:id="1563" w:name="_Toc370981481"/>
      <w:bookmarkEnd w:id="1556"/>
      <w:bookmarkEnd w:id="1557"/>
      <w:r w:rsidRPr="004B208C">
        <w:rPr>
          <w:rFonts w:ascii="Tahoma" w:hAnsi="Tahoma" w:cs="Tahoma"/>
          <w:caps/>
          <w:color w:val="F66400"/>
          <w:sz w:val="22"/>
          <w:vertAlign w:val="superscript"/>
        </w:rPr>
        <w:t>107</w:t>
      </w:r>
      <w:r w:rsidRPr="004B208C">
        <w:rPr>
          <w:rFonts w:ascii="Tahoma" w:hAnsi="Tahoma" w:cs="Tahoma"/>
          <w:color w:val="F66400"/>
          <w:sz w:val="22"/>
        </w:rPr>
        <w:t xml:space="preserve"> Windows Server 2008 R2 HPC</w:t>
      </w:r>
      <w:r w:rsidRPr="004B208C">
        <w:rPr>
          <w:rStyle w:val="Heading3Char"/>
          <w:rFonts w:ascii="Tahoma" w:hAnsi="Tahoma" w:cs="Tahoma"/>
          <w:b/>
          <w:color w:val="F66400"/>
          <w:sz w:val="22"/>
        </w:rPr>
        <w:t xml:space="preserve"> Edition</w:t>
      </w:r>
      <w:bookmarkEnd w:id="1558"/>
      <w:bookmarkEnd w:id="1563"/>
      <w:r w:rsidRPr="004B208C">
        <w:rPr>
          <w:rStyle w:val="Heading3Char"/>
          <w:rFonts w:ascii="Tahoma" w:hAnsi="Tahoma" w:cs="Tahoma"/>
          <w:b/>
          <w:color w:val="F66400"/>
          <w:sz w:val="22"/>
        </w:rPr>
        <w:t xml:space="preserve"> </w:t>
      </w:r>
    </w:p>
    <w:bookmarkEnd w:id="1559"/>
    <w:bookmarkEnd w:id="1560"/>
    <w:bookmarkEnd w:id="1561"/>
    <w:bookmarkEnd w:id="1562"/>
    <w:p w:rsidR="00023FE7" w:rsidRPr="004B208C" w:rsidRDefault="00023FE7" w:rsidP="00A434A4">
      <w:pPr>
        <w:rPr>
          <w:rFonts w:cs="Tahoma"/>
        </w:rPr>
      </w:pPr>
    </w:p>
    <w:p w:rsidR="00A434A4" w:rsidRPr="004B208C" w:rsidRDefault="001978C7" w:rsidP="00A434A4">
      <w:pPr>
        <w:spacing w:after="60"/>
        <w:ind w:left="720"/>
        <w:rPr>
          <w:rFonts w:cs="Tahoma"/>
        </w:rPr>
      </w:pPr>
      <w:r w:rsidRPr="004B208C">
        <w:rPr>
          <w:rFonts w:cs="Tahoma"/>
          <w:b/>
          <w:color w:val="000000"/>
        </w:rPr>
        <w:t>Outorgas de licença associadas ao término da validade da edição do Windows Server HPC</w:t>
      </w:r>
    </w:p>
    <w:p w:rsidR="001978C7" w:rsidRPr="004B208C" w:rsidRDefault="001978C7" w:rsidP="00A434A4">
      <w:pPr>
        <w:ind w:left="720"/>
        <w:rPr>
          <w:rFonts w:cs="Tahoma"/>
        </w:rPr>
      </w:pPr>
      <w:r w:rsidRPr="004B208C">
        <w:rPr>
          <w:rFonts w:cs="Tahoma"/>
          <w:color w:val="000000"/>
        </w:rPr>
        <w:t xml:space="preserve">O Windows Server 2008 R2 será a última versão da edição do Windows Server HPC. Os clientes de Licenciamento por Volume com Software Assurance ativo para licenças do Windows Server 2008 R2 HPC Edition em 1º de setembro de 2012 ou a partir da data da primeira disponibilização do Windows Server 2012 para download no Volume Licensing Service Center (Centro de Atendimento de Licenciamento por Volume), o que ocorrer primeiro, (“Licenças Qualificadas”) poderão </w:t>
      </w:r>
      <w:r w:rsidRPr="004B208C">
        <w:rPr>
          <w:rFonts w:eastAsia="Calibri" w:cs="Tahoma"/>
          <w:szCs w:val="18"/>
        </w:rPr>
        <w:t>usar o software Windows Server 2012 Standard. Para facilitar tal uso, para cada duas Licenças Qualificadas que o cliente possui, ele terá uma</w:t>
      </w:r>
      <w:r w:rsidR="00160748">
        <w:rPr>
          <w:rFonts w:eastAsia="Calibri" w:cs="Tahoma"/>
          <w:szCs w:val="18"/>
        </w:rPr>
        <w:t> </w:t>
      </w:r>
      <w:r w:rsidRPr="004B208C">
        <w:rPr>
          <w:rFonts w:eastAsia="Calibri" w:cs="Tahoma"/>
          <w:szCs w:val="18"/>
        </w:rPr>
        <w:t>licença do processador Windows Server 2012 Standard mediante a disponibilização do Windows Server</w:t>
      </w:r>
      <w:r w:rsidR="00160748">
        <w:rPr>
          <w:rFonts w:eastAsia="Calibri" w:cs="Tahoma"/>
          <w:szCs w:val="18"/>
        </w:rPr>
        <w:t> </w:t>
      </w:r>
      <w:r w:rsidRPr="004B208C">
        <w:rPr>
          <w:rFonts w:eastAsia="Calibri" w:cs="Tahoma"/>
          <w:szCs w:val="18"/>
        </w:rPr>
        <w:t xml:space="preserve">2012. </w:t>
      </w:r>
    </w:p>
    <w:p w:rsidR="00A434A4" w:rsidRPr="004B208C" w:rsidRDefault="00A434A4" w:rsidP="00A434A4">
      <w:pPr>
        <w:ind w:left="720"/>
        <w:rPr>
          <w:rFonts w:cs="Tahoma"/>
        </w:rPr>
      </w:pPr>
    </w:p>
    <w:p w:rsidR="001978C7" w:rsidRPr="00160748" w:rsidRDefault="001978C7" w:rsidP="00A1385C">
      <w:pPr>
        <w:numPr>
          <w:ilvl w:val="0"/>
          <w:numId w:val="54"/>
        </w:numPr>
        <w:tabs>
          <w:tab w:val="clear" w:pos="360"/>
          <w:tab w:val="num" w:pos="1440"/>
        </w:tabs>
        <w:spacing w:after="60"/>
        <w:ind w:left="1440"/>
        <w:rPr>
          <w:rFonts w:cs="Tahoma"/>
          <w:szCs w:val="18"/>
        </w:rPr>
      </w:pPr>
      <w:r w:rsidRPr="00160748">
        <w:rPr>
          <w:rFonts w:cs="Tahoma"/>
          <w:color w:val="000000"/>
          <w:szCs w:val="18"/>
        </w:rPr>
        <w:t>Se um cliente tiver um número ímpar de licenças do Windows Server HPC Edition, o cliente precisará arredondar para cima para o próximo número par para determinar sua concessão.</w:t>
      </w:r>
      <w:r w:rsidR="00172F11" w:rsidRPr="00160748">
        <w:rPr>
          <w:rFonts w:cs="Tahoma"/>
          <w:color w:val="000000"/>
          <w:szCs w:val="18"/>
        </w:rPr>
        <w:t xml:space="preserve"> </w:t>
      </w:r>
      <w:r w:rsidRPr="00160748">
        <w:rPr>
          <w:rFonts w:cs="Tahoma"/>
          <w:color w:val="000000"/>
          <w:szCs w:val="18"/>
        </w:rPr>
        <w:t>Por</w:t>
      </w:r>
      <w:r w:rsidR="00160748">
        <w:rPr>
          <w:rFonts w:cs="Tahoma"/>
          <w:color w:val="000000"/>
          <w:szCs w:val="18"/>
        </w:rPr>
        <w:t> </w:t>
      </w:r>
      <w:r w:rsidRPr="00160748">
        <w:rPr>
          <w:rFonts w:cs="Tahoma"/>
          <w:color w:val="000000"/>
          <w:szCs w:val="18"/>
        </w:rPr>
        <w:t>exemplo, um cliente que tenha três licenças do Windows Server HPC Edition receberá no total</w:t>
      </w:r>
      <w:r w:rsidR="00160748">
        <w:rPr>
          <w:rFonts w:cs="Tahoma"/>
          <w:color w:val="000000"/>
          <w:szCs w:val="18"/>
        </w:rPr>
        <w:t> </w:t>
      </w:r>
      <w:r w:rsidRPr="00160748">
        <w:rPr>
          <w:rFonts w:cs="Tahoma"/>
          <w:color w:val="000000"/>
          <w:szCs w:val="18"/>
        </w:rPr>
        <w:t>duas licenças do Windows Server 2012 Standard.</w:t>
      </w:r>
    </w:p>
    <w:p w:rsidR="001978C7" w:rsidRPr="00160748" w:rsidRDefault="001978C7" w:rsidP="00A1385C">
      <w:pPr>
        <w:pStyle w:val="ListParagraph"/>
        <w:numPr>
          <w:ilvl w:val="0"/>
          <w:numId w:val="54"/>
        </w:numPr>
        <w:tabs>
          <w:tab w:val="clear" w:pos="360"/>
          <w:tab w:val="num" w:pos="1440"/>
        </w:tabs>
        <w:spacing w:after="60"/>
        <w:ind w:left="1440"/>
        <w:contextualSpacing w:val="0"/>
        <w:rPr>
          <w:rFonts w:ascii="Tahoma" w:hAnsi="Tahoma" w:cs="Tahoma"/>
          <w:sz w:val="18"/>
          <w:szCs w:val="18"/>
        </w:rPr>
      </w:pPr>
      <w:r w:rsidRPr="00160748">
        <w:rPr>
          <w:rFonts w:ascii="Tahoma" w:eastAsia="Calibri" w:hAnsi="Tahoma" w:cs="Tahoma"/>
          <w:sz w:val="18"/>
          <w:szCs w:val="18"/>
        </w:rPr>
        <w:t>As licenças adquiridas sob esta concessão incluirão cobertura do Software Assurance.</w:t>
      </w:r>
      <w:r w:rsidR="00172F11" w:rsidRPr="00160748">
        <w:rPr>
          <w:rFonts w:ascii="Tahoma" w:eastAsia="Calibri" w:hAnsi="Tahoma" w:cs="Tahoma"/>
          <w:sz w:val="18"/>
          <w:szCs w:val="18"/>
        </w:rPr>
        <w:t xml:space="preserve"> </w:t>
      </w:r>
      <w:r w:rsidRPr="00160748">
        <w:rPr>
          <w:rFonts w:ascii="Tahoma" w:eastAsia="Calibri" w:hAnsi="Tahoma" w:cs="Tahoma"/>
          <w:sz w:val="18"/>
          <w:szCs w:val="18"/>
        </w:rPr>
        <w:t>Tal cobertura expira quando a cobertura correspondente nas Licenças Qualificadas expirar.</w:t>
      </w:r>
    </w:p>
    <w:p w:rsidR="001978C7" w:rsidRPr="00160748" w:rsidRDefault="001978C7" w:rsidP="00A1385C">
      <w:pPr>
        <w:pStyle w:val="ListParagraph"/>
        <w:numPr>
          <w:ilvl w:val="0"/>
          <w:numId w:val="54"/>
        </w:numPr>
        <w:tabs>
          <w:tab w:val="clear" w:pos="360"/>
          <w:tab w:val="num" w:pos="1440"/>
        </w:tabs>
        <w:spacing w:after="60"/>
        <w:ind w:left="1440"/>
        <w:contextualSpacing w:val="0"/>
        <w:rPr>
          <w:rFonts w:ascii="Tahoma" w:hAnsi="Tahoma" w:cs="Tahoma"/>
          <w:sz w:val="18"/>
          <w:szCs w:val="18"/>
        </w:rPr>
      </w:pPr>
      <w:r w:rsidRPr="00160748">
        <w:rPr>
          <w:rFonts w:ascii="Tahoma" w:eastAsia="Calibri" w:hAnsi="Tahoma" w:cs="Tahoma"/>
          <w:sz w:val="18"/>
          <w:szCs w:val="18"/>
        </w:rPr>
        <w:t>Se os clientes adquiriram direitos perpétuos para usar o software sob as Licenças Qualificadas, as</w:t>
      </w:r>
      <w:r w:rsidR="00160748">
        <w:rPr>
          <w:rFonts w:ascii="Tahoma" w:eastAsia="Calibri" w:hAnsi="Tahoma" w:cs="Tahoma"/>
          <w:sz w:val="18"/>
          <w:szCs w:val="18"/>
        </w:rPr>
        <w:t> </w:t>
      </w:r>
      <w:r w:rsidRPr="00160748">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1978C7" w:rsidRPr="00160748" w:rsidRDefault="001978C7" w:rsidP="00A1385C">
      <w:pPr>
        <w:numPr>
          <w:ilvl w:val="0"/>
          <w:numId w:val="54"/>
        </w:numPr>
        <w:tabs>
          <w:tab w:val="clear" w:pos="360"/>
          <w:tab w:val="num" w:pos="1440"/>
          <w:tab w:val="left" w:pos="2160"/>
        </w:tabs>
        <w:spacing w:after="60"/>
        <w:ind w:left="1440"/>
        <w:rPr>
          <w:rFonts w:cs="Tahoma"/>
          <w:szCs w:val="18"/>
        </w:rPr>
      </w:pPr>
      <w:r w:rsidRPr="00160748">
        <w:rPr>
          <w:rFonts w:eastAsia="Calibri" w:cs="Tahoma"/>
          <w:szCs w:val="18"/>
        </w:rPr>
        <w:t xml:space="preserve">Na atualização para o Windows Server 2012 Standard sob essa concessão, as licenças existentes do </w:t>
      </w:r>
      <w:r w:rsidRPr="00160748">
        <w:rPr>
          <w:rFonts w:cs="Tahoma"/>
          <w:color w:val="000000"/>
          <w:szCs w:val="18"/>
        </w:rPr>
        <w:t>Windows Server 2008 R2 HPC Edition</w:t>
      </w:r>
      <w:r w:rsidRPr="00160748">
        <w:rPr>
          <w:rFonts w:eastAsia="Calibri" w:cs="Tahoma"/>
          <w:szCs w:val="18"/>
        </w:rPr>
        <w:t xml:space="preserve"> do cliente permanecerão válidas.</w:t>
      </w:r>
    </w:p>
    <w:p w:rsidR="001978C7" w:rsidRPr="00160748" w:rsidRDefault="001978C7" w:rsidP="00A1385C">
      <w:pPr>
        <w:numPr>
          <w:ilvl w:val="0"/>
          <w:numId w:val="54"/>
        </w:numPr>
        <w:tabs>
          <w:tab w:val="clear" w:pos="360"/>
          <w:tab w:val="num" w:pos="1440"/>
        </w:tabs>
        <w:spacing w:after="60"/>
        <w:ind w:left="1440"/>
        <w:rPr>
          <w:rFonts w:cs="Tahoma"/>
          <w:szCs w:val="18"/>
        </w:rPr>
      </w:pPr>
      <w:r w:rsidRPr="00160748">
        <w:rPr>
          <w:rFonts w:cs="Tahoma"/>
          <w:color w:val="000000"/>
          <w:szCs w:val="18"/>
        </w:rPr>
        <w:t>As licenças do Windows Server 2</w:t>
      </w:r>
      <w:r w:rsidR="007D3B3A">
        <w:rPr>
          <w:rFonts w:cs="Tahoma"/>
          <w:color w:val="000000"/>
          <w:szCs w:val="18"/>
        </w:rPr>
        <w:t>0</w:t>
      </w:r>
      <w:r w:rsidRPr="00160748">
        <w:rPr>
          <w:rFonts w:cs="Tahoma"/>
          <w:color w:val="000000"/>
          <w:szCs w:val="18"/>
        </w:rPr>
        <w:t xml:space="preserve">08 R2 HPC Edition </w:t>
      </w:r>
      <w:r w:rsidRPr="00160748">
        <w:rPr>
          <w:rFonts w:cs="Tahoma"/>
          <w:bCs/>
          <w:color w:val="000000"/>
          <w:szCs w:val="18"/>
        </w:rPr>
        <w:t>adquiridas posteriormente no mesmo prazo de registro, como parte de um processo de adequação (</w:t>
      </w:r>
      <w:r w:rsidR="00172F11" w:rsidRPr="00160748">
        <w:rPr>
          <w:rFonts w:cs="Tahoma"/>
          <w:bCs/>
          <w:color w:val="000000"/>
          <w:szCs w:val="18"/>
        </w:rPr>
        <w:t>“</w:t>
      </w:r>
      <w:r w:rsidRPr="00160748">
        <w:rPr>
          <w:rFonts w:cs="Tahoma"/>
          <w:bCs/>
          <w:color w:val="000000"/>
          <w:szCs w:val="18"/>
        </w:rPr>
        <w:t>true-up</w:t>
      </w:r>
      <w:r w:rsidR="00172F11" w:rsidRPr="00160748">
        <w:rPr>
          <w:rFonts w:cs="Tahoma"/>
          <w:bCs/>
          <w:color w:val="000000"/>
          <w:szCs w:val="18"/>
        </w:rPr>
        <w:t>”</w:t>
      </w:r>
      <w:r w:rsidRPr="00160748">
        <w:rPr>
          <w:rFonts w:cs="Tahoma"/>
          <w:bCs/>
          <w:color w:val="000000"/>
          <w:szCs w:val="18"/>
        </w:rPr>
        <w:t xml:space="preserve">) programado do cliente Enterprise, Enterprise Subscription, Open Value Subscription ou Enrollment for Education Solutions também são Licenças Qualificadas para os propósitos da concessão supracitada. </w:t>
      </w:r>
    </w:p>
    <w:p w:rsidR="001978C7" w:rsidRPr="00160748" w:rsidRDefault="001978C7" w:rsidP="00A1385C">
      <w:pPr>
        <w:numPr>
          <w:ilvl w:val="0"/>
          <w:numId w:val="54"/>
        </w:numPr>
        <w:tabs>
          <w:tab w:val="clear" w:pos="360"/>
          <w:tab w:val="num" w:pos="1440"/>
        </w:tabs>
        <w:spacing w:after="60"/>
        <w:ind w:left="1440"/>
        <w:rPr>
          <w:rFonts w:cs="Tahoma"/>
          <w:szCs w:val="18"/>
        </w:rPr>
      </w:pPr>
      <w:r w:rsidRPr="00160748">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A434A4" w:rsidRPr="004B208C" w:rsidRDefault="00A434A4" w:rsidP="00A434A4">
      <w:pPr>
        <w:contextualSpacing/>
        <w:rPr>
          <w:rFonts w:cs="Tahoma"/>
        </w:rPr>
      </w:pPr>
    </w:p>
    <w:p w:rsidR="008C2FF8" w:rsidRPr="004B208C" w:rsidRDefault="001978C7" w:rsidP="008C2FF8">
      <w:pPr>
        <w:spacing w:after="60"/>
        <w:ind w:left="720"/>
        <w:rPr>
          <w:rFonts w:cs="Tahoma"/>
        </w:rPr>
      </w:pPr>
      <w:r w:rsidRPr="004B208C">
        <w:rPr>
          <w:rFonts w:eastAsia="Calibri" w:cs="Tahoma"/>
          <w:b/>
          <w:szCs w:val="18"/>
        </w:rPr>
        <w:t>Informações adicionais sobre o uso do Windows Server 2012 para High Performance Computing (HPC)</w:t>
      </w:r>
    </w:p>
    <w:p w:rsidR="002F7203" w:rsidRPr="004B208C" w:rsidRDefault="001978C7" w:rsidP="008C2FF8">
      <w:pPr>
        <w:ind w:left="720"/>
        <w:contextualSpacing/>
        <w:rPr>
          <w:rFonts w:cs="Tahoma"/>
        </w:rPr>
      </w:pPr>
      <w:r w:rsidRPr="004B208C">
        <w:rPr>
          <w:rFonts w:eastAsia="Calibri" w:cs="Tahoma"/>
          <w:szCs w:val="18"/>
        </w:rPr>
        <w:t>Quando o Windows Server 2012 Standard ou Datacenter é usado para High Performance Computing, você</w:t>
      </w:r>
      <w:r w:rsidR="00160748">
        <w:rPr>
          <w:rFonts w:eastAsia="Calibri" w:cs="Tahoma"/>
          <w:szCs w:val="18"/>
        </w:rPr>
        <w:t> </w:t>
      </w:r>
      <w:r w:rsidRPr="004B208C">
        <w:rPr>
          <w:rFonts w:eastAsia="Calibri" w:cs="Tahoma"/>
          <w:szCs w:val="18"/>
        </w:rPr>
        <w:t>não precisa de CALs para acessar o software. Uma “</w:t>
      </w:r>
      <w:r w:rsidRPr="004B208C">
        <w:rPr>
          <w:rFonts w:cs="Tahoma"/>
        </w:rPr>
        <w:t>Carga de Trabalho High Performance Computing (“HPC”)”</w:t>
      </w:r>
      <w:r w:rsidRPr="004B208C">
        <w:rPr>
          <w:rFonts w:cs="Tahoma"/>
          <w:b/>
          <w:bCs/>
        </w:rPr>
        <w:t xml:space="preserve"> </w:t>
      </w:r>
      <w:r w:rsidRPr="004B208C">
        <w:rPr>
          <w:rFonts w:cs="Tahoma"/>
        </w:rPr>
        <w:t>significa uma carga de trabalho na qual o software para servidores</w:t>
      </w:r>
      <w:r w:rsidRPr="004B208C">
        <w:rPr>
          <w:rFonts w:cs="Tahoma"/>
          <w:u w:val="single"/>
        </w:rPr>
        <w:t xml:space="preserve"> é usado</w:t>
      </w:r>
      <w:r w:rsidRPr="00160748">
        <w:rPr>
          <w:rFonts w:cs="Tahoma"/>
        </w:rPr>
        <w:t xml:space="preserve"> </w:t>
      </w:r>
      <w:r w:rsidRPr="004B208C">
        <w:rPr>
          <w:rFonts w:cs="Tahoma"/>
        </w:rPr>
        <w:t>para executar um Nó</w:t>
      </w:r>
      <w:r w:rsidR="00160748">
        <w:rPr>
          <w:rFonts w:cs="Tahoma"/>
        </w:rPr>
        <w:t> </w:t>
      </w:r>
      <w:r w:rsidRPr="004B208C">
        <w:rPr>
          <w:rFonts w:cs="Tahoma"/>
        </w:rPr>
        <w:t>de Cluster e é usado em conjunto com outro software somente conforme necessário para permitir o</w:t>
      </w:r>
      <w:r w:rsidR="00160748">
        <w:rPr>
          <w:rFonts w:cs="Tahoma"/>
        </w:rPr>
        <w:t> </w:t>
      </w:r>
      <w:r w:rsidRPr="004B208C">
        <w:rPr>
          <w:rFonts w:cs="Tahoma"/>
        </w:rPr>
        <w:t>gerenciamento de sistemas, a segurança, o armazenamento e a melhoria do desempenho de qualquer dispositivo do nó de cluster com o propósito de oferecer suporte aos Aplicativos HPC agrupados.</w:t>
      </w:r>
      <w:r w:rsidRPr="004B208C">
        <w:rPr>
          <w:rFonts w:eastAsia="Calibri" w:cs="Tahoma"/>
          <w:szCs w:val="18"/>
        </w:rPr>
        <w:t xml:space="preserve"> Consulte os</w:t>
      </w:r>
      <w:r w:rsidR="00160748">
        <w:rPr>
          <w:rFonts w:eastAsia="Calibri" w:cs="Tahoma"/>
          <w:szCs w:val="18"/>
        </w:rPr>
        <w:t> </w:t>
      </w:r>
      <w:r w:rsidRPr="004B208C">
        <w:rPr>
          <w:rFonts w:eastAsia="Calibri" w:cs="Tahoma"/>
          <w:szCs w:val="18"/>
        </w:rPr>
        <w:t>Direitos de Uso de Produto para obter detalhes adicionais.</w:t>
      </w:r>
      <w:bookmarkStart w:id="1564" w:name="Srv_1120WinSvr08R2Enterprise"/>
    </w:p>
    <w:p w:rsidR="008C2FF8" w:rsidRDefault="008C2FF8" w:rsidP="008C2FF8">
      <w:pPr>
        <w:contextualSpacing/>
        <w:rPr>
          <w:rFonts w:cs="Tahoma"/>
        </w:rPr>
      </w:pPr>
    </w:p>
    <w:p w:rsidR="00160748" w:rsidRDefault="00160748" w:rsidP="008C2FF8">
      <w:pPr>
        <w:contextualSpacing/>
        <w:rPr>
          <w:rFonts w:cs="Tahoma"/>
        </w:rPr>
      </w:pPr>
    </w:p>
    <w:p w:rsidR="00160748" w:rsidRDefault="00160748" w:rsidP="008C2FF8">
      <w:pPr>
        <w:contextualSpacing/>
        <w:rPr>
          <w:rFonts w:cs="Tahoma"/>
        </w:rPr>
      </w:pPr>
    </w:p>
    <w:p w:rsidR="00160748" w:rsidRDefault="00160748" w:rsidP="008C2FF8">
      <w:pPr>
        <w:contextualSpacing/>
        <w:rPr>
          <w:rFonts w:cs="Tahoma"/>
        </w:rPr>
      </w:pPr>
    </w:p>
    <w:p w:rsidR="00160748" w:rsidRDefault="00160748" w:rsidP="008C2FF8">
      <w:pPr>
        <w:contextualSpacing/>
        <w:rPr>
          <w:rFonts w:cs="Tahoma"/>
        </w:rPr>
      </w:pPr>
    </w:p>
    <w:p w:rsidR="00160748" w:rsidRDefault="00160748" w:rsidP="008C2FF8">
      <w:pPr>
        <w:contextualSpacing/>
        <w:rPr>
          <w:rFonts w:cs="Tahoma"/>
        </w:rPr>
      </w:pPr>
    </w:p>
    <w:p w:rsidR="00160748" w:rsidRDefault="00160748" w:rsidP="008C2FF8">
      <w:pPr>
        <w:contextualSpacing/>
        <w:rPr>
          <w:rFonts w:cs="Tahoma"/>
        </w:rPr>
      </w:pPr>
    </w:p>
    <w:p w:rsidR="00160748" w:rsidRDefault="00160748" w:rsidP="008C2FF8">
      <w:pPr>
        <w:contextualSpacing/>
        <w:rPr>
          <w:rFonts w:cs="Tahoma"/>
        </w:rPr>
      </w:pPr>
    </w:p>
    <w:p w:rsidR="00160748" w:rsidRDefault="00160748" w:rsidP="008C2FF8">
      <w:pPr>
        <w:contextualSpacing/>
        <w:rPr>
          <w:rFonts w:cs="Tahoma"/>
        </w:rPr>
      </w:pPr>
    </w:p>
    <w:p w:rsidR="00160748" w:rsidRPr="004B208C" w:rsidRDefault="00160748" w:rsidP="008C2FF8">
      <w:pPr>
        <w:contextualSpacing/>
        <w:rPr>
          <w:rFonts w:cs="Tahoma"/>
        </w:rPr>
      </w:pPr>
    </w:p>
    <w:p w:rsidR="002512D3" w:rsidRPr="004B208C" w:rsidRDefault="002512D3">
      <w:pPr>
        <w:rPr>
          <w:rFonts w:cs="Tahoma"/>
        </w:rPr>
      </w:pPr>
      <w:bookmarkStart w:id="1565" w:name="_97_Windows_Server"/>
      <w:bookmarkStart w:id="1566" w:name="_98_Windows_Server"/>
      <w:bookmarkStart w:id="1567" w:name="_Toc336338370"/>
      <w:bookmarkStart w:id="1568" w:name="Srv_116WinSvr08R2Enterprise"/>
      <w:bookmarkStart w:id="1569" w:name="Srv_100WinSvr08R2Enterprise"/>
      <w:bookmarkEnd w:id="1565"/>
      <w:bookmarkEnd w:id="1566"/>
    </w:p>
    <w:p w:rsidR="006D0B36" w:rsidRPr="004B208C" w:rsidRDefault="00A560B6" w:rsidP="007B35CE">
      <w:pPr>
        <w:pStyle w:val="Heading3"/>
        <w:keepNext/>
        <w:ind w:left="360" w:hanging="360"/>
        <w:rPr>
          <w:rFonts w:ascii="Tahoma" w:hAnsi="Tahoma" w:cs="Tahoma"/>
        </w:rPr>
      </w:pPr>
      <w:bookmarkStart w:id="1570" w:name="_109_Windows_Server"/>
      <w:bookmarkStart w:id="1571" w:name="_Toc370981482"/>
      <w:bookmarkEnd w:id="1570"/>
      <w:r w:rsidRPr="004B208C">
        <w:rPr>
          <w:rFonts w:ascii="Tahoma" w:hAnsi="Tahoma" w:cs="Tahoma"/>
          <w:caps/>
          <w:color w:val="F66400"/>
          <w:sz w:val="22"/>
          <w:vertAlign w:val="superscript"/>
        </w:rPr>
        <w:lastRenderedPageBreak/>
        <w:t>108</w:t>
      </w:r>
      <w:r w:rsidRPr="004B208C">
        <w:rPr>
          <w:rFonts w:ascii="Tahoma" w:hAnsi="Tahoma" w:cs="Tahoma"/>
          <w:color w:val="F66400"/>
          <w:sz w:val="22"/>
        </w:rPr>
        <w:t xml:space="preserve"> Windows Server 2008 R2 Enterprise</w:t>
      </w:r>
      <w:bookmarkEnd w:id="1567"/>
      <w:bookmarkEnd w:id="1571"/>
      <w:r w:rsidRPr="004B208C">
        <w:rPr>
          <w:rFonts w:ascii="Tahoma" w:hAnsi="Tahoma" w:cs="Tahoma"/>
          <w:color w:val="F66400"/>
          <w:sz w:val="22"/>
        </w:rPr>
        <w:t xml:space="preserve"> </w:t>
      </w:r>
      <w:bookmarkEnd w:id="1568"/>
    </w:p>
    <w:bookmarkEnd w:id="1564"/>
    <w:bookmarkEnd w:id="1569"/>
    <w:p w:rsidR="00156AE7" w:rsidRPr="004B208C" w:rsidRDefault="00156AE7" w:rsidP="008C2FF8">
      <w:pPr>
        <w:ind w:left="900"/>
        <w:rPr>
          <w:rFonts w:cs="Tahoma"/>
        </w:rPr>
      </w:pPr>
    </w:p>
    <w:p w:rsidR="00171927" w:rsidRPr="004B208C" w:rsidRDefault="00156AE7" w:rsidP="00171927">
      <w:pPr>
        <w:spacing w:after="60"/>
        <w:ind w:left="720"/>
        <w:rPr>
          <w:rFonts w:cs="Tahoma"/>
        </w:rPr>
      </w:pPr>
      <w:r w:rsidRPr="004B208C">
        <w:rPr>
          <w:rFonts w:cs="Tahoma"/>
          <w:b/>
          <w:color w:val="000000"/>
        </w:rPr>
        <w:t>Outorgas de licença associadas ao término da validade da edição do Windows Server Enterprise</w:t>
      </w:r>
    </w:p>
    <w:p w:rsidR="00156AE7" w:rsidRPr="00DF6C52" w:rsidRDefault="00156AE7" w:rsidP="008C2FF8">
      <w:pPr>
        <w:ind w:left="720"/>
        <w:rPr>
          <w:rFonts w:cs="Tahoma"/>
          <w:spacing w:val="-2"/>
        </w:rPr>
      </w:pPr>
      <w:r w:rsidRPr="00DF6C52">
        <w:rPr>
          <w:rFonts w:cs="Tahoma"/>
          <w:color w:val="000000"/>
          <w:spacing w:val="-2"/>
        </w:rPr>
        <w:t>O Windows Server 2008 R2 será a última versão da edição do Windows Server Enterprise.</w:t>
      </w:r>
      <w:r w:rsidR="00172F11" w:rsidRPr="00DF6C52">
        <w:rPr>
          <w:rFonts w:cs="Tahoma"/>
          <w:color w:val="000000"/>
          <w:spacing w:val="-2"/>
        </w:rPr>
        <w:t xml:space="preserve"> </w:t>
      </w:r>
      <w:r w:rsidRPr="00DF6C52">
        <w:rPr>
          <w:rFonts w:cs="Tahoma"/>
          <w:color w:val="000000"/>
          <w:spacing w:val="-2"/>
        </w:rPr>
        <w:t>Os clientes de Licenciamento por Volume com Software Assurance ativo para licenças do Windows Server 2008 R2 Enterprise em 1</w:t>
      </w:r>
      <w:r w:rsidRPr="00DF6C52">
        <w:rPr>
          <w:rFonts w:cs="Tahoma"/>
          <w:color w:val="000000"/>
          <w:spacing w:val="-2"/>
          <w:vertAlign w:val="superscript"/>
        </w:rPr>
        <w:t>º</w:t>
      </w:r>
      <w:r w:rsidRPr="00DF6C52">
        <w:rPr>
          <w:rFonts w:cs="Tahoma"/>
          <w:color w:val="000000"/>
          <w:spacing w:val="-2"/>
        </w:rPr>
        <w:t xml:space="preserve"> de setembro de 2012 ou a partir da data da primeira disponibilização do Windows Server 2012 para download no Volume Licensing Service Center (Centro de Atendimento de Licenciamento por Volume), o que ocorrer primeiro, (“Licenças Qualificadas”) </w:t>
      </w:r>
      <w:r w:rsidRPr="00DF6C52">
        <w:rPr>
          <w:rFonts w:eastAsia="Calibri" w:cs="Tahoma"/>
          <w:spacing w:val="-2"/>
          <w:szCs w:val="18"/>
        </w:rPr>
        <w:t>poderão atualizar para e usar o software Windows Server 2012 Standard em vez do Windows Server 2008 R2 Enterprise. Para facilitar essa atualização, para cada Licença Qualificada que o cliente possui, ele terá, mediante a disponibilização do</w:t>
      </w:r>
      <w:r w:rsidR="00DF6C52" w:rsidRPr="00DF6C52">
        <w:rPr>
          <w:rFonts w:eastAsia="Calibri" w:cs="Tahoma"/>
          <w:spacing w:val="-2"/>
          <w:szCs w:val="18"/>
        </w:rPr>
        <w:t> </w:t>
      </w:r>
      <w:r w:rsidRPr="00DF6C52">
        <w:rPr>
          <w:rFonts w:eastAsia="Calibri" w:cs="Tahoma"/>
          <w:spacing w:val="-2"/>
          <w:szCs w:val="18"/>
        </w:rPr>
        <w:t>Windows Server 2012:</w:t>
      </w:r>
    </w:p>
    <w:p w:rsidR="00171927" w:rsidRPr="004B208C" w:rsidRDefault="00171927" w:rsidP="00171927">
      <w:pPr>
        <w:spacing w:after="60"/>
        <w:ind w:left="720"/>
        <w:rPr>
          <w:rFonts w:cs="Tahoma"/>
        </w:rPr>
      </w:pPr>
    </w:p>
    <w:p w:rsidR="00156AE7" w:rsidRPr="004B208C" w:rsidRDefault="00156AE7" w:rsidP="00A1385C">
      <w:pPr>
        <w:numPr>
          <w:ilvl w:val="0"/>
          <w:numId w:val="50"/>
        </w:numPr>
        <w:spacing w:after="60"/>
        <w:ind w:left="1440"/>
        <w:rPr>
          <w:rFonts w:cs="Tahoma"/>
        </w:rPr>
      </w:pPr>
      <w:r w:rsidRPr="004B208C">
        <w:rPr>
          <w:rFonts w:eastAsia="Calibri" w:cs="Tahoma"/>
          <w:szCs w:val="18"/>
        </w:rPr>
        <w:t>Duas licenças do Windows Server 2012 Standard OU</w:t>
      </w:r>
    </w:p>
    <w:p w:rsidR="00156AE7" w:rsidRPr="004B208C" w:rsidRDefault="00156AE7" w:rsidP="00A1385C">
      <w:pPr>
        <w:numPr>
          <w:ilvl w:val="0"/>
          <w:numId w:val="50"/>
        </w:numPr>
        <w:spacing w:after="60"/>
        <w:ind w:left="1440"/>
        <w:rPr>
          <w:rFonts w:cs="Tahoma"/>
        </w:rPr>
      </w:pPr>
      <w:r w:rsidRPr="004B208C">
        <w:rPr>
          <w:rFonts w:eastAsia="Calibri" w:cs="Tahoma"/>
          <w:szCs w:val="18"/>
        </w:rPr>
        <w:t>Três, para Licenças de Qualificação adquiridas com SA ou renovadas entre 1º de abril de 2012 a</w:t>
      </w:r>
      <w:r w:rsidR="00DF6C52">
        <w:rPr>
          <w:rFonts w:eastAsia="Calibri" w:cs="Tahoma"/>
          <w:szCs w:val="18"/>
        </w:rPr>
        <w:t> </w:t>
      </w:r>
      <w:r w:rsidRPr="004B208C">
        <w:rPr>
          <w:rFonts w:eastAsia="Calibri" w:cs="Tahoma"/>
          <w:szCs w:val="18"/>
        </w:rPr>
        <w:t>31</w:t>
      </w:r>
      <w:r w:rsidR="00DF6C52">
        <w:rPr>
          <w:rFonts w:eastAsia="Calibri" w:cs="Tahoma"/>
          <w:szCs w:val="18"/>
        </w:rPr>
        <w:t> </w:t>
      </w:r>
      <w:r w:rsidRPr="004B208C">
        <w:rPr>
          <w:rFonts w:eastAsia="Calibri" w:cs="Tahoma"/>
          <w:szCs w:val="18"/>
        </w:rPr>
        <w:t>de agosto de 2012 OU</w:t>
      </w:r>
    </w:p>
    <w:p w:rsidR="00156AE7" w:rsidRPr="004B208C" w:rsidRDefault="00156AE7" w:rsidP="00A1385C">
      <w:pPr>
        <w:numPr>
          <w:ilvl w:val="0"/>
          <w:numId w:val="50"/>
        </w:numPr>
        <w:spacing w:after="60"/>
        <w:ind w:left="1440"/>
        <w:rPr>
          <w:rFonts w:cs="Tahoma"/>
        </w:rPr>
      </w:pPr>
      <w:r w:rsidRPr="004B208C">
        <w:rPr>
          <w:rFonts w:eastAsia="Calibri" w:cs="Tahoma"/>
          <w:szCs w:val="18"/>
        </w:rPr>
        <w:t>Quatro licenças do Windows Server 2012 Standard se o número real de processadores físicos no servidor no qual a Licença Qualificada está atribuída exceder quatro. (Em tais casos, os clientes devem criar um registro de configuração do hardware físico oferecendo suporte ao software antes da expiração da cobertura de Software Assurance para as Licenças Qualificadas sob o contrato atual, quer usando a ferramenta Microsoft MAP ou qualquer software equivalente. Essa concessão está disponível somente para uma Licença Qualificada por servidor.)</w:t>
      </w:r>
    </w:p>
    <w:p w:rsidR="00156AE7" w:rsidRPr="004B208C" w:rsidRDefault="00156AE7" w:rsidP="00A1385C">
      <w:pPr>
        <w:numPr>
          <w:ilvl w:val="0"/>
          <w:numId w:val="50"/>
        </w:numPr>
        <w:spacing w:after="60"/>
        <w:ind w:left="1440"/>
        <w:rPr>
          <w:rFonts w:cs="Tahoma"/>
        </w:rPr>
      </w:pPr>
      <w:r w:rsidRPr="004B208C">
        <w:rPr>
          <w:rFonts w:eastAsia="Calibri" w:cs="Tahoma"/>
          <w:szCs w:val="18"/>
        </w:rPr>
        <w:t>As licenças adquiridas sob esta concessão incluirão cobertura do Software Assurance.</w:t>
      </w:r>
      <w:r w:rsidR="00172F11">
        <w:rPr>
          <w:rFonts w:eastAsia="Calibri" w:cs="Tahoma"/>
          <w:szCs w:val="18"/>
        </w:rPr>
        <w:t xml:space="preserve"> </w:t>
      </w:r>
      <w:r w:rsidRPr="004B208C">
        <w:rPr>
          <w:rFonts w:eastAsia="Calibri" w:cs="Tahoma"/>
          <w:szCs w:val="18"/>
        </w:rPr>
        <w:t>Tal cobertura expira quando a cobertura correspondente nas Licenças Qualificadas expirar.</w:t>
      </w:r>
    </w:p>
    <w:p w:rsidR="00156AE7" w:rsidRPr="004B208C" w:rsidRDefault="00156AE7" w:rsidP="00A1385C">
      <w:pPr>
        <w:numPr>
          <w:ilvl w:val="0"/>
          <w:numId w:val="50"/>
        </w:numPr>
        <w:spacing w:after="60"/>
        <w:ind w:left="1440"/>
        <w:rPr>
          <w:rFonts w:cs="Tahoma"/>
        </w:rPr>
      </w:pPr>
      <w:r w:rsidRPr="004B208C">
        <w:rPr>
          <w:rFonts w:eastAsia="Calibri" w:cs="Tahoma"/>
          <w:szCs w:val="18"/>
        </w:rPr>
        <w:t>Se os clientes adquiriram direitos perpétuos para usar o software sob as Licenças Qualificadas, as</w:t>
      </w:r>
      <w:r w:rsidR="00DF6C52">
        <w:rPr>
          <w:rFonts w:eastAsia="Calibri" w:cs="Tahoma"/>
          <w:szCs w:val="18"/>
        </w:rPr>
        <w:t> </w:t>
      </w:r>
      <w:r w:rsidRPr="004B208C">
        <w:rPr>
          <w:rFonts w:eastAsia="Calibri" w:cs="Tahoma"/>
          <w:szCs w:val="18"/>
        </w:rPr>
        <w:t>licenças adquiridas sob essa concessão serão também perpétuas; caso contrário, as licenças adquiridas sob essa concessão expirarão quando as Licenças Qualificadas subjacentes expirarem.</w:t>
      </w:r>
      <w:r w:rsidR="00172F11">
        <w:rPr>
          <w:rFonts w:eastAsia="Calibri" w:cs="Tahoma"/>
          <w:szCs w:val="18"/>
        </w:rPr>
        <w:t xml:space="preserve"> </w:t>
      </w:r>
    </w:p>
    <w:p w:rsidR="00156AE7" w:rsidRPr="004B208C" w:rsidRDefault="00156AE7" w:rsidP="00A1385C">
      <w:pPr>
        <w:numPr>
          <w:ilvl w:val="0"/>
          <w:numId w:val="50"/>
        </w:numPr>
        <w:spacing w:after="60"/>
        <w:ind w:left="1440"/>
        <w:rPr>
          <w:rFonts w:cs="Tahoma"/>
        </w:rPr>
      </w:pPr>
      <w:r w:rsidRPr="004B208C">
        <w:rPr>
          <w:rFonts w:eastAsia="Calibri" w:cs="Tahoma"/>
          <w:szCs w:val="18"/>
        </w:rPr>
        <w:t>Na atualização para o Windows Server 2012 Standard sob essa concessão, as Licenças Qualificadas do Windows Server Enterprise existentes do cliente não serão mais válidas.</w:t>
      </w:r>
    </w:p>
    <w:p w:rsidR="00156AE7" w:rsidRPr="004B208C" w:rsidRDefault="00156AE7" w:rsidP="00A1385C">
      <w:pPr>
        <w:numPr>
          <w:ilvl w:val="0"/>
          <w:numId w:val="50"/>
        </w:numPr>
        <w:spacing w:after="60"/>
        <w:ind w:left="1440"/>
        <w:rPr>
          <w:rFonts w:cs="Tahoma"/>
        </w:rPr>
      </w:pPr>
      <w:r w:rsidRPr="004B208C">
        <w:rPr>
          <w:rFonts w:eastAsia="Calibri" w:cs="Tahoma"/>
          <w:szCs w:val="18"/>
        </w:rPr>
        <w:t>As licenças do Windows Server 2</w:t>
      </w:r>
      <w:r w:rsidR="00915C5F">
        <w:rPr>
          <w:rFonts w:eastAsia="Calibri" w:cs="Tahoma"/>
          <w:szCs w:val="18"/>
        </w:rPr>
        <w:t>0</w:t>
      </w:r>
      <w:r w:rsidRPr="004B208C">
        <w:rPr>
          <w:rFonts w:eastAsia="Calibri" w:cs="Tahoma"/>
          <w:szCs w:val="18"/>
        </w:rPr>
        <w:t>08 R2 Enterprise 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de licença supracitada.</w:t>
      </w:r>
      <w:r w:rsidR="00172F11">
        <w:rPr>
          <w:rFonts w:eastAsia="Calibri" w:cs="Tahoma"/>
          <w:szCs w:val="18"/>
        </w:rPr>
        <w:t xml:space="preserve"> </w:t>
      </w:r>
    </w:p>
    <w:p w:rsidR="00156AE7" w:rsidRPr="004B208C" w:rsidRDefault="00156AE7" w:rsidP="00A1385C">
      <w:pPr>
        <w:numPr>
          <w:ilvl w:val="0"/>
          <w:numId w:val="50"/>
        </w:numPr>
        <w:spacing w:after="60"/>
        <w:ind w:left="1440"/>
        <w:rPr>
          <w:rFonts w:cs="Tahoma"/>
        </w:rPr>
      </w:pPr>
      <w:r w:rsidRPr="004B208C">
        <w:rPr>
          <w:rFonts w:eastAsia="Calibri" w:cs="Tahoma"/>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047339" w:rsidRPr="00DF6C52" w:rsidRDefault="00047339" w:rsidP="00171927">
      <w:pPr>
        <w:pStyle w:val="EndnoteText"/>
        <w:ind w:left="0"/>
        <w:rPr>
          <w:rFonts w:ascii="Tahoma" w:hAnsi="Tahoma" w:cs="Tahoma"/>
          <w:sz w:val="18"/>
          <w:szCs w:val="18"/>
        </w:rPr>
      </w:pPr>
    </w:p>
    <w:p w:rsidR="00171927" w:rsidRPr="00DF6C52" w:rsidRDefault="00171927" w:rsidP="00171927">
      <w:pPr>
        <w:pStyle w:val="EndnoteText"/>
        <w:ind w:left="0"/>
        <w:rPr>
          <w:rFonts w:ascii="Tahoma" w:hAnsi="Tahoma" w:cs="Tahoma"/>
          <w:sz w:val="18"/>
          <w:szCs w:val="18"/>
        </w:rPr>
      </w:pPr>
    </w:p>
    <w:p w:rsidR="00EF1978" w:rsidRPr="004B208C" w:rsidRDefault="00A560B6" w:rsidP="00A9151E">
      <w:pPr>
        <w:pStyle w:val="Heading3"/>
        <w:keepNext/>
        <w:ind w:left="360" w:hanging="360"/>
        <w:rPr>
          <w:rFonts w:ascii="Tahoma" w:hAnsi="Tahoma" w:cs="Tahoma"/>
        </w:rPr>
      </w:pPr>
      <w:bookmarkStart w:id="1572" w:name="_110_Windows_Server_1"/>
      <w:bookmarkStart w:id="1573" w:name="Srv_1102WinSvr08R2Itanium"/>
      <w:bookmarkStart w:id="1574" w:name="_Toc336338371"/>
      <w:bookmarkStart w:id="1575" w:name="Srv_1132WinSvr08R2Itanium"/>
      <w:bookmarkStart w:id="1576" w:name="Srv_117WinSvr08R2Itanium"/>
      <w:bookmarkStart w:id="1577" w:name="Srv_98WinSvr08StdandHyperV"/>
      <w:bookmarkStart w:id="1578" w:name="Srv_99WinSvr08StdandHyperV"/>
      <w:bookmarkStart w:id="1579" w:name="_Toc370981483"/>
      <w:bookmarkEnd w:id="1572"/>
      <w:r w:rsidRPr="004B208C">
        <w:rPr>
          <w:rFonts w:ascii="Tahoma" w:hAnsi="Tahoma" w:cs="Tahoma"/>
          <w:caps/>
          <w:color w:val="F66400"/>
          <w:sz w:val="22"/>
          <w:vertAlign w:val="superscript"/>
        </w:rPr>
        <w:t>109</w:t>
      </w:r>
      <w:r w:rsidRPr="004B208C">
        <w:rPr>
          <w:rFonts w:ascii="Tahoma" w:hAnsi="Tahoma" w:cs="Tahoma"/>
          <w:b w:val="0"/>
          <w:caps/>
          <w:vertAlign w:val="superscript"/>
        </w:rPr>
        <w:t xml:space="preserve"> </w:t>
      </w:r>
      <w:r w:rsidRPr="004B208C">
        <w:rPr>
          <w:rFonts w:ascii="Tahoma" w:hAnsi="Tahoma" w:cs="Tahoma"/>
          <w:color w:val="F66400"/>
          <w:sz w:val="22"/>
        </w:rPr>
        <w:t>Windows Server 2008 R2 para Sistemas Baseados em Itanium</w:t>
      </w:r>
      <w:bookmarkEnd w:id="1573"/>
      <w:bookmarkEnd w:id="1574"/>
      <w:bookmarkEnd w:id="1579"/>
    </w:p>
    <w:bookmarkEnd w:id="1575"/>
    <w:bookmarkEnd w:id="1576"/>
    <w:p w:rsidR="00376D4B" w:rsidRPr="004B208C" w:rsidRDefault="00376D4B" w:rsidP="007E3162">
      <w:pPr>
        <w:ind w:left="360"/>
        <w:rPr>
          <w:rFonts w:cs="Tahoma"/>
        </w:rPr>
      </w:pPr>
    </w:p>
    <w:p w:rsidR="007E3162" w:rsidRPr="004B208C" w:rsidRDefault="006533DF" w:rsidP="007E3162">
      <w:pPr>
        <w:spacing w:after="60"/>
        <w:ind w:left="720"/>
        <w:rPr>
          <w:rFonts w:cs="Tahoma"/>
        </w:rPr>
      </w:pPr>
      <w:r w:rsidRPr="004B208C">
        <w:rPr>
          <w:rFonts w:cs="Tahoma"/>
          <w:b/>
          <w:color w:val="000000"/>
        </w:rPr>
        <w:t>Outorgas de licença associadas ao término da validade da edição do Windows Server para Sistemas Baseados em Itanium</w:t>
      </w:r>
    </w:p>
    <w:p w:rsidR="006533DF" w:rsidRPr="004B208C" w:rsidRDefault="006533DF" w:rsidP="007E3162">
      <w:pPr>
        <w:ind w:left="720"/>
        <w:rPr>
          <w:rFonts w:cs="Tahoma"/>
        </w:rPr>
      </w:pPr>
      <w:r w:rsidRPr="004B208C">
        <w:rPr>
          <w:rFonts w:cs="Tahoma"/>
          <w:color w:val="000000"/>
        </w:rPr>
        <w:t>O Windows Server 2008 R2 será a última versão do Windows Server para Sistemas Baseados em Itanium.</w:t>
      </w:r>
      <w:r w:rsidR="00172F11">
        <w:rPr>
          <w:rFonts w:cs="Tahoma"/>
          <w:color w:val="000000"/>
        </w:rPr>
        <w:t xml:space="preserve"> </w:t>
      </w:r>
      <w:r w:rsidRPr="004B208C">
        <w:rPr>
          <w:rFonts w:cs="Tahoma"/>
          <w:color w:val="000000"/>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w:t>
      </w:r>
      <w:r w:rsidRPr="004B208C">
        <w:rPr>
          <w:rFonts w:eastAsia="Calibri" w:cs="Tahoma"/>
          <w:szCs w:val="18"/>
        </w:rPr>
        <w:t xml:space="preserve"> atualizar para e usar o software Windows Server 2012 Datacenter em vez do Windows Server 2008 R2 Enterprise para Sistemas Baseados em Itanium. Para facilitar essa atualização, para cada duas Licenças Qualificadas que o cliente possui, ele terá uma licença do processador Windows Server 2012 Datacenter mediante a disponibilização do Windows Server 2012. </w:t>
      </w:r>
    </w:p>
    <w:p w:rsidR="007E3162" w:rsidRPr="004B208C" w:rsidRDefault="007E3162" w:rsidP="007E3162">
      <w:pPr>
        <w:ind w:left="720"/>
        <w:rPr>
          <w:rFonts w:cs="Tahoma"/>
        </w:rPr>
      </w:pPr>
    </w:p>
    <w:p w:rsidR="006533DF" w:rsidRPr="00DF6C52" w:rsidRDefault="006533DF" w:rsidP="00A1385C">
      <w:pPr>
        <w:numPr>
          <w:ilvl w:val="0"/>
          <w:numId w:val="54"/>
        </w:numPr>
        <w:tabs>
          <w:tab w:val="clear" w:pos="360"/>
          <w:tab w:val="num" w:pos="1440"/>
        </w:tabs>
        <w:spacing w:after="60"/>
        <w:ind w:left="1440"/>
        <w:rPr>
          <w:rFonts w:cs="Tahoma"/>
          <w:spacing w:val="-2"/>
          <w:szCs w:val="18"/>
        </w:rPr>
      </w:pPr>
      <w:r w:rsidRPr="00DF6C52">
        <w:rPr>
          <w:rFonts w:cs="Tahoma"/>
          <w:color w:val="000000"/>
          <w:spacing w:val="-2"/>
          <w:szCs w:val="18"/>
        </w:rPr>
        <w:t>Se um cliente tiver um número ímpar de Licenças Qualificadas, o cliente precisará arredondar para baixo para o próximo número par para determinar sua concessão.</w:t>
      </w:r>
      <w:r w:rsidR="00172F11" w:rsidRPr="00DF6C52">
        <w:rPr>
          <w:rFonts w:cs="Tahoma"/>
          <w:color w:val="000000"/>
          <w:spacing w:val="-2"/>
          <w:szCs w:val="18"/>
        </w:rPr>
        <w:t xml:space="preserve"> </w:t>
      </w:r>
      <w:r w:rsidRPr="00DF6C52">
        <w:rPr>
          <w:rFonts w:cs="Tahoma"/>
          <w:color w:val="000000"/>
          <w:spacing w:val="-2"/>
          <w:szCs w:val="18"/>
        </w:rPr>
        <w:t xml:space="preserve">Por exemplo, um cliente que tenha três Licenças Qualificadas receberá no total uma licença do Windows Server 2012 Datacenter. </w:t>
      </w:r>
    </w:p>
    <w:p w:rsidR="006533DF" w:rsidRPr="00DF6C52" w:rsidRDefault="006533DF" w:rsidP="00A1385C">
      <w:pPr>
        <w:pStyle w:val="ListParagraph"/>
        <w:numPr>
          <w:ilvl w:val="0"/>
          <w:numId w:val="54"/>
        </w:numPr>
        <w:tabs>
          <w:tab w:val="clear" w:pos="360"/>
          <w:tab w:val="num" w:pos="1440"/>
        </w:tabs>
        <w:spacing w:after="60"/>
        <w:ind w:left="1440"/>
        <w:contextualSpacing w:val="0"/>
        <w:rPr>
          <w:rFonts w:ascii="Tahoma" w:hAnsi="Tahoma" w:cs="Tahoma"/>
          <w:sz w:val="18"/>
          <w:szCs w:val="18"/>
        </w:rPr>
      </w:pPr>
      <w:r w:rsidRPr="00DF6C52">
        <w:rPr>
          <w:rFonts w:ascii="Tahoma" w:eastAsia="Calibri" w:hAnsi="Tahoma" w:cs="Tahoma"/>
          <w:sz w:val="18"/>
          <w:szCs w:val="18"/>
        </w:rPr>
        <w:t>As licenças adquiridas sob esta concessão incluirão cobertura do Software Assurance.</w:t>
      </w:r>
      <w:r w:rsidR="00172F11" w:rsidRPr="00DF6C52">
        <w:rPr>
          <w:rFonts w:ascii="Tahoma" w:eastAsia="Calibri" w:hAnsi="Tahoma" w:cs="Tahoma"/>
          <w:sz w:val="18"/>
          <w:szCs w:val="18"/>
        </w:rPr>
        <w:t xml:space="preserve"> </w:t>
      </w:r>
      <w:r w:rsidRPr="00DF6C52">
        <w:rPr>
          <w:rFonts w:ascii="Tahoma" w:eastAsia="Calibri" w:hAnsi="Tahoma" w:cs="Tahoma"/>
          <w:sz w:val="18"/>
          <w:szCs w:val="18"/>
        </w:rPr>
        <w:t>Tal cobertura expira quando a cobertura correspondente nas Licenças Qualificadas expirar.</w:t>
      </w:r>
    </w:p>
    <w:p w:rsidR="006533DF" w:rsidRPr="00DF6C52" w:rsidRDefault="006533DF" w:rsidP="00A1385C">
      <w:pPr>
        <w:pStyle w:val="ListParagraph"/>
        <w:numPr>
          <w:ilvl w:val="0"/>
          <w:numId w:val="54"/>
        </w:numPr>
        <w:tabs>
          <w:tab w:val="clear" w:pos="360"/>
          <w:tab w:val="num" w:pos="1440"/>
        </w:tabs>
        <w:spacing w:after="60"/>
        <w:ind w:left="1440"/>
        <w:contextualSpacing w:val="0"/>
        <w:rPr>
          <w:rFonts w:ascii="Tahoma" w:hAnsi="Tahoma" w:cs="Tahoma"/>
          <w:sz w:val="18"/>
          <w:szCs w:val="18"/>
        </w:rPr>
      </w:pPr>
      <w:r w:rsidRPr="00DF6C52">
        <w:rPr>
          <w:rFonts w:ascii="Tahoma" w:eastAsia="Calibri" w:hAnsi="Tahoma" w:cs="Tahoma"/>
          <w:sz w:val="18"/>
          <w:szCs w:val="18"/>
        </w:rPr>
        <w:lastRenderedPageBreak/>
        <w:t>Se os clientes adquiriram direitos perpétuos para usar o software sob as Licenças Qualificadas, as</w:t>
      </w:r>
      <w:r w:rsidR="001F5C65">
        <w:rPr>
          <w:rFonts w:ascii="Tahoma" w:eastAsia="Calibri" w:hAnsi="Tahoma" w:cs="Tahoma"/>
          <w:sz w:val="18"/>
          <w:szCs w:val="18"/>
        </w:rPr>
        <w:t> </w:t>
      </w:r>
      <w:r w:rsidRPr="00DF6C52">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6533DF" w:rsidRPr="00DF6C52" w:rsidRDefault="006533DF" w:rsidP="00A1385C">
      <w:pPr>
        <w:numPr>
          <w:ilvl w:val="0"/>
          <w:numId w:val="54"/>
        </w:numPr>
        <w:tabs>
          <w:tab w:val="clear" w:pos="360"/>
          <w:tab w:val="num" w:pos="1440"/>
        </w:tabs>
        <w:spacing w:after="60"/>
        <w:ind w:left="1440"/>
        <w:rPr>
          <w:rFonts w:cs="Tahoma"/>
          <w:szCs w:val="18"/>
        </w:rPr>
      </w:pPr>
      <w:r w:rsidRPr="00DF6C52">
        <w:rPr>
          <w:rFonts w:eastAsia="Calibri" w:cs="Tahoma"/>
          <w:szCs w:val="18"/>
        </w:rPr>
        <w:t>Na atualização para o Windows Server 2012 Datacenter sob essa concessão, as Licenças Qualificadas do Windows Server 2008 R2 para Sistemas Baseados em Itanium existentes do cliente não serão mais válidas.</w:t>
      </w:r>
    </w:p>
    <w:p w:rsidR="006533DF" w:rsidRPr="00DF6C52" w:rsidRDefault="006533DF" w:rsidP="00A1385C">
      <w:pPr>
        <w:numPr>
          <w:ilvl w:val="0"/>
          <w:numId w:val="54"/>
        </w:numPr>
        <w:tabs>
          <w:tab w:val="clear" w:pos="360"/>
          <w:tab w:val="num" w:pos="1440"/>
        </w:tabs>
        <w:spacing w:after="60"/>
        <w:ind w:left="1440"/>
        <w:rPr>
          <w:rFonts w:cs="Tahoma"/>
          <w:szCs w:val="18"/>
        </w:rPr>
      </w:pPr>
      <w:r w:rsidRPr="00DF6C52">
        <w:rPr>
          <w:rFonts w:cs="Tahoma"/>
          <w:color w:val="000000"/>
          <w:szCs w:val="18"/>
        </w:rPr>
        <w:t xml:space="preserve">As licenças do Windows Server 2008 R2 para Sistemas Baseados em Itanium </w:t>
      </w:r>
      <w:r w:rsidRPr="00DF6C52">
        <w:rPr>
          <w:rFonts w:cs="Tahoma"/>
          <w:bCs/>
          <w:color w:val="000000"/>
          <w:szCs w:val="18"/>
        </w:rPr>
        <w:t>adquiridas posteriormente no mesmo prazo de registro, como parte de um processo de adequação (“true-up”) programado do cliente Enterprise, Enterprise Subscription, Open Value Subscription ou Enrollment for Education Solutions também são Licenças Qualificadas para os propósitos da outorga de licença supracitada.</w:t>
      </w:r>
      <w:r w:rsidR="00172F11" w:rsidRPr="00DF6C52">
        <w:rPr>
          <w:rFonts w:cs="Tahoma"/>
          <w:bCs/>
          <w:color w:val="000000"/>
          <w:szCs w:val="18"/>
        </w:rPr>
        <w:t xml:space="preserve"> </w:t>
      </w:r>
    </w:p>
    <w:p w:rsidR="006533DF" w:rsidRPr="00DF6C52" w:rsidRDefault="006533DF" w:rsidP="00A1385C">
      <w:pPr>
        <w:numPr>
          <w:ilvl w:val="0"/>
          <w:numId w:val="54"/>
        </w:numPr>
        <w:tabs>
          <w:tab w:val="clear" w:pos="360"/>
          <w:tab w:val="num" w:pos="1440"/>
        </w:tabs>
        <w:spacing w:after="60"/>
        <w:ind w:left="1440"/>
        <w:rPr>
          <w:rFonts w:cs="Tahoma"/>
          <w:szCs w:val="18"/>
        </w:rPr>
      </w:pPr>
      <w:r w:rsidRPr="00DF6C52">
        <w:rPr>
          <w:rFonts w:cs="Tahoma"/>
          <w:bCs/>
          <w:color w:val="000000"/>
          <w:szCs w:val="18"/>
        </w:rPr>
        <w:t>Não obstante a concessão das licenças do Windows Server 2012 Datacenter e qualquer atualização para esta versão, as obrigações de pagar montantes devidos e pendentes pelas Licenças Qualificadas e cobertura permanecem em pleno vigor e efeito.</w:t>
      </w:r>
    </w:p>
    <w:p w:rsidR="00D63C1B" w:rsidRPr="004B208C" w:rsidRDefault="00D63C1B" w:rsidP="007E3162">
      <w:pPr>
        <w:rPr>
          <w:rFonts w:cs="Tahoma"/>
        </w:rPr>
      </w:pPr>
      <w:bookmarkStart w:id="1580" w:name="_117_Windows_Server"/>
      <w:bookmarkEnd w:id="1577"/>
      <w:bookmarkEnd w:id="1578"/>
      <w:bookmarkEnd w:id="1580"/>
    </w:p>
    <w:p w:rsidR="00586FCE" w:rsidRPr="004B208C" w:rsidRDefault="00586FCE" w:rsidP="00EF2279">
      <w:pPr>
        <w:rPr>
          <w:rFonts w:cs="Tahoma"/>
        </w:rPr>
      </w:pPr>
    </w:p>
    <w:p w:rsidR="00FE1A01" w:rsidRPr="004B208C" w:rsidRDefault="00A560B6" w:rsidP="00EF2279">
      <w:pPr>
        <w:pStyle w:val="Heading3"/>
        <w:rPr>
          <w:rFonts w:ascii="Tahoma" w:hAnsi="Tahoma" w:cs="Tahoma"/>
        </w:rPr>
      </w:pPr>
      <w:bookmarkStart w:id="1581" w:name="_116_Windows_Server"/>
      <w:bookmarkStart w:id="1582" w:name="_111_Windows_Server"/>
      <w:bookmarkStart w:id="1583" w:name="_Toc336338372"/>
      <w:bookmarkStart w:id="1584" w:name="Srv_101Win2008RemoteCALandExtConn"/>
      <w:bookmarkStart w:id="1585" w:name="Srv_115Win2008RemoteCALandExtConn"/>
      <w:bookmarkStart w:id="1586" w:name="Srv_119Win2008RemoteCALandExtConn"/>
      <w:bookmarkStart w:id="1587" w:name="Srv_101WindowsSvr2008RemoteDesktop"/>
      <w:bookmarkStart w:id="1588" w:name="_Toc370981484"/>
      <w:bookmarkEnd w:id="1581"/>
      <w:bookmarkEnd w:id="1582"/>
      <w:r w:rsidRPr="004B208C">
        <w:rPr>
          <w:rStyle w:val="Heading3Char"/>
          <w:rFonts w:ascii="Tahoma" w:hAnsi="Tahoma" w:cs="Tahoma"/>
          <w:b/>
          <w:caps/>
          <w:color w:val="F66400"/>
          <w:sz w:val="22"/>
          <w:vertAlign w:val="superscript"/>
        </w:rPr>
        <w:t xml:space="preserve">110 </w:t>
      </w:r>
      <w:r w:rsidRPr="004B208C">
        <w:rPr>
          <w:rFonts w:ascii="Tahoma" w:hAnsi="Tahoma" w:cs="Tahoma"/>
          <w:color w:val="F66400"/>
          <w:sz w:val="22"/>
        </w:rPr>
        <w:t>Windows Server 2012 CAL</w:t>
      </w:r>
      <w:bookmarkEnd w:id="1583"/>
      <w:bookmarkEnd w:id="1588"/>
    </w:p>
    <w:p w:rsidR="00FE1A01" w:rsidRPr="004B208C" w:rsidRDefault="00FE1A01" w:rsidP="002A01C2">
      <w:pPr>
        <w:rPr>
          <w:rFonts w:cs="Tahoma"/>
        </w:rPr>
      </w:pPr>
    </w:p>
    <w:p w:rsidR="00FE1A01" w:rsidRPr="004B208C" w:rsidRDefault="00FE1A01" w:rsidP="002A01C2">
      <w:pPr>
        <w:ind w:left="720"/>
        <w:rPr>
          <w:rFonts w:cs="Tahoma"/>
        </w:rPr>
      </w:pPr>
      <w:r w:rsidRPr="004B208C">
        <w:rPr>
          <w:rFonts w:cs="Tahoma"/>
          <w:szCs w:val="18"/>
        </w:rPr>
        <w:t>A CAL do Windows Server 2012 pode ser usada para acessar o Windows Server 2012 R2.</w:t>
      </w:r>
    </w:p>
    <w:p w:rsidR="002A01C2" w:rsidRPr="004B208C" w:rsidRDefault="002A01C2" w:rsidP="002A01C2">
      <w:pPr>
        <w:ind w:left="720"/>
        <w:rPr>
          <w:rFonts w:cs="Tahoma"/>
        </w:rPr>
      </w:pPr>
    </w:p>
    <w:p w:rsidR="002A01C2" w:rsidRPr="004B208C" w:rsidRDefault="00FE1A01" w:rsidP="002A01C2">
      <w:pPr>
        <w:spacing w:after="60"/>
        <w:ind w:left="720"/>
        <w:rPr>
          <w:rFonts w:cs="Tahoma"/>
        </w:rPr>
      </w:pPr>
      <w:r w:rsidRPr="004B208C">
        <w:rPr>
          <w:rFonts w:eastAsia="Calibri" w:cs="Tahoma"/>
          <w:b/>
          <w:szCs w:val="18"/>
        </w:rPr>
        <w:t>Usando o Windows Server 2012 R2 como um Servidor Web</w:t>
      </w:r>
    </w:p>
    <w:p w:rsidR="00FE1A01" w:rsidRPr="004B208C" w:rsidRDefault="00FE1A01" w:rsidP="002A01C2">
      <w:pPr>
        <w:ind w:left="720"/>
        <w:rPr>
          <w:rFonts w:cs="Tahoma"/>
        </w:rPr>
      </w:pPr>
      <w:r w:rsidRPr="004B208C">
        <w:rPr>
          <w:rFonts w:cs="Tahoma"/>
          <w:color w:val="000000"/>
          <w:szCs w:val="18"/>
        </w:rPr>
        <w:t>Quando o Windows Server 2012 R2 Standard ou Datacenter é usado como um Servidor Web, você não precisa de CALs para acessar o software. Uma “Carga de Trabalho da Web” significa:</w:t>
      </w:r>
    </w:p>
    <w:p w:rsidR="002A01C2" w:rsidRPr="00DF6C52" w:rsidRDefault="002A01C2" w:rsidP="002A01C2">
      <w:pPr>
        <w:pStyle w:val="PURBody-Indented"/>
        <w:spacing w:after="0"/>
        <w:ind w:left="720"/>
        <w:rPr>
          <w:rFonts w:ascii="Tahoma" w:hAnsi="Tahoma" w:cs="Tahoma"/>
          <w:sz w:val="18"/>
          <w:szCs w:val="18"/>
        </w:rPr>
      </w:pPr>
    </w:p>
    <w:p w:rsidR="002A01C2" w:rsidRPr="00DF6C52" w:rsidRDefault="006707A3" w:rsidP="002A01C2">
      <w:pPr>
        <w:pStyle w:val="PURBody-Indented"/>
        <w:spacing w:after="60"/>
        <w:ind w:left="720"/>
        <w:rPr>
          <w:rFonts w:ascii="Tahoma" w:hAnsi="Tahoma" w:cs="Tahoma"/>
          <w:sz w:val="18"/>
          <w:szCs w:val="18"/>
        </w:rPr>
      </w:pPr>
      <w:r w:rsidRPr="00DF6C52">
        <w:rPr>
          <w:rFonts w:ascii="Tahoma" w:hAnsi="Tahoma" w:cs="Tahoma"/>
          <w:b/>
          <w:bCs/>
          <w:sz w:val="18"/>
          <w:szCs w:val="18"/>
        </w:rPr>
        <w:t>Web Workload</w:t>
      </w:r>
      <w:r w:rsidRPr="00DF6C52">
        <w:rPr>
          <w:rFonts w:ascii="Tahoma" w:hAnsi="Tahoma" w:cs="Tahoma"/>
          <w:b/>
          <w:sz w:val="18"/>
          <w:szCs w:val="18"/>
        </w:rPr>
        <w:t xml:space="preserve"> (Soluções da Web na Internet)</w:t>
      </w:r>
    </w:p>
    <w:p w:rsidR="006707A3" w:rsidRPr="00DF6C52" w:rsidRDefault="006707A3" w:rsidP="002A01C2">
      <w:pPr>
        <w:pStyle w:val="PURBody-Indented"/>
        <w:spacing w:after="0"/>
        <w:ind w:left="720"/>
        <w:rPr>
          <w:rFonts w:ascii="Tahoma" w:hAnsi="Tahoma" w:cs="Tahoma"/>
          <w:sz w:val="18"/>
          <w:szCs w:val="18"/>
        </w:rPr>
      </w:pPr>
      <w:r w:rsidRPr="00DF6C52">
        <w:rPr>
          <w:rFonts w:ascii="Tahoma" w:hAnsi="Tahoma" w:cs="Tahoma"/>
          <w:sz w:val="18"/>
          <w:szCs w:val="18"/>
        </w:rPr>
        <w:t>As “Soluções de Web na Internet” são de conhecimento público e são compostas exclusivamente de páginas da Web, sites, aplicativos da Web, serviços da Web e/ou serviços de email do POP3. Esclarecendo melhor, o</w:t>
      </w:r>
      <w:r w:rsidR="00DF6C52">
        <w:rPr>
          <w:rFonts w:ascii="Tahoma" w:hAnsi="Tahoma" w:cs="Tahoma"/>
          <w:sz w:val="18"/>
          <w:szCs w:val="18"/>
        </w:rPr>
        <w:t> </w:t>
      </w:r>
      <w:r w:rsidRPr="00DF6C52">
        <w:rPr>
          <w:rFonts w:ascii="Tahoma" w:hAnsi="Tahoma" w:cs="Tahoma"/>
          <w:sz w:val="18"/>
          <w:szCs w:val="18"/>
        </w:rPr>
        <w:t>acesso ao conteúdo, às informações e aos aplicativos oferecidos pelo software em uma solução de Web</w:t>
      </w:r>
      <w:r w:rsidR="00DF6C52">
        <w:rPr>
          <w:rFonts w:ascii="Tahoma" w:hAnsi="Tahoma" w:cs="Tahoma"/>
          <w:sz w:val="18"/>
          <w:szCs w:val="18"/>
        </w:rPr>
        <w:t> </w:t>
      </w:r>
      <w:r w:rsidRPr="00DF6C52">
        <w:rPr>
          <w:rFonts w:ascii="Tahoma" w:hAnsi="Tahoma" w:cs="Tahoma"/>
          <w:sz w:val="18"/>
          <w:szCs w:val="18"/>
        </w:rPr>
        <w:t xml:space="preserve">na Internet não está limitado aos funcionários de suas afiliadas. </w:t>
      </w:r>
    </w:p>
    <w:p w:rsidR="002A01C2" w:rsidRPr="00DF6C52" w:rsidRDefault="002A01C2" w:rsidP="002A01C2">
      <w:pPr>
        <w:pStyle w:val="PURBody-Indented"/>
        <w:spacing w:after="0"/>
        <w:ind w:firstLine="450"/>
        <w:rPr>
          <w:rFonts w:ascii="Tahoma" w:hAnsi="Tahoma" w:cs="Tahoma"/>
          <w:sz w:val="18"/>
          <w:szCs w:val="18"/>
        </w:rPr>
      </w:pPr>
    </w:p>
    <w:p w:rsidR="006707A3" w:rsidRPr="00DF6C52" w:rsidRDefault="006707A3" w:rsidP="002A01C2">
      <w:pPr>
        <w:pStyle w:val="PURBody-Indented"/>
        <w:spacing w:after="0"/>
        <w:ind w:firstLine="450"/>
        <w:rPr>
          <w:rFonts w:ascii="Tahoma" w:hAnsi="Tahoma" w:cs="Tahoma"/>
          <w:sz w:val="18"/>
          <w:szCs w:val="18"/>
        </w:rPr>
      </w:pPr>
      <w:r w:rsidRPr="00DF6C52">
        <w:rPr>
          <w:rFonts w:ascii="Tahoma" w:hAnsi="Tahoma" w:cs="Tahoma"/>
          <w:sz w:val="18"/>
          <w:szCs w:val="18"/>
        </w:rPr>
        <w:t>Você poderá usar o software nas “Soluções da Web na Internet” para executar:</w:t>
      </w:r>
    </w:p>
    <w:p w:rsidR="002A01C2" w:rsidRPr="00DF6C52" w:rsidRDefault="002A01C2" w:rsidP="002A01C2">
      <w:pPr>
        <w:pStyle w:val="PURBody-Indented"/>
        <w:spacing w:after="0"/>
        <w:ind w:firstLine="450"/>
        <w:rPr>
          <w:rFonts w:ascii="Tahoma" w:hAnsi="Tahoma" w:cs="Tahoma"/>
          <w:sz w:val="18"/>
          <w:szCs w:val="18"/>
        </w:rPr>
      </w:pPr>
    </w:p>
    <w:p w:rsidR="006707A3" w:rsidRPr="00DF6C52" w:rsidRDefault="006707A3" w:rsidP="00A1385C">
      <w:pPr>
        <w:pStyle w:val="PURBullet-Indented"/>
        <w:numPr>
          <w:ilvl w:val="0"/>
          <w:numId w:val="117"/>
        </w:numPr>
        <w:spacing w:after="60" w:line="240" w:lineRule="auto"/>
        <w:ind w:left="1440" w:hanging="360"/>
        <w:contextualSpacing w:val="0"/>
        <w:rPr>
          <w:rFonts w:ascii="Tahoma" w:hAnsi="Tahoma" w:cs="Tahoma"/>
          <w:sz w:val="18"/>
          <w:szCs w:val="18"/>
        </w:rPr>
      </w:pPr>
      <w:r w:rsidRPr="00DF6C52">
        <w:rPr>
          <w:rFonts w:ascii="Tahoma" w:hAnsi="Tahoma" w:cs="Tahoma"/>
          <w:sz w:val="18"/>
          <w:szCs w:val="18"/>
        </w:rPr>
        <w:t>software de servidor Web (por exemplo, o Microsoft Internet Information Services) e gerenciamento de agentes de segurança (por exemplo, o agente System Center Operations Manager).</w:t>
      </w:r>
    </w:p>
    <w:p w:rsidR="006707A3" w:rsidRPr="00DF6C52" w:rsidRDefault="006707A3" w:rsidP="00A1385C">
      <w:pPr>
        <w:pStyle w:val="PURBullet-Indented"/>
        <w:numPr>
          <w:ilvl w:val="0"/>
          <w:numId w:val="117"/>
        </w:numPr>
        <w:spacing w:after="60" w:line="240" w:lineRule="auto"/>
        <w:ind w:left="1440" w:hanging="360"/>
        <w:contextualSpacing w:val="0"/>
        <w:rPr>
          <w:rFonts w:ascii="Tahoma" w:hAnsi="Tahoma" w:cs="Tahoma"/>
          <w:sz w:val="18"/>
          <w:szCs w:val="18"/>
        </w:rPr>
      </w:pPr>
      <w:r w:rsidRPr="00DF6C52">
        <w:rPr>
          <w:rFonts w:ascii="Tahoma" w:hAnsi="Tahoma" w:cs="Tahoma"/>
          <w:sz w:val="18"/>
          <w:szCs w:val="18"/>
        </w:rPr>
        <w:t>software de mecanismo de banco de dados (por exemplo, Microsoft SQL Server) unicamente para</w:t>
      </w:r>
      <w:r w:rsidR="001F5C65">
        <w:rPr>
          <w:rFonts w:ascii="Tahoma" w:hAnsi="Tahoma" w:cs="Tahoma"/>
          <w:sz w:val="18"/>
          <w:szCs w:val="18"/>
        </w:rPr>
        <w:t> </w:t>
      </w:r>
      <w:r w:rsidRPr="00DF6C52">
        <w:rPr>
          <w:rFonts w:ascii="Tahoma" w:hAnsi="Tahoma" w:cs="Tahoma"/>
          <w:sz w:val="18"/>
          <w:szCs w:val="18"/>
        </w:rPr>
        <w:t xml:space="preserve">oferecer o suporte a soluções da Internet. </w:t>
      </w:r>
    </w:p>
    <w:p w:rsidR="006707A3" w:rsidRPr="00DF6C52" w:rsidRDefault="006707A3" w:rsidP="00A1385C">
      <w:pPr>
        <w:pStyle w:val="PURBullet-Indented"/>
        <w:numPr>
          <w:ilvl w:val="0"/>
          <w:numId w:val="117"/>
        </w:numPr>
        <w:spacing w:after="60" w:line="240" w:lineRule="auto"/>
        <w:ind w:left="1440" w:hanging="360"/>
        <w:contextualSpacing w:val="0"/>
        <w:rPr>
          <w:rFonts w:ascii="Tahoma" w:hAnsi="Tahoma" w:cs="Tahoma"/>
          <w:sz w:val="18"/>
          <w:szCs w:val="18"/>
        </w:rPr>
      </w:pPr>
      <w:r w:rsidRPr="00DF6C52">
        <w:rPr>
          <w:rFonts w:ascii="Tahoma" w:hAnsi="Tahoma" w:cs="Tahoma"/>
          <w:sz w:val="18"/>
          <w:szCs w:val="18"/>
        </w:rPr>
        <w:t>serviço DNS (Domain Name System) para fornecer resolução de nomes da Internet aos endereços IP, desde que não seja a função exclusiva dessa instância do servidor.</w:t>
      </w:r>
    </w:p>
    <w:p w:rsidR="00F1020A" w:rsidRPr="00DF6C52" w:rsidRDefault="00F1020A">
      <w:pPr>
        <w:rPr>
          <w:rFonts w:cs="Tahoma"/>
          <w:szCs w:val="18"/>
        </w:rPr>
      </w:pPr>
    </w:p>
    <w:p w:rsidR="002A01C2" w:rsidRPr="00DF6C52" w:rsidRDefault="00FE1A01" w:rsidP="002A01C2">
      <w:pPr>
        <w:spacing w:after="60"/>
        <w:ind w:left="720"/>
        <w:rPr>
          <w:rFonts w:cs="Tahoma"/>
          <w:szCs w:val="18"/>
        </w:rPr>
      </w:pPr>
      <w:r w:rsidRPr="00DF6C52">
        <w:rPr>
          <w:rFonts w:eastAsia="Calibri" w:cs="Tahoma"/>
          <w:b/>
          <w:szCs w:val="18"/>
        </w:rPr>
        <w:t>Usando o Windows Server 2012 R2 para High Performance Computing (HPC)</w:t>
      </w:r>
    </w:p>
    <w:p w:rsidR="00376D4B" w:rsidRPr="00DF6C52" w:rsidRDefault="00FE1A01" w:rsidP="002A01C2">
      <w:pPr>
        <w:ind w:left="720"/>
        <w:rPr>
          <w:rFonts w:cs="Tahoma"/>
          <w:szCs w:val="18"/>
        </w:rPr>
      </w:pPr>
      <w:r w:rsidRPr="00DF6C52">
        <w:rPr>
          <w:rFonts w:cs="Tahoma"/>
          <w:color w:val="000000"/>
          <w:szCs w:val="18"/>
        </w:rPr>
        <w:t>Quando o Windows Server 2012 R2 Standard ou Datacenter é usado para High Performance Computing, você não precisa de CALs para acessar o software. Uma “Carga de Trabalho High Performance Computing (“HPC”)” significa uma carga de trabalho na qual o software para servidores é usado para executar um Nó</w:t>
      </w:r>
      <w:r w:rsidR="00DF6C52">
        <w:rPr>
          <w:rFonts w:cs="Tahoma"/>
          <w:color w:val="000000"/>
          <w:szCs w:val="18"/>
        </w:rPr>
        <w:t> </w:t>
      </w:r>
      <w:r w:rsidRPr="00DF6C52">
        <w:rPr>
          <w:rFonts w:cs="Tahoma"/>
          <w:color w:val="000000"/>
          <w:szCs w:val="18"/>
        </w:rPr>
        <w:t>de Cluster e é usado em conjunto com outro software somente conforme necessário para permitir o</w:t>
      </w:r>
      <w:r w:rsidR="00DF6C52">
        <w:rPr>
          <w:rFonts w:cs="Tahoma"/>
          <w:color w:val="000000"/>
          <w:szCs w:val="18"/>
        </w:rPr>
        <w:t> </w:t>
      </w:r>
      <w:r w:rsidRPr="00DF6C52">
        <w:rPr>
          <w:rFonts w:cs="Tahoma"/>
          <w:color w:val="000000"/>
          <w:szCs w:val="18"/>
        </w:rPr>
        <w:t>gerenciamento de sistemas, a segurança, o armazenamento e a melhoria do desempenho de qualquer dispositivo do nó de cluster com o propósito de oferecer suporte aos Aplicativos HPC agrupados. Consulte os</w:t>
      </w:r>
      <w:r w:rsidR="00DF6C52">
        <w:rPr>
          <w:rFonts w:cs="Tahoma"/>
          <w:color w:val="000000"/>
          <w:szCs w:val="18"/>
        </w:rPr>
        <w:t> </w:t>
      </w:r>
      <w:r w:rsidRPr="00DF6C52">
        <w:rPr>
          <w:rFonts w:cs="Tahoma"/>
          <w:color w:val="000000"/>
          <w:szCs w:val="18"/>
        </w:rPr>
        <w:t>Direitos de Uso de Produto para obter detalhes adicionais.</w:t>
      </w:r>
      <w:bookmarkEnd w:id="1584"/>
      <w:bookmarkEnd w:id="1585"/>
      <w:bookmarkEnd w:id="1586"/>
    </w:p>
    <w:p w:rsidR="00376D4B" w:rsidRPr="00DF6C52" w:rsidRDefault="00376D4B" w:rsidP="002A01C2">
      <w:pPr>
        <w:pStyle w:val="ListParagraph"/>
        <w:ind w:left="0"/>
        <w:contextualSpacing w:val="0"/>
        <w:rPr>
          <w:rFonts w:ascii="Tahoma" w:hAnsi="Tahoma" w:cs="Tahoma"/>
          <w:sz w:val="18"/>
          <w:szCs w:val="18"/>
        </w:rPr>
      </w:pPr>
    </w:p>
    <w:p w:rsidR="00F745E1" w:rsidRDefault="00F745E1" w:rsidP="002A01C2">
      <w:pPr>
        <w:rPr>
          <w:rFonts w:cs="Tahoma"/>
        </w:rPr>
      </w:pPr>
    </w:p>
    <w:p w:rsidR="00DF6C52" w:rsidRDefault="00DF6C52" w:rsidP="002A01C2">
      <w:pPr>
        <w:rPr>
          <w:rFonts w:cs="Tahoma"/>
        </w:rPr>
      </w:pPr>
    </w:p>
    <w:p w:rsidR="00DF6C52" w:rsidRDefault="00DF6C52" w:rsidP="002A01C2">
      <w:pPr>
        <w:rPr>
          <w:rFonts w:cs="Tahoma"/>
        </w:rPr>
      </w:pPr>
    </w:p>
    <w:p w:rsidR="00DF6C52" w:rsidRDefault="00DF6C52" w:rsidP="002A01C2">
      <w:pPr>
        <w:rPr>
          <w:rFonts w:cs="Tahoma"/>
        </w:rPr>
      </w:pPr>
    </w:p>
    <w:p w:rsidR="00DF6C52" w:rsidRDefault="00DF6C52" w:rsidP="002A01C2">
      <w:pPr>
        <w:rPr>
          <w:rFonts w:cs="Tahoma"/>
        </w:rPr>
      </w:pPr>
    </w:p>
    <w:p w:rsidR="00DF6C52" w:rsidRPr="004B208C" w:rsidRDefault="00DF6C52" w:rsidP="002A01C2">
      <w:pPr>
        <w:rPr>
          <w:rFonts w:cs="Tahoma"/>
        </w:rPr>
      </w:pPr>
    </w:p>
    <w:p w:rsidR="00F745E1" w:rsidRPr="004B208C" w:rsidRDefault="00A560B6" w:rsidP="00F745E1">
      <w:pPr>
        <w:pStyle w:val="Heading3"/>
        <w:ind w:left="360" w:hanging="360"/>
        <w:rPr>
          <w:rFonts w:ascii="Tahoma" w:hAnsi="Tahoma" w:cs="Tahoma"/>
        </w:rPr>
      </w:pPr>
      <w:bookmarkStart w:id="1589" w:name="_114_Windows_Server"/>
      <w:bookmarkStart w:id="1590" w:name="_112_Windows_Server"/>
      <w:bookmarkStart w:id="1591" w:name="_Toc336338373"/>
      <w:bookmarkStart w:id="1592" w:name="Srv_111WinSvr08R2Datacenter"/>
      <w:bookmarkStart w:id="1593" w:name="Srv_115WinSvr08R2Datacenter"/>
      <w:bookmarkStart w:id="1594" w:name="_Toc370981485"/>
      <w:bookmarkEnd w:id="1589"/>
      <w:bookmarkEnd w:id="1590"/>
      <w:r w:rsidRPr="004B208C">
        <w:rPr>
          <w:rFonts w:ascii="Tahoma" w:hAnsi="Tahoma" w:cs="Tahoma"/>
          <w:caps/>
          <w:color w:val="F66400"/>
          <w:sz w:val="22"/>
          <w:vertAlign w:val="superscript"/>
        </w:rPr>
        <w:lastRenderedPageBreak/>
        <w:t xml:space="preserve">111 </w:t>
      </w:r>
      <w:r w:rsidRPr="004B208C">
        <w:rPr>
          <w:rFonts w:ascii="Tahoma" w:hAnsi="Tahoma" w:cs="Tahoma"/>
          <w:color w:val="F66400"/>
          <w:sz w:val="22"/>
        </w:rPr>
        <w:t>Windows Server 2012 R2 Datacenter</w:t>
      </w:r>
      <w:bookmarkEnd w:id="1591"/>
      <w:bookmarkEnd w:id="1594"/>
      <w:r w:rsidRPr="004B208C">
        <w:rPr>
          <w:rFonts w:ascii="Tahoma" w:hAnsi="Tahoma" w:cs="Tahoma"/>
          <w:color w:val="F66400"/>
          <w:sz w:val="22"/>
        </w:rPr>
        <w:t xml:space="preserve"> </w:t>
      </w:r>
    </w:p>
    <w:bookmarkEnd w:id="1592"/>
    <w:bookmarkEnd w:id="1593"/>
    <w:p w:rsidR="00DF6C52" w:rsidRPr="004B208C" w:rsidRDefault="00DF6C52" w:rsidP="00DF6C52">
      <w:pPr>
        <w:tabs>
          <w:tab w:val="left" w:pos="360"/>
        </w:tabs>
        <w:ind w:left="360"/>
        <w:rPr>
          <w:rFonts w:cs="Tahoma"/>
        </w:rPr>
      </w:pPr>
    </w:p>
    <w:p w:rsidR="00A83EBB" w:rsidRPr="004B208C" w:rsidRDefault="00A83EBB" w:rsidP="002378E5">
      <w:pPr>
        <w:spacing w:afterLines="60" w:after="144"/>
        <w:ind w:left="720"/>
        <w:rPr>
          <w:rFonts w:cs="Tahoma"/>
        </w:rPr>
      </w:pPr>
      <w:r w:rsidRPr="004B208C">
        <w:rPr>
          <w:rFonts w:cs="Tahoma"/>
          <w:color w:val="000000"/>
        </w:rPr>
        <w:t xml:space="preserve">O Windows Server 2012 R2 Datacenter é a próxima versão do Windows Server 2012 Datacenter. Cada licença do Windows Server 2012 R2 Datacenter abrange até dois processadores físicos. </w:t>
      </w:r>
    </w:p>
    <w:p w:rsidR="00A83EBB" w:rsidRPr="004B208C" w:rsidRDefault="00A83EBB" w:rsidP="00A1385C">
      <w:pPr>
        <w:numPr>
          <w:ilvl w:val="0"/>
          <w:numId w:val="50"/>
        </w:numPr>
        <w:spacing w:afterLines="60" w:after="144"/>
        <w:ind w:left="1440" w:hanging="274"/>
        <w:rPr>
          <w:rFonts w:cs="Tahoma"/>
        </w:rPr>
      </w:pPr>
      <w:r w:rsidRPr="004B208C">
        <w:rPr>
          <w:rFonts w:eastAsia="Calibri" w:cs="Tahoma"/>
          <w:szCs w:val="18"/>
        </w:rPr>
        <w:t>Os clientes com CALs do Windows Server 2012 poderão usá-las com o Windows Server 2012 R2 Datacenter.</w:t>
      </w:r>
    </w:p>
    <w:p w:rsidR="00A83EBB" w:rsidRPr="004B208C" w:rsidRDefault="00A83EBB" w:rsidP="00A1385C">
      <w:pPr>
        <w:numPr>
          <w:ilvl w:val="0"/>
          <w:numId w:val="50"/>
        </w:numPr>
        <w:ind w:left="1440" w:hanging="274"/>
        <w:rPr>
          <w:rFonts w:cs="Tahoma"/>
        </w:rPr>
      </w:pPr>
      <w:r w:rsidRPr="004B208C">
        <w:rPr>
          <w:rFonts w:cs="Tahoma"/>
          <w:color w:val="000000"/>
        </w:rPr>
        <w:t>Os clientes do Windows Server 2008 R2 Datacenter com cobertura do Software Assurance ativa para o Windows Server Datacenter em 1º de setembro de 2012 podem estar qualificados para atualizar para a versão 2012 sob termos especiais</w:t>
      </w:r>
      <w:r w:rsidRPr="004B208C">
        <w:rPr>
          <w:rFonts w:eastAsia="Calibri" w:cs="Tahoma"/>
          <w:szCs w:val="18"/>
        </w:rPr>
        <w:t>.</w:t>
      </w:r>
      <w:r w:rsidR="00172F11">
        <w:rPr>
          <w:rFonts w:eastAsia="Calibri" w:cs="Tahoma"/>
          <w:szCs w:val="18"/>
        </w:rPr>
        <w:t xml:space="preserve"> </w:t>
      </w:r>
      <w:r w:rsidRPr="004B208C">
        <w:rPr>
          <w:rFonts w:eastAsia="Calibri" w:cs="Tahoma"/>
          <w:szCs w:val="18"/>
        </w:rPr>
        <w:t xml:space="preserve">Consulte a Lista de Produtos de outubro de 2013 para obter detalhes. </w:t>
      </w:r>
    </w:p>
    <w:p w:rsidR="00BF7C75" w:rsidRPr="00DF6C52" w:rsidRDefault="00BF7C75" w:rsidP="004F2A4E">
      <w:pPr>
        <w:pStyle w:val="ListParagraph"/>
        <w:ind w:left="0"/>
        <w:contextualSpacing w:val="0"/>
        <w:rPr>
          <w:rFonts w:ascii="Tahoma" w:hAnsi="Tahoma" w:cs="Tahoma"/>
          <w:sz w:val="18"/>
          <w:szCs w:val="18"/>
        </w:rPr>
      </w:pPr>
    </w:p>
    <w:p w:rsidR="002A01C2" w:rsidRPr="00DF6C52" w:rsidRDefault="002A01C2" w:rsidP="004F2A4E">
      <w:pPr>
        <w:pStyle w:val="ListParagraph"/>
        <w:ind w:left="0"/>
        <w:contextualSpacing w:val="0"/>
        <w:rPr>
          <w:rFonts w:ascii="Tahoma" w:hAnsi="Tahoma" w:cs="Tahoma"/>
          <w:sz w:val="18"/>
          <w:szCs w:val="18"/>
        </w:rPr>
      </w:pPr>
    </w:p>
    <w:p w:rsidR="00F745E1" w:rsidRPr="004B208C" w:rsidRDefault="00A560B6" w:rsidP="00F745E1">
      <w:pPr>
        <w:pStyle w:val="Heading3"/>
        <w:rPr>
          <w:rFonts w:ascii="Tahoma" w:hAnsi="Tahoma" w:cs="Tahoma"/>
        </w:rPr>
      </w:pPr>
      <w:bookmarkStart w:id="1595" w:name="_118_Windows_Server"/>
      <w:bookmarkStart w:id="1596" w:name="_110_Windows_Server"/>
      <w:bookmarkStart w:id="1597" w:name="_113_Windows_Server"/>
      <w:bookmarkStart w:id="1598" w:name="_Toc336338374"/>
      <w:bookmarkStart w:id="1599" w:name="Srv_102WindowsSvr08R2Std"/>
      <w:bookmarkStart w:id="1600" w:name="Srv_114WindowsSvr08R2Std"/>
      <w:bookmarkStart w:id="1601" w:name="Srv_118WindowsSvr08R2Std"/>
      <w:bookmarkStart w:id="1602" w:name="Srv_99WindowsSvr08R2ItaniumSys"/>
      <w:bookmarkStart w:id="1603" w:name="Srv_100WindowsSvr08R2ItaniumSys"/>
      <w:bookmarkStart w:id="1604" w:name="_Toc370981486"/>
      <w:bookmarkEnd w:id="1595"/>
      <w:bookmarkEnd w:id="1596"/>
      <w:bookmarkEnd w:id="1597"/>
      <w:r w:rsidRPr="004B208C">
        <w:rPr>
          <w:rStyle w:val="Heading3Char"/>
          <w:rFonts w:ascii="Tahoma" w:hAnsi="Tahoma" w:cs="Tahoma"/>
          <w:b/>
          <w:caps/>
          <w:color w:val="F66400"/>
          <w:sz w:val="22"/>
          <w:vertAlign w:val="superscript"/>
        </w:rPr>
        <w:t xml:space="preserve">112 </w:t>
      </w:r>
      <w:r w:rsidRPr="004B208C">
        <w:rPr>
          <w:rStyle w:val="Heading3Char"/>
          <w:rFonts w:ascii="Tahoma" w:hAnsi="Tahoma" w:cs="Tahoma"/>
          <w:b/>
          <w:color w:val="F66400"/>
          <w:sz w:val="22"/>
        </w:rPr>
        <w:t>Windows Server 2012 R2 Standard</w:t>
      </w:r>
      <w:bookmarkEnd w:id="1598"/>
      <w:bookmarkEnd w:id="1604"/>
      <w:r w:rsidRPr="004B208C">
        <w:rPr>
          <w:rStyle w:val="Heading3Char"/>
          <w:rFonts w:ascii="Tahoma" w:hAnsi="Tahoma" w:cs="Tahoma"/>
          <w:b/>
          <w:color w:val="F66400"/>
          <w:sz w:val="22"/>
        </w:rPr>
        <w:t xml:space="preserve"> </w:t>
      </w:r>
    </w:p>
    <w:bookmarkEnd w:id="1599"/>
    <w:bookmarkEnd w:id="1600"/>
    <w:bookmarkEnd w:id="1601"/>
    <w:p w:rsidR="00376D4B" w:rsidRPr="004B208C" w:rsidRDefault="00376D4B" w:rsidP="002A01C2">
      <w:pPr>
        <w:tabs>
          <w:tab w:val="left" w:pos="360"/>
        </w:tabs>
        <w:ind w:left="360"/>
        <w:rPr>
          <w:rFonts w:cs="Tahoma"/>
        </w:rPr>
      </w:pPr>
    </w:p>
    <w:p w:rsidR="00A83EBB" w:rsidRPr="004B208C" w:rsidRDefault="00A83EBB" w:rsidP="00A1385C">
      <w:pPr>
        <w:numPr>
          <w:ilvl w:val="0"/>
          <w:numId w:val="50"/>
        </w:numPr>
        <w:spacing w:afterLines="60" w:after="144"/>
        <w:ind w:left="1440" w:hanging="274"/>
        <w:rPr>
          <w:rFonts w:cs="Tahoma"/>
        </w:rPr>
      </w:pPr>
      <w:r w:rsidRPr="004B208C">
        <w:rPr>
          <w:rFonts w:eastAsia="Calibri" w:cs="Tahoma"/>
          <w:szCs w:val="18"/>
        </w:rPr>
        <w:t>O Windows Server 2012 R2 Standard é a próxima versão do Windows Multipoint Server 2012 Standard.</w:t>
      </w:r>
    </w:p>
    <w:p w:rsidR="00A83EBB" w:rsidRPr="004B208C" w:rsidRDefault="00A83EBB" w:rsidP="00A1385C">
      <w:pPr>
        <w:numPr>
          <w:ilvl w:val="0"/>
          <w:numId w:val="50"/>
        </w:numPr>
        <w:spacing w:afterLines="60" w:after="144"/>
        <w:ind w:left="1440" w:hanging="274"/>
        <w:rPr>
          <w:rFonts w:cs="Tahoma"/>
        </w:rPr>
      </w:pPr>
      <w:r w:rsidRPr="004B208C">
        <w:rPr>
          <w:rFonts w:eastAsia="Calibri" w:cs="Tahoma"/>
          <w:szCs w:val="18"/>
        </w:rPr>
        <w:t>Os clientes com uma CAL do Windows Server 2012 poderão usá-la com o Windows Server 2012 R2 Standard.</w:t>
      </w:r>
    </w:p>
    <w:p w:rsidR="00A83EBB" w:rsidRPr="004B208C" w:rsidRDefault="00A83EBB" w:rsidP="00A1385C">
      <w:pPr>
        <w:numPr>
          <w:ilvl w:val="0"/>
          <w:numId w:val="50"/>
        </w:numPr>
        <w:ind w:left="1440" w:hanging="274"/>
        <w:rPr>
          <w:rFonts w:cs="Tahoma"/>
        </w:rPr>
      </w:pPr>
      <w:r w:rsidRPr="004B208C">
        <w:rPr>
          <w:rFonts w:cs="Tahoma"/>
          <w:color w:val="000000"/>
        </w:rPr>
        <w:t>Os clientes do Windows Server 2008 R2 Standard com cobertura do Software Assurance ativa para o Windows Server Standard em 1º de setembro de 2012 podem estar qualificados para atualizar para a versão 2012 sob termos especiais</w:t>
      </w:r>
      <w:r w:rsidRPr="004B208C">
        <w:rPr>
          <w:rFonts w:eastAsia="Calibri" w:cs="Tahoma"/>
          <w:szCs w:val="18"/>
        </w:rPr>
        <w:t>.</w:t>
      </w:r>
      <w:r w:rsidR="00172F11">
        <w:rPr>
          <w:rFonts w:eastAsia="Calibri" w:cs="Tahoma"/>
          <w:szCs w:val="18"/>
        </w:rPr>
        <w:t xml:space="preserve"> </w:t>
      </w:r>
      <w:r w:rsidRPr="004B208C">
        <w:rPr>
          <w:rFonts w:eastAsia="Calibri" w:cs="Tahoma"/>
          <w:szCs w:val="18"/>
        </w:rPr>
        <w:t>Consulte a Lista de Produtos de outubro de 2013 para obter detalhes.</w:t>
      </w:r>
    </w:p>
    <w:p w:rsidR="00816F76" w:rsidRPr="004B208C" w:rsidRDefault="00816F76" w:rsidP="004F2A4E">
      <w:pPr>
        <w:rPr>
          <w:rFonts w:cs="Tahoma"/>
        </w:rPr>
      </w:pPr>
      <w:bookmarkStart w:id="1605" w:name="_119_Windows_Web"/>
      <w:bookmarkStart w:id="1606" w:name="_111_Windows_Web"/>
      <w:bookmarkStart w:id="1607" w:name="_114_Windows_Web"/>
      <w:bookmarkStart w:id="1608" w:name="Srv_111WinSmallBizSVR2011Addon"/>
      <w:bookmarkStart w:id="1609" w:name="Srv_116WinSmallBizSVR2011Addon"/>
      <w:bookmarkStart w:id="1610" w:name="Srv_120WinSmallBizSVR2011Addon"/>
      <w:bookmarkEnd w:id="1587"/>
      <w:bookmarkEnd w:id="1602"/>
      <w:bookmarkEnd w:id="1603"/>
      <w:bookmarkEnd w:id="1605"/>
      <w:bookmarkEnd w:id="1606"/>
      <w:bookmarkEnd w:id="1607"/>
    </w:p>
    <w:p w:rsidR="002512D3" w:rsidRPr="004B208C" w:rsidRDefault="002512D3" w:rsidP="004F2A4E">
      <w:pPr>
        <w:rPr>
          <w:rFonts w:cs="Tahoma"/>
        </w:rPr>
      </w:pPr>
      <w:bookmarkStart w:id="1611" w:name="_Toc336338376"/>
    </w:p>
    <w:p w:rsidR="00532ABF" w:rsidRPr="004B208C" w:rsidRDefault="00A560B6" w:rsidP="007B35CE">
      <w:pPr>
        <w:pStyle w:val="Heading2"/>
        <w:keepNext/>
        <w:ind w:hanging="720"/>
        <w:rPr>
          <w:rFonts w:ascii="Tahoma" w:hAnsi="Tahoma" w:cs="Tahoma"/>
        </w:rPr>
      </w:pPr>
      <w:bookmarkStart w:id="1612" w:name="_112_Windows_Small_1"/>
      <w:bookmarkStart w:id="1613" w:name="_115_Windows_Small"/>
      <w:bookmarkStart w:id="1614" w:name="_Toc370981487"/>
      <w:bookmarkEnd w:id="1612"/>
      <w:bookmarkEnd w:id="1613"/>
      <w:r w:rsidRPr="004B208C">
        <w:rPr>
          <w:rFonts w:ascii="Tahoma" w:hAnsi="Tahoma" w:cs="Tahoma"/>
          <w:caps/>
          <w:color w:val="F8701C"/>
          <w:sz w:val="22"/>
          <w:szCs w:val="22"/>
          <w:vertAlign w:val="superscript"/>
        </w:rPr>
        <w:t>113</w:t>
      </w:r>
      <w:r w:rsidRPr="004B208C">
        <w:rPr>
          <w:rFonts w:ascii="Tahoma" w:hAnsi="Tahoma" w:cs="Tahoma"/>
          <w:color w:val="F8701C"/>
          <w:sz w:val="22"/>
          <w:szCs w:val="22"/>
        </w:rPr>
        <w:t xml:space="preserve"> Windows Small Business Server (SBS) 2008 Premium</w:t>
      </w:r>
      <w:bookmarkEnd w:id="1611"/>
      <w:bookmarkEnd w:id="1614"/>
    </w:p>
    <w:bookmarkEnd w:id="1608"/>
    <w:bookmarkEnd w:id="1609"/>
    <w:bookmarkEnd w:id="1610"/>
    <w:p w:rsidR="00515A83" w:rsidRPr="004B208C" w:rsidRDefault="00515A83" w:rsidP="007B35CE">
      <w:pPr>
        <w:keepNext/>
        <w:ind w:left="907"/>
        <w:rPr>
          <w:rFonts w:cs="Tahoma"/>
        </w:rPr>
      </w:pPr>
    </w:p>
    <w:p w:rsidR="00532ABF" w:rsidRPr="004B208C" w:rsidRDefault="00532ABF" w:rsidP="00376D4B">
      <w:pPr>
        <w:ind w:left="720"/>
        <w:rPr>
          <w:rFonts w:cs="Tahoma"/>
        </w:rPr>
      </w:pPr>
      <w:r w:rsidRPr="004B208C">
        <w:rPr>
          <w:rFonts w:cs="Tahoma"/>
        </w:rPr>
        <w:t>Os clientes com cobertura de Software Assurance ativa para licenças do SBS 2008 Premium, a partir de 1º</w:t>
      </w:r>
      <w:r w:rsidR="00DF6C52">
        <w:rPr>
          <w:rFonts w:cs="Tahoma"/>
        </w:rPr>
        <w:t> </w:t>
      </w:r>
      <w:r w:rsidRPr="004B208C">
        <w:rPr>
          <w:rFonts w:cs="Tahoma"/>
        </w:rPr>
        <w:t>de janeiro de 2011, estarão qualificados para atualizar e usar os softwares SBS 2011 Standard e SBS 2011 Premium Add-on (ou qualquer versão posterior desses softwares disponibilizada durante o prazo atual da cobertura de Software Assurance) em vez do software SBS 2008 Premium.</w:t>
      </w:r>
      <w:r w:rsidR="00172F11">
        <w:rPr>
          <w:rFonts w:cs="Tahoma"/>
        </w:rPr>
        <w:t xml:space="preserve"> </w:t>
      </w:r>
      <w:r w:rsidRPr="004B208C">
        <w:rPr>
          <w:rFonts w:cs="Tahoma"/>
        </w:rPr>
        <w:t>A partir de 1º de janeiro de 2011 para cada licença qualificada do SBS 2008 Premium que possuir, o cliente será considerado possuidor de uma licença para cada SBS 2011 Standard e SBS 2011 Premium Add-on com cobertura de Software Assurance ativa.</w:t>
      </w:r>
      <w:r w:rsidR="00172F11">
        <w:rPr>
          <w:rFonts w:cs="Tahoma"/>
        </w:rPr>
        <w:t xml:space="preserve"> </w:t>
      </w:r>
    </w:p>
    <w:p w:rsidR="00532ABF" w:rsidRPr="004B208C" w:rsidRDefault="00532ABF" w:rsidP="00376D4B">
      <w:pPr>
        <w:ind w:left="720"/>
        <w:rPr>
          <w:rFonts w:cs="Tahoma"/>
        </w:rPr>
      </w:pPr>
    </w:p>
    <w:p w:rsidR="00532ABF" w:rsidRPr="004B208C" w:rsidRDefault="00532ABF" w:rsidP="00376D4B">
      <w:pPr>
        <w:ind w:left="720"/>
        <w:rPr>
          <w:rFonts w:cs="Tahoma"/>
        </w:rPr>
      </w:pPr>
      <w:r w:rsidRPr="004B208C">
        <w:rPr>
          <w:rFonts w:cs="Tahoma"/>
        </w:rPr>
        <w:t>Os clientes com cobertura de Software Assurance ativa para Pacote de CALs do SBS 2008 para Usuários e</w:t>
      </w:r>
      <w:r w:rsidR="00DF6C52">
        <w:rPr>
          <w:rFonts w:cs="Tahoma"/>
        </w:rPr>
        <w:t> </w:t>
      </w:r>
      <w:r w:rsidRPr="004B208C">
        <w:rPr>
          <w:rFonts w:cs="Tahoma"/>
        </w:rPr>
        <w:t>Dispositivos Premium, a partir de 1º de janeiro de 2011, estarão qualificados para acessar os softwares Complemento do SBS 2011 Standard e SBS 2011 Premium (e qualquer versão posterior desses softwares disponibilizada durante o prazo atual da cobertura de Software Assurance).</w:t>
      </w:r>
      <w:r w:rsidR="00172F11">
        <w:rPr>
          <w:rFonts w:cs="Tahoma"/>
        </w:rPr>
        <w:t xml:space="preserve"> </w:t>
      </w:r>
      <w:r w:rsidRPr="004B208C">
        <w:rPr>
          <w:rFonts w:cs="Tahoma"/>
        </w:rPr>
        <w:t>A partir de 1º de janeiro de 2011, para cada Pacote de CALs do SBS 2008 qualificada para Usuários e Dispositivos Premium, o cliente será considerado possuidor de um Pacote de CALs do SBS 2011 e um Pacote de CALS Complementares do</w:t>
      </w:r>
      <w:r w:rsidR="00DF6C52">
        <w:rPr>
          <w:rFonts w:cs="Tahoma"/>
        </w:rPr>
        <w:t> </w:t>
      </w:r>
      <w:r w:rsidRPr="004B208C">
        <w:rPr>
          <w:rFonts w:cs="Tahoma"/>
        </w:rPr>
        <w:t xml:space="preserve">SBS 2011 Premium com cobertura de Software Assurance ativa. </w:t>
      </w:r>
    </w:p>
    <w:p w:rsidR="00532ABF" w:rsidRPr="004B208C" w:rsidRDefault="00532ABF" w:rsidP="00376D4B">
      <w:pPr>
        <w:ind w:left="720"/>
        <w:rPr>
          <w:rFonts w:cs="Tahoma"/>
        </w:rPr>
      </w:pPr>
    </w:p>
    <w:p w:rsidR="00532ABF" w:rsidRPr="004B208C" w:rsidRDefault="00532ABF" w:rsidP="00376D4B">
      <w:pPr>
        <w:ind w:left="720"/>
        <w:rPr>
          <w:rFonts w:cs="Tahoma"/>
        </w:rPr>
      </w:pPr>
      <w:r w:rsidRPr="004B208C">
        <w:rPr>
          <w:rFonts w:cs="Tahoma"/>
        </w:rPr>
        <w:t>O direito de usar o software sob esta oferta expirará quando o direito de usar o software sob as licenças qualificadas expirar.</w:t>
      </w:r>
      <w:r w:rsidR="00172F11">
        <w:rPr>
          <w:rFonts w:cs="Tahoma"/>
        </w:rPr>
        <w:t xml:space="preserve"> </w:t>
      </w:r>
      <w:r w:rsidRPr="004B208C">
        <w:rPr>
          <w:rFonts w:cs="Tahoma"/>
        </w:rPr>
        <w:t>O uso do software do cliente sob esta oferta está sujeito aos termos e às condições do contrato de Licenciamento por Volume do cliente, aos direitos de uso de produto para SBS 2011 Standard e</w:t>
      </w:r>
      <w:r w:rsidR="00DF6C52">
        <w:rPr>
          <w:rFonts w:cs="Tahoma"/>
        </w:rPr>
        <w:t> </w:t>
      </w:r>
      <w:r w:rsidRPr="004B208C">
        <w:rPr>
          <w:rFonts w:cs="Tahoma"/>
        </w:rPr>
        <w:t>SBS 2011 Premium Add-on e estes termos e condições.</w:t>
      </w:r>
      <w:r w:rsidR="00172F11">
        <w:rPr>
          <w:rFonts w:cs="Tahoma"/>
        </w:rPr>
        <w:t xml:space="preserve"> </w:t>
      </w:r>
      <w:r w:rsidRPr="004B208C">
        <w:rPr>
          <w:rFonts w:cs="Tahoma"/>
        </w:rPr>
        <w:t>Esta nota de condição do produto junto com a evidência das licenças qualificadas comprovam os direitos concedidos sob esta oferta.</w:t>
      </w:r>
      <w:r w:rsidR="00172F11">
        <w:rPr>
          <w:rFonts w:cs="Tahoma"/>
        </w:rPr>
        <w:t xml:space="preserve"> </w:t>
      </w:r>
      <w:r w:rsidRPr="004B208C">
        <w:rPr>
          <w:rFonts w:cs="Tahoma"/>
        </w:rPr>
        <w:t>Quando a cobertura sobre a licença qualificada expirar na licença qualificada, o cliente estará qualificado para renovar o</w:t>
      </w:r>
      <w:r w:rsidR="00DF6C52">
        <w:rPr>
          <w:rFonts w:cs="Tahoma"/>
        </w:rPr>
        <w:t> </w:t>
      </w:r>
      <w:r w:rsidRPr="004B208C">
        <w:rPr>
          <w:rFonts w:cs="Tahoma"/>
        </w:rPr>
        <w:t>Software Assurance para licenças do SBS Premium Add-on e CAL Suites.</w:t>
      </w:r>
    </w:p>
    <w:p w:rsidR="00296B89" w:rsidRPr="004B208C" w:rsidRDefault="00296B89" w:rsidP="00EF2279">
      <w:pPr>
        <w:ind w:left="900"/>
        <w:rPr>
          <w:rFonts w:cs="Tahoma"/>
        </w:rPr>
      </w:pPr>
    </w:p>
    <w:p w:rsidR="00D16723" w:rsidRDefault="00D16723">
      <w:pPr>
        <w:rPr>
          <w:rFonts w:cs="Tahoma"/>
        </w:rPr>
      </w:pPr>
      <w:bookmarkStart w:id="1615" w:name="_119_Windows_Small"/>
      <w:bookmarkStart w:id="1616" w:name="_100_SBS_2008"/>
      <w:bookmarkStart w:id="1617" w:name="_101_SBS_2008"/>
      <w:bookmarkStart w:id="1618" w:name="_105_SBS_2008"/>
      <w:bookmarkStart w:id="1619" w:name="_125_Windows_Web"/>
      <w:bookmarkEnd w:id="1615"/>
      <w:bookmarkEnd w:id="1616"/>
      <w:bookmarkEnd w:id="1617"/>
      <w:bookmarkEnd w:id="1618"/>
      <w:bookmarkEnd w:id="1619"/>
    </w:p>
    <w:p w:rsidR="00DF6C52" w:rsidRDefault="00DF6C52">
      <w:pPr>
        <w:rPr>
          <w:rFonts w:cs="Tahoma"/>
        </w:rPr>
      </w:pPr>
    </w:p>
    <w:p w:rsidR="00DF6C52" w:rsidRDefault="00DF6C52">
      <w:pPr>
        <w:rPr>
          <w:rFonts w:cs="Tahoma"/>
        </w:rPr>
      </w:pPr>
    </w:p>
    <w:p w:rsidR="00DF6C52" w:rsidRDefault="00DF6C52">
      <w:pPr>
        <w:rPr>
          <w:rFonts w:cs="Tahoma"/>
        </w:rPr>
      </w:pPr>
    </w:p>
    <w:p w:rsidR="00DF6C52" w:rsidRDefault="00DF6C52">
      <w:pPr>
        <w:rPr>
          <w:rFonts w:cs="Tahoma"/>
        </w:rPr>
      </w:pPr>
    </w:p>
    <w:p w:rsidR="00DF6C52" w:rsidRPr="004B208C" w:rsidRDefault="00DF6C52">
      <w:pPr>
        <w:rPr>
          <w:rFonts w:cs="Tahoma"/>
        </w:rPr>
      </w:pPr>
    </w:p>
    <w:p w:rsidR="00C066B5" w:rsidRPr="004B208C" w:rsidRDefault="00C066B5" w:rsidP="00C066B5">
      <w:pPr>
        <w:pStyle w:val="Heading3"/>
        <w:rPr>
          <w:rFonts w:ascii="Tahoma" w:hAnsi="Tahoma" w:cs="Tahoma"/>
        </w:rPr>
      </w:pPr>
      <w:bookmarkStart w:id="1620" w:name="_114_Windows_Small_1"/>
      <w:bookmarkStart w:id="1621" w:name="_Toc336338377"/>
      <w:bookmarkStart w:id="1622" w:name="_Toc357669625"/>
      <w:bookmarkStart w:id="1623" w:name="Srv_117WinSmallBizSVR2011Addon"/>
      <w:bookmarkStart w:id="1624" w:name="Srv_121WinSmallBizSVR2011Addon"/>
      <w:bookmarkStart w:id="1625" w:name="_Toc370981488"/>
      <w:bookmarkEnd w:id="1620"/>
      <w:r w:rsidRPr="004B208C">
        <w:rPr>
          <w:rFonts w:ascii="Tahoma" w:hAnsi="Tahoma" w:cs="Tahoma"/>
          <w:caps/>
          <w:color w:val="FF6D09"/>
          <w:sz w:val="22"/>
          <w:vertAlign w:val="superscript"/>
        </w:rPr>
        <w:lastRenderedPageBreak/>
        <w:t>114</w:t>
      </w:r>
      <w:r w:rsidRPr="004B208C">
        <w:rPr>
          <w:rFonts w:ascii="Tahoma" w:hAnsi="Tahoma" w:cs="Tahoma"/>
          <w:color w:val="FF6D09"/>
          <w:sz w:val="22"/>
        </w:rPr>
        <w:t xml:space="preserve"> Windows Small Business Server (2011) Standard</w:t>
      </w:r>
      <w:bookmarkEnd w:id="1621"/>
      <w:bookmarkEnd w:id="1622"/>
      <w:bookmarkEnd w:id="1625"/>
    </w:p>
    <w:bookmarkEnd w:id="1623"/>
    <w:bookmarkEnd w:id="1624"/>
    <w:p w:rsidR="00C066B5" w:rsidRPr="004B208C" w:rsidRDefault="00C066B5" w:rsidP="00C066B5">
      <w:pPr>
        <w:ind w:left="900"/>
        <w:rPr>
          <w:rFonts w:cs="Tahoma"/>
        </w:rPr>
      </w:pPr>
    </w:p>
    <w:p w:rsidR="00C066B5" w:rsidRPr="004B208C" w:rsidRDefault="00C066B5" w:rsidP="00C066B5">
      <w:pPr>
        <w:spacing w:after="60"/>
        <w:ind w:left="720"/>
        <w:rPr>
          <w:rFonts w:cs="Tahoma"/>
        </w:rPr>
      </w:pPr>
      <w:r w:rsidRPr="004B208C">
        <w:rPr>
          <w:rFonts w:cs="Tahoma"/>
          <w:b/>
          <w:color w:val="000000"/>
        </w:rPr>
        <w:t>Outorgas de licença associadas ao término da validade do SBS 2011 Standard</w:t>
      </w:r>
    </w:p>
    <w:p w:rsidR="00C066B5" w:rsidRPr="004B208C" w:rsidRDefault="00C066B5" w:rsidP="00C066B5">
      <w:pPr>
        <w:ind w:left="720"/>
        <w:rPr>
          <w:rFonts w:cs="Tahoma"/>
        </w:rPr>
      </w:pPr>
      <w:r w:rsidRPr="004B208C">
        <w:rPr>
          <w:rFonts w:cs="Tahoma"/>
          <w:color w:val="000000"/>
        </w:rPr>
        <w:t xml:space="preserve">O SBS 2011 Standard será a última versão do SBS Standard. Os clientes de licenciamento por volume com Software Assurance para licenças Padrão do SBS 2011 ativas (“Licenças Qualificadas”) terão permissão para atualizar e </w:t>
      </w:r>
      <w:r w:rsidRPr="004B208C">
        <w:rPr>
          <w:rFonts w:eastAsia="Calibri" w:cs="Tahoma"/>
          <w:szCs w:val="18"/>
        </w:rPr>
        <w:t xml:space="preserve">usar o software Windows Server Standard e Exchange Server Standard no lugar do SBS 2011. Para facilitar tal uso, para cada Licença Qualificada que o cliente possui, o cliente receberá duas licenças para cada licença do Windows Server Standard e uma licença para Exchange Server 2010 Standard, conforme pode ser visto na tabela abaixo. </w:t>
      </w:r>
    </w:p>
    <w:p w:rsidR="00C066B5" w:rsidRPr="004B208C" w:rsidRDefault="00C066B5" w:rsidP="00C066B5">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4B208C"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B208C" w:rsidRDefault="00C066B5" w:rsidP="00FC0808">
            <w:pPr>
              <w:spacing w:after="200" w:line="276" w:lineRule="auto"/>
              <w:rPr>
                <w:rFonts w:eastAsia="Calibri" w:cs="Tahoma"/>
                <w:szCs w:val="18"/>
              </w:rPr>
            </w:pPr>
            <w:r w:rsidRPr="004B208C">
              <w:rPr>
                <w:rFonts w:cs="Tahoma"/>
                <w:b/>
                <w:color w:val="000000"/>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B208C" w:rsidRDefault="00C066B5" w:rsidP="00FC0808">
            <w:pPr>
              <w:spacing w:after="200" w:line="276" w:lineRule="auto"/>
              <w:rPr>
                <w:rFonts w:eastAsia="Calibri" w:cs="Tahoma"/>
                <w:szCs w:val="18"/>
              </w:rPr>
            </w:pPr>
            <w:r w:rsidRPr="004B208C">
              <w:rPr>
                <w:rFonts w:cs="Tahoma"/>
                <w:b/>
                <w:color w:val="000000"/>
              </w:rPr>
              <w:t>Outorga de Licença</w:t>
            </w:r>
          </w:p>
        </w:tc>
      </w:tr>
      <w:tr w:rsidR="00C066B5" w:rsidRPr="004B208C"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B208C" w:rsidRDefault="00C066B5" w:rsidP="00FC0808">
            <w:pPr>
              <w:spacing w:line="276" w:lineRule="auto"/>
              <w:rPr>
                <w:rFonts w:eastAsia="Calibri" w:cs="Tahoma"/>
                <w:szCs w:val="18"/>
              </w:rPr>
            </w:pPr>
            <w:r w:rsidRPr="004B208C">
              <w:rPr>
                <w:rFonts w:eastAsia="Calibri" w:cs="Tahoma"/>
                <w:szCs w:val="18"/>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B208C" w:rsidRDefault="00C066B5" w:rsidP="00FC0808">
            <w:pPr>
              <w:spacing w:line="276" w:lineRule="auto"/>
              <w:rPr>
                <w:rFonts w:cs="Tahoma"/>
              </w:rPr>
            </w:pPr>
            <w:r w:rsidRPr="004B208C">
              <w:rPr>
                <w:rFonts w:eastAsia="Calibri" w:cs="Tahoma"/>
                <w:szCs w:val="18"/>
              </w:rPr>
              <w:t>Duas licenças do Windows Server 2008 R2 com Software Assurance</w:t>
            </w:r>
          </w:p>
          <w:p w:rsidR="00C066B5" w:rsidRPr="004B208C" w:rsidRDefault="00C066B5" w:rsidP="00FC0808">
            <w:pPr>
              <w:spacing w:line="276" w:lineRule="auto"/>
              <w:rPr>
                <w:rFonts w:eastAsia="Calibri" w:cs="Tahoma"/>
                <w:szCs w:val="18"/>
              </w:rPr>
            </w:pPr>
            <w:r w:rsidRPr="004B208C">
              <w:rPr>
                <w:rFonts w:eastAsia="Calibri" w:cs="Tahoma"/>
                <w:szCs w:val="18"/>
              </w:rPr>
              <w:t>Uma licença do Exchange Server 2010 Standard com Software Assurance</w:t>
            </w:r>
          </w:p>
        </w:tc>
      </w:tr>
      <w:tr w:rsidR="00C066B5" w:rsidRPr="004B208C"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B208C" w:rsidRDefault="00C066B5" w:rsidP="00DF6C52">
            <w:pPr>
              <w:spacing w:line="276" w:lineRule="auto"/>
              <w:rPr>
                <w:rFonts w:eastAsia="Calibri" w:cs="Tahoma"/>
                <w:szCs w:val="18"/>
              </w:rPr>
            </w:pPr>
            <w:r w:rsidRPr="004B208C">
              <w:rPr>
                <w:rFonts w:eastAsia="Calibri" w:cs="Tahoma"/>
                <w:szCs w:val="18"/>
              </w:rPr>
              <w:t>SBS 2011 Standard com cobertura do Software Assurance em ou depois de 1o. de agosto de</w:t>
            </w:r>
            <w:r w:rsidR="00DF6C52">
              <w:rPr>
                <w:rFonts w:eastAsia="Calibri" w:cs="Tahoma"/>
                <w:szCs w:val="18"/>
              </w:rPr>
              <w:t> </w:t>
            </w:r>
            <w:r w:rsidRPr="004B208C">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B208C" w:rsidRDefault="00C066B5" w:rsidP="00FC0808">
            <w:pPr>
              <w:spacing w:line="276" w:lineRule="auto"/>
              <w:rPr>
                <w:rFonts w:cs="Tahoma"/>
              </w:rPr>
            </w:pPr>
            <w:r w:rsidRPr="004B208C">
              <w:rPr>
                <w:rFonts w:eastAsia="Calibri" w:cs="Tahoma"/>
                <w:szCs w:val="18"/>
              </w:rPr>
              <w:t>Duas licenças do Windows Server 2012 com Software Assurance</w:t>
            </w:r>
          </w:p>
          <w:p w:rsidR="00C066B5" w:rsidRPr="004B208C" w:rsidRDefault="00C066B5" w:rsidP="00FC0808">
            <w:pPr>
              <w:spacing w:line="276" w:lineRule="auto"/>
              <w:rPr>
                <w:rFonts w:eastAsia="Calibri" w:cs="Tahoma"/>
                <w:szCs w:val="18"/>
              </w:rPr>
            </w:pPr>
            <w:r w:rsidRPr="004B208C">
              <w:rPr>
                <w:rFonts w:eastAsia="Calibri" w:cs="Tahoma"/>
                <w:szCs w:val="18"/>
              </w:rPr>
              <w:t>Uma licença do Exchange Server 2010 Standard com Software Assurance</w:t>
            </w:r>
          </w:p>
        </w:tc>
      </w:tr>
    </w:tbl>
    <w:p w:rsidR="00C066B5" w:rsidRPr="004B208C" w:rsidRDefault="00C066B5" w:rsidP="00C066B5">
      <w:pPr>
        <w:spacing w:after="100" w:afterAutospacing="1" w:line="276" w:lineRule="auto"/>
        <w:ind w:left="720"/>
        <w:contextualSpacing/>
        <w:rPr>
          <w:rFonts w:cs="Tahoma"/>
        </w:rPr>
      </w:pPr>
    </w:p>
    <w:p w:rsidR="00C066B5" w:rsidRPr="00DF6C52" w:rsidRDefault="00C066B5" w:rsidP="00C066B5">
      <w:pPr>
        <w:ind w:left="720"/>
        <w:rPr>
          <w:rFonts w:cs="Tahoma"/>
          <w:szCs w:val="18"/>
        </w:rPr>
      </w:pPr>
      <w:r w:rsidRPr="00DF6C52">
        <w:rPr>
          <w:rFonts w:eastAsia="Calibri" w:cs="Tahoma"/>
          <w:szCs w:val="18"/>
        </w:rPr>
        <w:t>A cobertura do Software Assurance incluída com a concessão supracitada expira quando a cobertura correspondente nas Licenças Qualificadas expirar. Como uma exceção, os clientes com Software Assurance em Licenças de Qualificação que expiram em agosto de 2012 poderão, até 31 de dezembro de 2012, renovar o Software Assurance nas licenças do Windows Server e Exchange Server concedidas sob esta oferta.</w:t>
      </w:r>
    </w:p>
    <w:p w:rsidR="00C066B5" w:rsidRPr="00DF6C52" w:rsidRDefault="00C066B5" w:rsidP="00C066B5">
      <w:pPr>
        <w:pStyle w:val="ListParagraph"/>
        <w:contextualSpacing w:val="0"/>
        <w:rPr>
          <w:rFonts w:ascii="Tahoma" w:hAnsi="Tahoma" w:cs="Tahoma"/>
          <w:sz w:val="18"/>
          <w:szCs w:val="18"/>
        </w:rPr>
      </w:pPr>
    </w:p>
    <w:p w:rsidR="00C066B5" w:rsidRPr="00DF6C52" w:rsidRDefault="00C066B5" w:rsidP="00C066B5">
      <w:pPr>
        <w:pStyle w:val="ListParagraph"/>
        <w:contextualSpacing w:val="0"/>
        <w:rPr>
          <w:rFonts w:ascii="Tahoma" w:hAnsi="Tahoma" w:cs="Tahoma"/>
          <w:sz w:val="18"/>
          <w:szCs w:val="18"/>
        </w:rPr>
      </w:pPr>
      <w:r w:rsidRPr="00DF6C52">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C066B5" w:rsidRPr="00DF6C52" w:rsidRDefault="00C066B5" w:rsidP="00C066B5">
      <w:pPr>
        <w:pStyle w:val="ListParagraph"/>
        <w:contextualSpacing w:val="0"/>
        <w:rPr>
          <w:rFonts w:ascii="Tahoma" w:hAnsi="Tahoma" w:cs="Tahoma"/>
          <w:sz w:val="18"/>
          <w:szCs w:val="18"/>
        </w:rPr>
      </w:pPr>
    </w:p>
    <w:p w:rsidR="00C066B5" w:rsidRPr="00DF6C52" w:rsidRDefault="00C066B5" w:rsidP="00C066B5">
      <w:pPr>
        <w:pStyle w:val="ListParagraph"/>
        <w:contextualSpacing w:val="0"/>
        <w:rPr>
          <w:rFonts w:ascii="Tahoma" w:hAnsi="Tahoma" w:cs="Tahoma"/>
          <w:sz w:val="18"/>
          <w:szCs w:val="18"/>
        </w:rPr>
      </w:pPr>
      <w:r w:rsidRPr="00DF6C52">
        <w:rPr>
          <w:rFonts w:ascii="Tahoma" w:eastAsia="Calibri" w:hAnsi="Tahoma" w:cs="Tahoma"/>
          <w:sz w:val="18"/>
          <w:szCs w:val="18"/>
        </w:rPr>
        <w:t>Para cada Licença Qualificada adquirida sob Open Value Subscription, um cliente pode comprar uma licença do SBS 2011 Padrão, conforme cotado ou:</w:t>
      </w:r>
    </w:p>
    <w:p w:rsidR="00C066B5" w:rsidRPr="00DF6C52" w:rsidRDefault="00C066B5" w:rsidP="00C066B5">
      <w:pPr>
        <w:pStyle w:val="ListParagraph"/>
        <w:contextualSpacing w:val="0"/>
        <w:rPr>
          <w:rFonts w:ascii="Tahoma" w:hAnsi="Tahoma" w:cs="Tahoma"/>
          <w:sz w:val="18"/>
          <w:szCs w:val="18"/>
        </w:rPr>
      </w:pPr>
    </w:p>
    <w:p w:rsidR="00C066B5" w:rsidRPr="00DF6C52" w:rsidRDefault="00C066B5" w:rsidP="00A1385C">
      <w:pPr>
        <w:pStyle w:val="ListParagraph"/>
        <w:numPr>
          <w:ilvl w:val="1"/>
          <w:numId w:val="95"/>
        </w:numPr>
        <w:tabs>
          <w:tab w:val="clear" w:pos="1440"/>
        </w:tabs>
        <w:contextualSpacing w:val="0"/>
        <w:rPr>
          <w:rFonts w:ascii="Tahoma" w:hAnsi="Tahoma" w:cs="Tahoma"/>
          <w:sz w:val="18"/>
          <w:szCs w:val="18"/>
        </w:rPr>
      </w:pPr>
      <w:r w:rsidRPr="00DF6C52">
        <w:rPr>
          <w:rFonts w:ascii="Tahoma" w:eastAsia="Calibri" w:hAnsi="Tahoma" w:cs="Tahoma"/>
          <w:sz w:val="18"/>
          <w:szCs w:val="18"/>
        </w:rPr>
        <w:t>Duas licenças do Windows Server 2012 Standard e uma licença do Exchange Server 2010 Standard para contratos que expiram em ou depois de 1</w:t>
      </w:r>
      <w:r w:rsidRPr="00DF6C52">
        <w:rPr>
          <w:rFonts w:ascii="Tahoma" w:eastAsia="Calibri" w:hAnsi="Tahoma" w:cs="Tahoma"/>
          <w:sz w:val="18"/>
          <w:szCs w:val="18"/>
          <w:vertAlign w:val="superscript"/>
        </w:rPr>
        <w:t>º</w:t>
      </w:r>
      <w:r w:rsidRPr="00DF6C52">
        <w:rPr>
          <w:rFonts w:ascii="Tahoma" w:eastAsia="Calibri" w:hAnsi="Tahoma" w:cs="Tahoma"/>
          <w:sz w:val="18"/>
          <w:szCs w:val="18"/>
        </w:rPr>
        <w:t xml:space="preserve"> de agosto de 2012 ou</w:t>
      </w:r>
    </w:p>
    <w:p w:rsidR="00C066B5" w:rsidRPr="00DF6C52" w:rsidRDefault="00C066B5" w:rsidP="00A1385C">
      <w:pPr>
        <w:pStyle w:val="ListParagraph"/>
        <w:numPr>
          <w:ilvl w:val="1"/>
          <w:numId w:val="95"/>
        </w:numPr>
        <w:tabs>
          <w:tab w:val="clear" w:pos="1440"/>
        </w:tabs>
        <w:contextualSpacing w:val="0"/>
        <w:rPr>
          <w:rFonts w:ascii="Tahoma" w:hAnsi="Tahoma" w:cs="Tahoma"/>
          <w:sz w:val="18"/>
          <w:szCs w:val="18"/>
        </w:rPr>
      </w:pPr>
      <w:r w:rsidRPr="00DF6C52">
        <w:rPr>
          <w:rFonts w:ascii="Tahoma" w:eastAsia="Calibri" w:hAnsi="Tahoma" w:cs="Tahoma"/>
          <w:sz w:val="18"/>
          <w:szCs w:val="18"/>
        </w:rPr>
        <w:t>Duas licenças do Windows Server 2008 R2 Standard e uma licença do Exchange Server 2010 Standard para contratos que expiram em julho de 2012.</w:t>
      </w:r>
    </w:p>
    <w:p w:rsidR="00C066B5" w:rsidRPr="00DF6C52" w:rsidRDefault="00C066B5" w:rsidP="00C066B5">
      <w:pPr>
        <w:ind w:left="720"/>
        <w:rPr>
          <w:rFonts w:cs="Tahoma"/>
          <w:szCs w:val="18"/>
        </w:rPr>
      </w:pPr>
    </w:p>
    <w:p w:rsidR="00C066B5" w:rsidRPr="00DF6C52" w:rsidRDefault="00C066B5" w:rsidP="00C066B5">
      <w:pPr>
        <w:ind w:left="720"/>
        <w:rPr>
          <w:rFonts w:cs="Tahoma"/>
          <w:szCs w:val="18"/>
        </w:rPr>
      </w:pPr>
      <w:r w:rsidRPr="00DF6C52">
        <w:rPr>
          <w:rFonts w:eastAsia="Calibri" w:cs="Tahoma"/>
          <w:szCs w:val="18"/>
        </w:rPr>
        <w:t>Na atualização para o Windows Server Standard e Exchange Server 2010 Standard sob essa concessão, as</w:t>
      </w:r>
      <w:r w:rsidR="001F5C65">
        <w:rPr>
          <w:rFonts w:eastAsia="Calibri" w:cs="Tahoma"/>
          <w:szCs w:val="18"/>
        </w:rPr>
        <w:t> </w:t>
      </w:r>
      <w:r w:rsidRPr="00DF6C52">
        <w:rPr>
          <w:rFonts w:eastAsia="Calibri" w:cs="Tahoma"/>
          <w:szCs w:val="18"/>
        </w:rPr>
        <w:t>Licenças Qualificadas do SBS Standard existentes do cliente não serão mais válidas.</w:t>
      </w:r>
    </w:p>
    <w:p w:rsidR="00C066B5" w:rsidRPr="00DF6C52" w:rsidRDefault="00C066B5" w:rsidP="00C066B5">
      <w:pPr>
        <w:ind w:left="720"/>
        <w:rPr>
          <w:rFonts w:cs="Tahoma"/>
          <w:szCs w:val="18"/>
        </w:rPr>
      </w:pPr>
    </w:p>
    <w:p w:rsidR="00C066B5" w:rsidRPr="00DF6C52" w:rsidRDefault="00C066B5" w:rsidP="00C066B5">
      <w:pPr>
        <w:ind w:left="720"/>
        <w:rPr>
          <w:rFonts w:cs="Tahoma"/>
          <w:szCs w:val="18"/>
        </w:rPr>
      </w:pPr>
      <w:r w:rsidRPr="00DF6C52">
        <w:rPr>
          <w:rFonts w:cs="Tahoma"/>
          <w:color w:val="000000"/>
          <w:szCs w:val="18"/>
        </w:rPr>
        <w:t xml:space="preserve">As licenças do SBS 2011 Standard </w:t>
      </w:r>
      <w:r w:rsidRPr="00DF6C52">
        <w:rPr>
          <w:rFonts w:cs="Tahoma"/>
          <w:bCs/>
          <w:color w:val="000000"/>
          <w:szCs w:val="18"/>
        </w:rPr>
        <w:t>adquiridas posteriormente no mesmo prazo de registro, como parte de um processo de adequação (“true-up”) programado do cliente Open Value Subscription ou Enrollment for Education Solutions também são Licenças Qualificadas para os propósitos da concessão supracitada.</w:t>
      </w:r>
    </w:p>
    <w:p w:rsidR="00C066B5" w:rsidRPr="004B208C" w:rsidRDefault="00C066B5">
      <w:pPr>
        <w:rPr>
          <w:rFonts w:cs="Tahoma"/>
        </w:rPr>
      </w:pPr>
    </w:p>
    <w:p w:rsidR="00C066B5" w:rsidRPr="004B208C" w:rsidRDefault="00C066B5">
      <w:pPr>
        <w:rPr>
          <w:rFonts w:cs="Tahoma"/>
        </w:rPr>
      </w:pPr>
    </w:p>
    <w:p w:rsidR="00E06578" w:rsidRPr="004B208C" w:rsidRDefault="00A560B6" w:rsidP="00EF2279">
      <w:pPr>
        <w:pStyle w:val="Heading2"/>
        <w:ind w:left="0"/>
        <w:rPr>
          <w:rFonts w:ascii="Tahoma" w:hAnsi="Tahoma" w:cs="Tahoma"/>
        </w:rPr>
      </w:pPr>
      <w:bookmarkStart w:id="1626" w:name="_122_Windows_Small"/>
      <w:bookmarkStart w:id="1627" w:name="_120_Windows_Small"/>
      <w:bookmarkStart w:id="1628" w:name="_110_Windows_Small"/>
      <w:bookmarkStart w:id="1629" w:name="_116_Windows_Small"/>
      <w:bookmarkStart w:id="1630" w:name="_Toc336338378"/>
      <w:bookmarkStart w:id="1631" w:name="_Toc370981489"/>
      <w:bookmarkEnd w:id="1626"/>
      <w:bookmarkEnd w:id="1627"/>
      <w:bookmarkEnd w:id="1628"/>
      <w:bookmarkEnd w:id="1629"/>
      <w:r w:rsidRPr="004B208C">
        <w:rPr>
          <w:rFonts w:ascii="Tahoma" w:hAnsi="Tahoma" w:cs="Tahoma"/>
          <w:caps/>
          <w:color w:val="EE6000"/>
          <w:sz w:val="22"/>
          <w:szCs w:val="18"/>
          <w:vertAlign w:val="superscript"/>
        </w:rPr>
        <w:t xml:space="preserve">115 </w:t>
      </w:r>
      <w:r w:rsidRPr="004B208C">
        <w:rPr>
          <w:rFonts w:ascii="Tahoma" w:hAnsi="Tahoma" w:cs="Tahoma"/>
          <w:color w:val="F8701C"/>
          <w:sz w:val="22"/>
          <w:szCs w:val="22"/>
        </w:rPr>
        <w:t>Windows Small Business Server (SBS) 2011 CAL Suite</w:t>
      </w:r>
      <w:bookmarkEnd w:id="1630"/>
      <w:bookmarkEnd w:id="1631"/>
    </w:p>
    <w:p w:rsidR="00E06578" w:rsidRPr="004B208C" w:rsidRDefault="00E06578" w:rsidP="000F0F4D">
      <w:pPr>
        <w:ind w:left="900"/>
        <w:rPr>
          <w:rFonts w:cs="Tahoma"/>
        </w:rPr>
      </w:pPr>
    </w:p>
    <w:p w:rsidR="000F0F4D" w:rsidRPr="004B208C" w:rsidRDefault="00836655" w:rsidP="000F0F4D">
      <w:pPr>
        <w:spacing w:after="60"/>
        <w:ind w:left="720"/>
        <w:rPr>
          <w:rFonts w:cs="Tahoma"/>
        </w:rPr>
      </w:pPr>
      <w:r w:rsidRPr="004B208C">
        <w:rPr>
          <w:rFonts w:cs="Tahoma"/>
          <w:b/>
          <w:color w:val="000000"/>
        </w:rPr>
        <w:t>Outorgas de licença associadas ao término da validade do Pacote de CALs do SBS 2011</w:t>
      </w:r>
    </w:p>
    <w:p w:rsidR="00836655" w:rsidRPr="004B208C" w:rsidRDefault="00836655" w:rsidP="000F0F4D">
      <w:pPr>
        <w:ind w:left="720"/>
        <w:rPr>
          <w:rFonts w:cs="Tahoma"/>
        </w:rPr>
      </w:pPr>
      <w:r w:rsidRPr="004B208C">
        <w:rPr>
          <w:rFonts w:cs="Tahoma"/>
        </w:rPr>
        <w:t>Os clientes com cobertura do Software Assurance ativa para o Pacote de CALs do SBS 2011 (“CALs Qualificadas”) estão qualificados para acessar o software Windows Server Standard e Exchange Server 2010 Standard.</w:t>
      </w:r>
      <w:r w:rsidR="00172F11">
        <w:rPr>
          <w:rFonts w:cs="Tahoma"/>
        </w:rPr>
        <w:t xml:space="preserve"> </w:t>
      </w:r>
      <w:r w:rsidRPr="004B208C">
        <w:rPr>
          <w:rFonts w:eastAsia="Calibri" w:cs="Tahoma"/>
          <w:szCs w:val="18"/>
        </w:rPr>
        <w:t xml:space="preserve">Para facilitar tal acesso, para cada CAL Qualificada que o cliente possui, ele receberá uma CAL para cada licença do Windows Server e Exchange Server 2010, como pode ser visto na tabela a seguir. </w:t>
      </w:r>
    </w:p>
    <w:p w:rsidR="000F0F4D" w:rsidRPr="004B208C"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4B208C"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B208C" w:rsidRDefault="00836655" w:rsidP="000A5032">
            <w:pPr>
              <w:spacing w:after="200" w:line="276" w:lineRule="auto"/>
              <w:rPr>
                <w:rFonts w:eastAsia="Calibri" w:cs="Tahoma"/>
                <w:szCs w:val="18"/>
              </w:rPr>
            </w:pPr>
            <w:r w:rsidRPr="004B208C">
              <w:rPr>
                <w:rFonts w:cs="Tahoma"/>
                <w:b/>
                <w:color w:val="000000"/>
              </w:rPr>
              <w:lastRenderedPageBreak/>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B208C" w:rsidRDefault="00836655" w:rsidP="000A5032">
            <w:pPr>
              <w:spacing w:after="200" w:line="276" w:lineRule="auto"/>
              <w:rPr>
                <w:rFonts w:eastAsia="Calibri" w:cs="Tahoma"/>
                <w:szCs w:val="18"/>
              </w:rPr>
            </w:pPr>
            <w:r w:rsidRPr="004B208C">
              <w:rPr>
                <w:rFonts w:cs="Tahoma"/>
                <w:b/>
                <w:color w:val="000000"/>
              </w:rPr>
              <w:t>Outorga de Licença</w:t>
            </w:r>
          </w:p>
        </w:tc>
      </w:tr>
      <w:tr w:rsidR="00836655" w:rsidRPr="004B208C"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B208C" w:rsidRDefault="00836655" w:rsidP="00DF6C52">
            <w:pPr>
              <w:spacing w:line="276" w:lineRule="auto"/>
              <w:rPr>
                <w:rFonts w:eastAsia="Calibri" w:cs="Tahoma"/>
                <w:szCs w:val="18"/>
              </w:rPr>
            </w:pPr>
            <w:r w:rsidRPr="004B208C">
              <w:rPr>
                <w:rFonts w:eastAsia="Calibri" w:cs="Tahoma"/>
                <w:szCs w:val="18"/>
              </w:rPr>
              <w:t>Pacote de CALs do SBS 2011 com cobertura do Software Assurance até 31 de julho de</w:t>
            </w:r>
            <w:r w:rsidR="00DF6C52">
              <w:rPr>
                <w:rFonts w:eastAsia="Calibri" w:cs="Tahoma"/>
                <w:szCs w:val="18"/>
              </w:rPr>
              <w:t> </w:t>
            </w:r>
            <w:r w:rsidRPr="004B208C">
              <w:rPr>
                <w:rFonts w:eastAsia="Calibri" w:cs="Tahoma"/>
                <w:szCs w:val="18"/>
              </w:rPr>
              <w:t>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B208C" w:rsidRDefault="00836655" w:rsidP="00CA14C9">
            <w:pPr>
              <w:spacing w:line="276" w:lineRule="auto"/>
              <w:rPr>
                <w:rFonts w:cs="Tahoma"/>
              </w:rPr>
            </w:pPr>
            <w:r w:rsidRPr="004B208C">
              <w:rPr>
                <w:rFonts w:eastAsia="Calibri" w:cs="Tahoma"/>
                <w:szCs w:val="18"/>
              </w:rPr>
              <w:t>CAL do Windows Server 2008 R2</w:t>
            </w:r>
          </w:p>
          <w:p w:rsidR="00836655" w:rsidRPr="004B208C" w:rsidRDefault="00836655" w:rsidP="00CA14C9">
            <w:pPr>
              <w:spacing w:line="276" w:lineRule="auto"/>
              <w:rPr>
                <w:rFonts w:eastAsia="Calibri" w:cs="Tahoma"/>
                <w:szCs w:val="18"/>
              </w:rPr>
            </w:pPr>
            <w:r w:rsidRPr="004B208C">
              <w:rPr>
                <w:rFonts w:eastAsia="Calibri" w:cs="Tahoma"/>
                <w:szCs w:val="18"/>
              </w:rPr>
              <w:t>CAL do Exchange Server 2010</w:t>
            </w:r>
          </w:p>
        </w:tc>
      </w:tr>
      <w:tr w:rsidR="00836655" w:rsidRPr="004B208C"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B208C" w:rsidRDefault="00836655" w:rsidP="00DF6C52">
            <w:pPr>
              <w:spacing w:line="276" w:lineRule="auto"/>
              <w:rPr>
                <w:rFonts w:eastAsia="Calibri" w:cs="Tahoma"/>
                <w:szCs w:val="18"/>
              </w:rPr>
            </w:pPr>
            <w:r w:rsidRPr="004B208C">
              <w:rPr>
                <w:rFonts w:eastAsia="Calibri" w:cs="Tahoma"/>
                <w:szCs w:val="18"/>
              </w:rPr>
              <w:t>Pacote de CALs do SBS 2011 com cobertura do Software Assurance em ou depois de 1o.</w:t>
            </w:r>
            <w:r w:rsidR="00DF6C52">
              <w:rPr>
                <w:rFonts w:eastAsia="Calibri" w:cs="Tahoma"/>
                <w:szCs w:val="18"/>
              </w:rPr>
              <w:t> </w:t>
            </w:r>
            <w:r w:rsidRPr="004B208C">
              <w:rPr>
                <w:rFonts w:eastAsia="Calibri" w:cs="Tahoma"/>
                <w:szCs w:val="18"/>
              </w:rPr>
              <w:t>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B208C" w:rsidRDefault="00836655" w:rsidP="00CA14C9">
            <w:pPr>
              <w:spacing w:line="276" w:lineRule="auto"/>
              <w:rPr>
                <w:rFonts w:cs="Tahoma"/>
              </w:rPr>
            </w:pPr>
            <w:r w:rsidRPr="004B208C">
              <w:rPr>
                <w:rFonts w:eastAsia="Calibri" w:cs="Tahoma"/>
                <w:szCs w:val="18"/>
              </w:rPr>
              <w:t>CAL do Windows Server 2012 com Software Assurance</w:t>
            </w:r>
          </w:p>
          <w:p w:rsidR="00836655" w:rsidRPr="004B208C" w:rsidRDefault="00836655" w:rsidP="00CA14C9">
            <w:pPr>
              <w:spacing w:line="276" w:lineRule="auto"/>
              <w:rPr>
                <w:rFonts w:eastAsia="Calibri" w:cs="Tahoma"/>
                <w:szCs w:val="18"/>
              </w:rPr>
            </w:pPr>
            <w:r w:rsidRPr="004B208C">
              <w:rPr>
                <w:rFonts w:eastAsia="Calibri" w:cs="Tahoma"/>
                <w:szCs w:val="18"/>
              </w:rPr>
              <w:t>CAL do Exchange Server 2010 com Software Assurance</w:t>
            </w:r>
          </w:p>
        </w:tc>
      </w:tr>
    </w:tbl>
    <w:p w:rsidR="000F0F4D" w:rsidRPr="00DF6C52" w:rsidRDefault="000F0F4D" w:rsidP="000F0F4D">
      <w:pPr>
        <w:pStyle w:val="ListParagraph"/>
        <w:contextualSpacing w:val="0"/>
        <w:rPr>
          <w:rFonts w:ascii="Tahoma" w:hAnsi="Tahoma" w:cs="Tahoma"/>
          <w:sz w:val="18"/>
          <w:szCs w:val="18"/>
        </w:rPr>
      </w:pPr>
    </w:p>
    <w:p w:rsidR="00836655" w:rsidRPr="00DF6C52" w:rsidRDefault="00836655" w:rsidP="000F0F4D">
      <w:pPr>
        <w:pStyle w:val="ListParagraph"/>
        <w:contextualSpacing w:val="0"/>
        <w:rPr>
          <w:rFonts w:ascii="Tahoma" w:hAnsi="Tahoma" w:cs="Tahoma"/>
          <w:sz w:val="18"/>
          <w:szCs w:val="18"/>
        </w:rPr>
      </w:pPr>
      <w:r w:rsidRPr="00DF6C52">
        <w:rPr>
          <w:rFonts w:ascii="Tahoma" w:eastAsia="Calibri" w:hAnsi="Tahoma" w:cs="Tahoma"/>
          <w:sz w:val="18"/>
          <w:szCs w:val="18"/>
        </w:rPr>
        <w:t>A cobertura do Software Assurance incluída com a concessão supracitada expira quando a cobertura correspondente nas CALs Qualificadas expirar. Como uma exceção, os clientes com Software Assurance em</w:t>
      </w:r>
      <w:r w:rsidR="00DF6C52">
        <w:rPr>
          <w:rFonts w:ascii="Tahoma" w:eastAsia="Calibri" w:hAnsi="Tahoma" w:cs="Tahoma"/>
          <w:sz w:val="18"/>
          <w:szCs w:val="18"/>
        </w:rPr>
        <w:t> </w:t>
      </w:r>
      <w:r w:rsidRPr="00DF6C52">
        <w:rPr>
          <w:rFonts w:ascii="Tahoma" w:eastAsia="Calibri" w:hAnsi="Tahoma" w:cs="Tahoma"/>
          <w:sz w:val="18"/>
          <w:szCs w:val="18"/>
        </w:rPr>
        <w:t>CALs Qualificadas que expiram em agosto de 2012 poderão, até 31 de dezembro de 2012, renovar o</w:t>
      </w:r>
      <w:r w:rsidR="00DF6C52">
        <w:rPr>
          <w:rFonts w:ascii="Tahoma" w:eastAsia="Calibri" w:hAnsi="Tahoma" w:cs="Tahoma"/>
          <w:sz w:val="18"/>
          <w:szCs w:val="18"/>
        </w:rPr>
        <w:t> </w:t>
      </w:r>
      <w:r w:rsidRPr="00DF6C52">
        <w:rPr>
          <w:rFonts w:ascii="Tahoma" w:eastAsia="Calibri" w:hAnsi="Tahoma" w:cs="Tahoma"/>
          <w:sz w:val="18"/>
          <w:szCs w:val="18"/>
        </w:rPr>
        <w:t>Software Assurance nas CALs concedidas sob esta oferta. Os clientes com Software Assurance em CALs Qualificadas que expiram em julho de 2012 poderão, até 31 de dezembro de 2012, adquirir o Software Assurance nas CALs concedidas sob esta oferta.</w:t>
      </w:r>
    </w:p>
    <w:p w:rsidR="000F0F4D" w:rsidRPr="00DF6C52" w:rsidRDefault="000F0F4D" w:rsidP="000F0F4D">
      <w:pPr>
        <w:pStyle w:val="ListParagraph"/>
        <w:contextualSpacing w:val="0"/>
        <w:rPr>
          <w:rFonts w:ascii="Tahoma" w:hAnsi="Tahoma" w:cs="Tahoma"/>
          <w:sz w:val="18"/>
          <w:szCs w:val="18"/>
        </w:rPr>
      </w:pPr>
    </w:p>
    <w:p w:rsidR="00836655" w:rsidRPr="00DF6C52" w:rsidRDefault="00836655" w:rsidP="000F0F4D">
      <w:pPr>
        <w:pStyle w:val="ListParagraph"/>
        <w:contextualSpacing w:val="0"/>
        <w:rPr>
          <w:rFonts w:ascii="Tahoma" w:hAnsi="Tahoma" w:cs="Tahoma"/>
          <w:sz w:val="18"/>
          <w:szCs w:val="18"/>
        </w:rPr>
      </w:pPr>
      <w:r w:rsidRPr="00DF6C52">
        <w:rPr>
          <w:rFonts w:ascii="Tahoma" w:eastAsia="Calibri" w:hAnsi="Tahoma" w:cs="Tahoma"/>
          <w:sz w:val="18"/>
          <w:szCs w:val="18"/>
        </w:rPr>
        <w:t>Se os clientes adquiriram direitos perpétuos de acordo com CALs Qualificadas, as CALs adquiridas sob essa</w:t>
      </w:r>
      <w:r w:rsidR="00DF6C52">
        <w:rPr>
          <w:rFonts w:ascii="Tahoma" w:eastAsia="Calibri" w:hAnsi="Tahoma" w:cs="Tahoma"/>
          <w:sz w:val="18"/>
          <w:szCs w:val="18"/>
        </w:rPr>
        <w:t> </w:t>
      </w:r>
      <w:r w:rsidRPr="00DF6C52">
        <w:rPr>
          <w:rFonts w:ascii="Tahoma" w:eastAsia="Calibri" w:hAnsi="Tahoma" w:cs="Tahoma"/>
          <w:sz w:val="18"/>
          <w:szCs w:val="18"/>
        </w:rPr>
        <w:t>concessão serão também perpétuas; caso contrário, as CALs adquiridas sob essa concessão expirarão quando as CALs Qualificadas subjacentes expirarem.</w:t>
      </w:r>
    </w:p>
    <w:p w:rsidR="000F0F4D" w:rsidRPr="00DF6C52" w:rsidRDefault="000F0F4D" w:rsidP="000F0F4D">
      <w:pPr>
        <w:pStyle w:val="ListParagraph"/>
        <w:contextualSpacing w:val="0"/>
        <w:rPr>
          <w:rFonts w:ascii="Tahoma" w:hAnsi="Tahoma" w:cs="Tahoma"/>
          <w:sz w:val="18"/>
          <w:szCs w:val="18"/>
        </w:rPr>
      </w:pPr>
    </w:p>
    <w:p w:rsidR="00836655" w:rsidRPr="00DF6C52" w:rsidRDefault="00836655" w:rsidP="000F0F4D">
      <w:pPr>
        <w:pStyle w:val="ListParagraph"/>
        <w:contextualSpacing w:val="0"/>
        <w:rPr>
          <w:rFonts w:ascii="Tahoma" w:hAnsi="Tahoma" w:cs="Tahoma"/>
          <w:sz w:val="18"/>
          <w:szCs w:val="18"/>
        </w:rPr>
      </w:pPr>
      <w:r w:rsidRPr="00DF6C52">
        <w:rPr>
          <w:rFonts w:ascii="Tahoma" w:eastAsia="Calibri" w:hAnsi="Tahoma" w:cs="Tahoma"/>
          <w:sz w:val="18"/>
          <w:szCs w:val="18"/>
        </w:rPr>
        <w:t>Para cada CAL Qualificada adquirida sob Open Value Subscription, um cliente pode comprar um Pacote de</w:t>
      </w:r>
      <w:r w:rsidR="00DF6C52">
        <w:rPr>
          <w:rFonts w:ascii="Tahoma" w:eastAsia="Calibri" w:hAnsi="Tahoma" w:cs="Tahoma"/>
          <w:sz w:val="18"/>
          <w:szCs w:val="18"/>
        </w:rPr>
        <w:t> </w:t>
      </w:r>
      <w:r w:rsidRPr="00DF6C52">
        <w:rPr>
          <w:rFonts w:ascii="Tahoma" w:eastAsia="Calibri" w:hAnsi="Tahoma" w:cs="Tahoma"/>
          <w:sz w:val="18"/>
          <w:szCs w:val="18"/>
        </w:rPr>
        <w:t>CALs do SBS 2011, conforme cotado ou:</w:t>
      </w:r>
    </w:p>
    <w:p w:rsidR="000F0F4D" w:rsidRPr="00DF6C52" w:rsidRDefault="000F0F4D" w:rsidP="000F0F4D">
      <w:pPr>
        <w:pStyle w:val="ListParagraph"/>
        <w:contextualSpacing w:val="0"/>
        <w:rPr>
          <w:rFonts w:ascii="Tahoma" w:hAnsi="Tahoma" w:cs="Tahoma"/>
          <w:sz w:val="18"/>
          <w:szCs w:val="18"/>
        </w:rPr>
      </w:pPr>
    </w:p>
    <w:p w:rsidR="00836655" w:rsidRPr="00DF6C52" w:rsidRDefault="00836655" w:rsidP="00A1385C">
      <w:pPr>
        <w:pStyle w:val="ListParagraph"/>
        <w:numPr>
          <w:ilvl w:val="1"/>
          <w:numId w:val="95"/>
        </w:numPr>
        <w:tabs>
          <w:tab w:val="clear" w:pos="1440"/>
        </w:tabs>
        <w:spacing w:after="60"/>
        <w:ind w:left="1800"/>
        <w:contextualSpacing w:val="0"/>
        <w:rPr>
          <w:rFonts w:ascii="Tahoma" w:hAnsi="Tahoma" w:cs="Tahoma"/>
          <w:sz w:val="18"/>
          <w:szCs w:val="18"/>
        </w:rPr>
      </w:pPr>
      <w:r w:rsidRPr="00DF6C52">
        <w:rPr>
          <w:rFonts w:ascii="Tahoma" w:eastAsia="Calibri" w:hAnsi="Tahoma" w:cs="Tahoma"/>
          <w:sz w:val="18"/>
          <w:szCs w:val="18"/>
        </w:rPr>
        <w:t>Uma CAL para cada Windows Server 2012 Standard e Exchange Server 2010 para contratos que expiram em ou depois de 1</w:t>
      </w:r>
      <w:r w:rsidRPr="00DF6C52">
        <w:rPr>
          <w:rFonts w:ascii="Tahoma" w:eastAsia="Calibri" w:hAnsi="Tahoma" w:cs="Tahoma"/>
          <w:sz w:val="18"/>
          <w:szCs w:val="18"/>
          <w:vertAlign w:val="superscript"/>
        </w:rPr>
        <w:t>º</w:t>
      </w:r>
      <w:r w:rsidRPr="00DF6C52">
        <w:rPr>
          <w:rFonts w:ascii="Tahoma" w:eastAsia="Calibri" w:hAnsi="Tahoma" w:cs="Tahoma"/>
          <w:sz w:val="18"/>
          <w:szCs w:val="18"/>
        </w:rPr>
        <w:t xml:space="preserve"> de agosto de 2012 e</w:t>
      </w:r>
    </w:p>
    <w:p w:rsidR="00836655" w:rsidRPr="00DF6C52" w:rsidRDefault="00836655" w:rsidP="00A1385C">
      <w:pPr>
        <w:pStyle w:val="ListParagraph"/>
        <w:numPr>
          <w:ilvl w:val="1"/>
          <w:numId w:val="95"/>
        </w:numPr>
        <w:tabs>
          <w:tab w:val="clear" w:pos="1440"/>
        </w:tabs>
        <w:spacing w:after="60"/>
        <w:ind w:left="1800"/>
        <w:contextualSpacing w:val="0"/>
        <w:rPr>
          <w:rFonts w:ascii="Tahoma" w:hAnsi="Tahoma" w:cs="Tahoma"/>
          <w:sz w:val="18"/>
          <w:szCs w:val="18"/>
        </w:rPr>
      </w:pPr>
      <w:r w:rsidRPr="00DF6C52">
        <w:rPr>
          <w:rFonts w:ascii="Tahoma" w:eastAsia="Calibri" w:hAnsi="Tahoma" w:cs="Tahoma"/>
          <w:sz w:val="18"/>
          <w:szCs w:val="18"/>
        </w:rPr>
        <w:t>Uma CAL para cada Windows Server 2008 e Exchange Server 2010 Standard para contratos que expiram em julho de 2012.</w:t>
      </w:r>
    </w:p>
    <w:p w:rsidR="000F0F4D" w:rsidRPr="00DF6C52" w:rsidRDefault="000F0F4D" w:rsidP="000F0F4D">
      <w:pPr>
        <w:ind w:left="720"/>
        <w:rPr>
          <w:rFonts w:cs="Tahoma"/>
          <w:szCs w:val="18"/>
        </w:rPr>
      </w:pPr>
    </w:p>
    <w:p w:rsidR="00836655" w:rsidRPr="00DF6C52" w:rsidRDefault="00836655" w:rsidP="000F0F4D">
      <w:pPr>
        <w:ind w:left="720"/>
        <w:rPr>
          <w:rFonts w:cs="Tahoma"/>
          <w:szCs w:val="18"/>
        </w:rPr>
      </w:pPr>
      <w:r w:rsidRPr="00DF6C52">
        <w:rPr>
          <w:rFonts w:eastAsia="Calibri" w:cs="Tahoma"/>
          <w:szCs w:val="18"/>
        </w:rPr>
        <w:t>No uso da CAL do Windows Server e CAL Padrão do Exchange Server 2010 sob essa concessão, as CALs Qualificadas do Pacote de CALs do SBS 2011 padrão existentes dos clientes não serão mais válidas.</w:t>
      </w:r>
    </w:p>
    <w:p w:rsidR="000F0F4D" w:rsidRPr="00DF6C52" w:rsidRDefault="000F0F4D" w:rsidP="000F0F4D">
      <w:pPr>
        <w:ind w:left="720"/>
        <w:rPr>
          <w:rFonts w:cs="Tahoma"/>
          <w:szCs w:val="18"/>
        </w:rPr>
      </w:pPr>
    </w:p>
    <w:p w:rsidR="00836655" w:rsidRPr="00DF6C52" w:rsidRDefault="00836655" w:rsidP="000F0F4D">
      <w:pPr>
        <w:ind w:left="720"/>
        <w:rPr>
          <w:rFonts w:cs="Tahoma"/>
          <w:szCs w:val="18"/>
        </w:rPr>
      </w:pPr>
      <w:r w:rsidRPr="00DF6C52">
        <w:rPr>
          <w:rFonts w:cs="Tahoma"/>
          <w:color w:val="000000"/>
          <w:szCs w:val="18"/>
        </w:rPr>
        <w:t>O Pacote de CALs do SBS 2011</w:t>
      </w:r>
      <w:r w:rsidRPr="00DF6C52">
        <w:rPr>
          <w:rFonts w:cs="Tahoma"/>
          <w:bCs/>
          <w:color w:val="000000"/>
          <w:szCs w:val="18"/>
        </w:rPr>
        <w:t xml:space="preserve"> adquirido posteriormente no mesmo prazo de registro, como parte de um</w:t>
      </w:r>
      <w:r w:rsidR="00BF2327">
        <w:rPr>
          <w:rFonts w:cs="Tahoma"/>
          <w:bCs/>
          <w:color w:val="000000"/>
          <w:szCs w:val="18"/>
        </w:rPr>
        <w:t> </w:t>
      </w:r>
      <w:r w:rsidRPr="00DF6C52">
        <w:rPr>
          <w:rFonts w:cs="Tahoma"/>
          <w:bCs/>
          <w:color w:val="000000"/>
          <w:szCs w:val="18"/>
        </w:rPr>
        <w:t>processo de adequação (“true-up”) programado do cliente Open Value Subscription ou Enrollment for</w:t>
      </w:r>
      <w:r w:rsidR="00BF2327">
        <w:rPr>
          <w:rFonts w:cs="Tahoma"/>
          <w:bCs/>
          <w:color w:val="000000"/>
          <w:szCs w:val="18"/>
        </w:rPr>
        <w:t> </w:t>
      </w:r>
      <w:r w:rsidRPr="00DF6C52">
        <w:rPr>
          <w:rFonts w:cs="Tahoma"/>
          <w:bCs/>
          <w:color w:val="000000"/>
          <w:szCs w:val="18"/>
        </w:rPr>
        <w:t>Education Solutions também são CALs Qualificadas para os propósitos da concessão supracitada.</w:t>
      </w:r>
      <w:r w:rsidRPr="00DF6C52">
        <w:rPr>
          <w:rFonts w:eastAsia="Calibri" w:cs="Tahoma"/>
          <w:szCs w:val="18"/>
        </w:rPr>
        <w:t xml:space="preserve"> </w:t>
      </w:r>
    </w:p>
    <w:p w:rsidR="009B1D83" w:rsidRPr="00DF6C52" w:rsidRDefault="009B1D83" w:rsidP="000F0F4D">
      <w:pPr>
        <w:ind w:left="900"/>
        <w:rPr>
          <w:rFonts w:cs="Tahoma"/>
          <w:szCs w:val="18"/>
        </w:rPr>
      </w:pPr>
    </w:p>
    <w:p w:rsidR="00C066B5" w:rsidRPr="004B208C" w:rsidRDefault="00C066B5" w:rsidP="000F0F4D">
      <w:pPr>
        <w:ind w:left="900"/>
        <w:rPr>
          <w:rFonts w:cs="Tahoma"/>
        </w:rPr>
      </w:pPr>
    </w:p>
    <w:p w:rsidR="00C066B5" w:rsidRPr="004B208C" w:rsidRDefault="00C066B5" w:rsidP="00C066B5">
      <w:pPr>
        <w:pStyle w:val="Heading2"/>
        <w:ind w:hanging="720"/>
        <w:rPr>
          <w:rFonts w:ascii="Tahoma" w:hAnsi="Tahoma" w:cs="Tahoma"/>
        </w:rPr>
      </w:pPr>
      <w:bookmarkStart w:id="1632" w:name="_116_Complemento_do"/>
      <w:bookmarkStart w:id="1633" w:name="Srv_122WinSmallBizSVR2011Addon"/>
      <w:bookmarkStart w:id="1634" w:name="_Toc336338379"/>
      <w:bookmarkStart w:id="1635" w:name="_Toc357669627"/>
      <w:bookmarkStart w:id="1636" w:name="Srv_112WinSmallBizSVR2011Addon"/>
      <w:bookmarkStart w:id="1637" w:name="Srv_118WinSmallBizSVR2011Addon"/>
      <w:bookmarkStart w:id="1638" w:name="_Toc370981490"/>
      <w:bookmarkEnd w:id="1632"/>
      <w:r w:rsidRPr="004B208C">
        <w:rPr>
          <w:rFonts w:ascii="Tahoma" w:hAnsi="Tahoma" w:cs="Tahoma"/>
          <w:caps/>
          <w:color w:val="EE6000"/>
          <w:sz w:val="22"/>
          <w:szCs w:val="18"/>
          <w:vertAlign w:val="superscript"/>
        </w:rPr>
        <w:t xml:space="preserve">116 </w:t>
      </w:r>
      <w:r w:rsidRPr="004B208C">
        <w:rPr>
          <w:rFonts w:ascii="Tahoma" w:hAnsi="Tahoma" w:cs="Tahoma"/>
          <w:color w:val="EE6000"/>
          <w:sz w:val="22"/>
          <w:szCs w:val="18"/>
        </w:rPr>
        <w:t>Complemento do Windows Small Business Server (SBS) 2011 Premium</w:t>
      </w:r>
      <w:bookmarkEnd w:id="1633"/>
      <w:bookmarkEnd w:id="1634"/>
      <w:bookmarkEnd w:id="1635"/>
      <w:bookmarkEnd w:id="1638"/>
    </w:p>
    <w:bookmarkEnd w:id="1636"/>
    <w:bookmarkEnd w:id="1637"/>
    <w:p w:rsidR="00C066B5" w:rsidRPr="004B208C" w:rsidRDefault="00C066B5" w:rsidP="00C066B5">
      <w:pPr>
        <w:ind w:left="900"/>
        <w:rPr>
          <w:rFonts w:cs="Tahoma"/>
        </w:rPr>
      </w:pPr>
    </w:p>
    <w:p w:rsidR="00C066B5" w:rsidRPr="004B208C" w:rsidRDefault="00C066B5" w:rsidP="00C066B5">
      <w:pPr>
        <w:spacing w:after="60"/>
        <w:ind w:left="720"/>
        <w:rPr>
          <w:rFonts w:cs="Tahoma"/>
        </w:rPr>
      </w:pPr>
      <w:r w:rsidRPr="004B208C">
        <w:rPr>
          <w:rFonts w:cs="Tahoma"/>
          <w:b/>
          <w:color w:val="000000"/>
        </w:rPr>
        <w:t>Outorgas de licença associadas ao término da validade do Complemento do SBS 2011 Premium</w:t>
      </w:r>
    </w:p>
    <w:p w:rsidR="00C066B5" w:rsidRPr="004B208C" w:rsidRDefault="00C066B5" w:rsidP="00C066B5">
      <w:pPr>
        <w:ind w:left="720"/>
        <w:rPr>
          <w:rFonts w:cs="Tahoma"/>
        </w:rPr>
      </w:pPr>
      <w:r w:rsidRPr="004B208C">
        <w:rPr>
          <w:rFonts w:cs="Tahoma"/>
          <w:color w:val="000000"/>
        </w:rPr>
        <w:t xml:space="preserve">O Complemento do SBS 2011 Premium será a última versão do Complemento do SBS Premium. Os clientes de licenciamento por volume com Software Assurance ativo para licenças do Complemento do SBS 2011 Premium (“Licenças Qualificadas”) poderão atualizar e </w:t>
      </w:r>
      <w:r w:rsidRPr="004B208C">
        <w:rPr>
          <w:rFonts w:eastAsia="Calibri" w:cs="Tahoma"/>
          <w:szCs w:val="18"/>
        </w:rPr>
        <w:t>usar os softwares Windows Server Standard e SQL Server 2012 Standard em vez do SBS 2011 Premium. Para facilitar tal uso, para cada licença Qualificada que</w:t>
      </w:r>
      <w:r w:rsidR="00DF6C52">
        <w:rPr>
          <w:rFonts w:eastAsia="Calibri" w:cs="Tahoma"/>
          <w:szCs w:val="18"/>
        </w:rPr>
        <w:t> </w:t>
      </w:r>
      <w:r w:rsidRPr="004B208C">
        <w:rPr>
          <w:rFonts w:eastAsia="Calibri" w:cs="Tahoma"/>
          <w:szCs w:val="18"/>
        </w:rPr>
        <w:t xml:space="preserve">o cliente possui, ele receberá uma licença para cada licença do Windows Server e SQL Server 2012 (licenciada sob o modelo de Servidor/CAL), como pode ser visto na tabela a seguir. </w:t>
      </w:r>
    </w:p>
    <w:p w:rsidR="00C066B5" w:rsidRPr="004B208C" w:rsidRDefault="00C066B5" w:rsidP="00C066B5">
      <w:pPr>
        <w:ind w:left="720"/>
        <w:rPr>
          <w:rFonts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4B208C"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B208C" w:rsidRDefault="00C066B5" w:rsidP="00FC0808">
            <w:pPr>
              <w:keepNext/>
              <w:spacing w:after="200" w:line="276" w:lineRule="auto"/>
              <w:rPr>
                <w:rFonts w:eastAsia="Calibri" w:cs="Tahoma"/>
                <w:szCs w:val="18"/>
              </w:rPr>
            </w:pPr>
            <w:r w:rsidRPr="004B208C">
              <w:rPr>
                <w:rFonts w:cs="Tahoma"/>
                <w:b/>
                <w:color w:val="000000"/>
              </w:rPr>
              <w:t>Licenças Qualificadas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4B208C" w:rsidRDefault="00C066B5" w:rsidP="00FC0808">
            <w:pPr>
              <w:keepNext/>
              <w:spacing w:after="200" w:line="276" w:lineRule="auto"/>
              <w:rPr>
                <w:rFonts w:eastAsia="Calibri" w:cs="Tahoma"/>
                <w:szCs w:val="18"/>
              </w:rPr>
            </w:pPr>
            <w:r w:rsidRPr="004B208C">
              <w:rPr>
                <w:rFonts w:cs="Tahoma"/>
                <w:b/>
                <w:color w:val="000000"/>
              </w:rPr>
              <w:t>Outorga de Licença</w:t>
            </w:r>
          </w:p>
        </w:tc>
      </w:tr>
      <w:tr w:rsidR="00C066B5" w:rsidRPr="004B208C"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B208C" w:rsidRDefault="00C066B5" w:rsidP="00DF6C52">
            <w:pPr>
              <w:keepNext/>
              <w:spacing w:line="276" w:lineRule="auto"/>
              <w:rPr>
                <w:rFonts w:eastAsia="Calibri" w:cs="Tahoma"/>
                <w:szCs w:val="18"/>
              </w:rPr>
            </w:pPr>
            <w:r w:rsidRPr="004B208C">
              <w:rPr>
                <w:rFonts w:eastAsia="Calibri" w:cs="Tahoma"/>
                <w:szCs w:val="18"/>
              </w:rPr>
              <w:t>Complemento do SBS 2011 Premium com cobertura do</w:t>
            </w:r>
            <w:r w:rsidR="00DF6C52">
              <w:rPr>
                <w:rFonts w:eastAsia="Calibri" w:cs="Tahoma"/>
                <w:szCs w:val="18"/>
              </w:rPr>
              <w:t> </w:t>
            </w:r>
            <w:r w:rsidRPr="004B208C">
              <w:rPr>
                <w:rFonts w:eastAsia="Calibri" w:cs="Tahoma"/>
                <w:szCs w:val="18"/>
              </w:rPr>
              <w:t>Software Assurance até 31 de julho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B208C" w:rsidRDefault="00C066B5" w:rsidP="00FC0808">
            <w:pPr>
              <w:keepNext/>
              <w:spacing w:line="276" w:lineRule="auto"/>
              <w:rPr>
                <w:rFonts w:cs="Tahoma"/>
              </w:rPr>
            </w:pPr>
            <w:r w:rsidRPr="004B208C">
              <w:rPr>
                <w:rFonts w:eastAsia="Calibri" w:cs="Tahoma"/>
                <w:szCs w:val="18"/>
              </w:rPr>
              <w:t xml:space="preserve">CAL do Windows Server 2008 R2 </w:t>
            </w:r>
          </w:p>
          <w:p w:rsidR="00C066B5" w:rsidRPr="004B208C" w:rsidRDefault="00C066B5" w:rsidP="00FC0808">
            <w:pPr>
              <w:keepNext/>
              <w:spacing w:line="276" w:lineRule="auto"/>
              <w:rPr>
                <w:rFonts w:eastAsia="Calibri" w:cs="Tahoma"/>
                <w:szCs w:val="18"/>
              </w:rPr>
            </w:pPr>
            <w:r w:rsidRPr="004B208C">
              <w:rPr>
                <w:rFonts w:eastAsia="Calibri" w:cs="Tahoma"/>
                <w:szCs w:val="18"/>
              </w:rPr>
              <w:t xml:space="preserve">SQL Server 2012 </w:t>
            </w:r>
          </w:p>
        </w:tc>
      </w:tr>
      <w:tr w:rsidR="00C066B5" w:rsidRPr="004B208C"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4B208C" w:rsidRDefault="00C066B5" w:rsidP="00DF6C52">
            <w:pPr>
              <w:keepNext/>
              <w:spacing w:line="276" w:lineRule="auto"/>
              <w:rPr>
                <w:rFonts w:eastAsia="Calibri" w:cs="Tahoma"/>
                <w:szCs w:val="18"/>
              </w:rPr>
            </w:pPr>
            <w:r w:rsidRPr="004B208C">
              <w:rPr>
                <w:rFonts w:eastAsia="Calibri" w:cs="Tahoma"/>
                <w:szCs w:val="18"/>
              </w:rPr>
              <w:t>Complemento do SBS 2011 Premium com cobertura do</w:t>
            </w:r>
            <w:r w:rsidR="00DF6C52">
              <w:rPr>
                <w:rFonts w:eastAsia="Calibri" w:cs="Tahoma"/>
                <w:szCs w:val="18"/>
              </w:rPr>
              <w:t> </w:t>
            </w:r>
            <w:r w:rsidRPr="004B208C">
              <w:rPr>
                <w:rFonts w:eastAsia="Calibri" w:cs="Tahoma"/>
                <w:szCs w:val="18"/>
              </w:rPr>
              <w:t>Software Assurance em ou depois de 1o.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4B208C" w:rsidRDefault="00C066B5" w:rsidP="00FC0808">
            <w:pPr>
              <w:keepNext/>
              <w:spacing w:line="276" w:lineRule="auto"/>
              <w:rPr>
                <w:rFonts w:cs="Tahoma"/>
              </w:rPr>
            </w:pPr>
            <w:r w:rsidRPr="004B208C">
              <w:rPr>
                <w:rFonts w:eastAsia="Calibri" w:cs="Tahoma"/>
                <w:szCs w:val="18"/>
              </w:rPr>
              <w:t>Windows Server 2012 com Software Assurance</w:t>
            </w:r>
          </w:p>
          <w:p w:rsidR="00C066B5" w:rsidRPr="004B208C" w:rsidRDefault="00C066B5" w:rsidP="00FC0808">
            <w:pPr>
              <w:keepNext/>
              <w:spacing w:line="276" w:lineRule="auto"/>
              <w:rPr>
                <w:rFonts w:eastAsia="Calibri" w:cs="Tahoma"/>
                <w:szCs w:val="18"/>
              </w:rPr>
            </w:pPr>
            <w:r w:rsidRPr="004B208C">
              <w:rPr>
                <w:rFonts w:eastAsia="Calibri" w:cs="Tahoma"/>
                <w:szCs w:val="18"/>
              </w:rPr>
              <w:t>SQL Server 2012 com Software Assurance</w:t>
            </w:r>
          </w:p>
        </w:tc>
      </w:tr>
    </w:tbl>
    <w:p w:rsidR="00C066B5" w:rsidRDefault="00C066B5" w:rsidP="00C066B5">
      <w:pPr>
        <w:pStyle w:val="ListParagraph"/>
        <w:spacing w:after="100" w:afterAutospacing="1"/>
        <w:rPr>
          <w:rFonts w:ascii="Tahoma" w:hAnsi="Tahoma" w:cs="Tahoma"/>
          <w:sz w:val="18"/>
          <w:szCs w:val="18"/>
        </w:rPr>
      </w:pPr>
    </w:p>
    <w:p w:rsidR="00DF6C52" w:rsidRPr="00DF6C52" w:rsidRDefault="00DF6C52" w:rsidP="00C066B5">
      <w:pPr>
        <w:pStyle w:val="ListParagraph"/>
        <w:spacing w:after="100" w:afterAutospacing="1"/>
        <w:rPr>
          <w:rFonts w:ascii="Tahoma" w:hAnsi="Tahoma" w:cs="Tahoma"/>
          <w:sz w:val="18"/>
          <w:szCs w:val="18"/>
        </w:rPr>
      </w:pPr>
    </w:p>
    <w:p w:rsidR="00C066B5" w:rsidRPr="00DF6C52" w:rsidRDefault="00C066B5" w:rsidP="00C066B5">
      <w:pPr>
        <w:pStyle w:val="ListParagraph"/>
        <w:contextualSpacing w:val="0"/>
        <w:rPr>
          <w:rFonts w:ascii="Tahoma" w:hAnsi="Tahoma" w:cs="Tahoma"/>
          <w:sz w:val="18"/>
          <w:szCs w:val="18"/>
        </w:rPr>
      </w:pPr>
      <w:r w:rsidRPr="00DF6C52">
        <w:rPr>
          <w:rFonts w:ascii="Tahoma" w:eastAsia="Calibri" w:hAnsi="Tahoma" w:cs="Tahoma"/>
          <w:sz w:val="18"/>
          <w:szCs w:val="18"/>
        </w:rPr>
        <w:lastRenderedPageBreak/>
        <w:t xml:space="preserve">A cobertura do Software Assurance incluída com a concessão supracitada expira quando a cobertura correspondente nas Licenças Qualificadas expirar. Como uma exceção, os clientes com Software Assurance em Licenças de Qualificação que expiram em </w:t>
      </w:r>
      <w:r w:rsidRPr="00DF6C52">
        <w:rPr>
          <w:rStyle w:val="CommentReference"/>
          <w:rFonts w:ascii="Tahoma" w:hAnsi="Tahoma" w:cs="Tahoma"/>
          <w:sz w:val="18"/>
          <w:szCs w:val="18"/>
        </w:rPr>
        <w:t>agosto de 2</w:t>
      </w:r>
      <w:r w:rsidRPr="00DF6C52">
        <w:rPr>
          <w:rFonts w:ascii="Tahoma" w:eastAsia="Calibri" w:hAnsi="Tahoma" w:cs="Tahoma"/>
          <w:sz w:val="18"/>
          <w:szCs w:val="18"/>
        </w:rPr>
        <w:t>012</w:t>
      </w:r>
      <w:r w:rsidRPr="00DF6C52">
        <w:rPr>
          <w:rFonts w:ascii="Tahoma" w:eastAsia="Calibri" w:hAnsi="Tahoma" w:cs="Tahoma"/>
          <w:sz w:val="18"/>
          <w:szCs w:val="18"/>
          <w:vertAlign w:val="superscript"/>
        </w:rPr>
        <w:t xml:space="preserve"> </w:t>
      </w:r>
      <w:r w:rsidRPr="00564B49">
        <w:rPr>
          <w:rFonts w:ascii="Tahoma" w:eastAsia="Calibri" w:hAnsi="Tahoma" w:cs="Tahoma"/>
          <w:sz w:val="18"/>
          <w:szCs w:val="18"/>
        </w:rPr>
        <w:t>poderão, até</w:t>
      </w:r>
      <w:r w:rsidRPr="00DF6C52">
        <w:rPr>
          <w:rFonts w:ascii="Tahoma" w:eastAsia="Calibri" w:hAnsi="Tahoma" w:cs="Tahoma"/>
          <w:sz w:val="18"/>
          <w:szCs w:val="18"/>
          <w:vertAlign w:val="superscript"/>
        </w:rPr>
        <w:t xml:space="preserve"> </w:t>
      </w:r>
      <w:r w:rsidRPr="00564B49">
        <w:rPr>
          <w:rFonts w:ascii="Tahoma" w:eastAsia="Calibri" w:hAnsi="Tahoma" w:cs="Tahoma"/>
          <w:sz w:val="18"/>
          <w:szCs w:val="18"/>
        </w:rPr>
        <w:t xml:space="preserve">31 </w:t>
      </w:r>
      <w:r w:rsidRPr="00DF6C52">
        <w:rPr>
          <w:rFonts w:ascii="Tahoma" w:eastAsia="Calibri" w:hAnsi="Tahoma" w:cs="Tahoma"/>
          <w:sz w:val="18"/>
          <w:szCs w:val="18"/>
          <w:vertAlign w:val="superscript"/>
        </w:rPr>
        <w:t xml:space="preserve">de </w:t>
      </w:r>
      <w:r w:rsidRPr="00564B49">
        <w:rPr>
          <w:rFonts w:ascii="Tahoma" w:eastAsia="Calibri" w:hAnsi="Tahoma" w:cs="Tahoma"/>
          <w:sz w:val="18"/>
          <w:szCs w:val="18"/>
        </w:rPr>
        <w:t xml:space="preserve">dezembro </w:t>
      </w:r>
      <w:r w:rsidRPr="00DF6C52">
        <w:rPr>
          <w:rFonts w:ascii="Tahoma" w:eastAsia="Calibri" w:hAnsi="Tahoma" w:cs="Tahoma"/>
          <w:sz w:val="18"/>
          <w:szCs w:val="18"/>
        </w:rPr>
        <w:t>de 2012, renovar o Software Assurance nas licenças concedidas sob esta oferta.</w:t>
      </w:r>
    </w:p>
    <w:p w:rsidR="00C066B5" w:rsidRPr="00DF6C52" w:rsidRDefault="00C066B5" w:rsidP="00C066B5">
      <w:pPr>
        <w:pStyle w:val="ListParagraph"/>
        <w:contextualSpacing w:val="0"/>
        <w:rPr>
          <w:rFonts w:ascii="Tahoma" w:hAnsi="Tahoma" w:cs="Tahoma"/>
          <w:sz w:val="18"/>
          <w:szCs w:val="18"/>
        </w:rPr>
      </w:pPr>
    </w:p>
    <w:p w:rsidR="00C066B5" w:rsidRPr="00DF6C52" w:rsidRDefault="00C066B5" w:rsidP="00C066B5">
      <w:pPr>
        <w:spacing w:line="276" w:lineRule="auto"/>
        <w:ind w:left="720"/>
        <w:rPr>
          <w:rFonts w:cs="Tahoma"/>
          <w:szCs w:val="18"/>
        </w:rPr>
      </w:pPr>
      <w:r w:rsidRPr="00DF6C52">
        <w:rPr>
          <w:rFonts w:cs="Tahoma"/>
          <w:color w:val="000000"/>
          <w:szCs w:val="18"/>
        </w:rPr>
        <w:t>Os clientes cuja cobertura do Software Assurance em Licenças Qualificadas que expiram em julho de 2012 poderão</w:t>
      </w:r>
      <w:r w:rsidRPr="00DF6C52">
        <w:rPr>
          <w:rFonts w:eastAsia="Calibri" w:cs="Tahoma"/>
          <w:szCs w:val="18"/>
        </w:rPr>
        <w:t>, até 31 de dezembro de 2012, adquirir o Software Assurance nas licenças concedidas sob esta</w:t>
      </w:r>
      <w:r w:rsidR="00DF6C52">
        <w:rPr>
          <w:rFonts w:eastAsia="Calibri" w:cs="Tahoma"/>
          <w:szCs w:val="18"/>
        </w:rPr>
        <w:t> </w:t>
      </w:r>
      <w:r w:rsidRPr="00DF6C52">
        <w:rPr>
          <w:rFonts w:eastAsia="Calibri" w:cs="Tahoma"/>
          <w:szCs w:val="18"/>
        </w:rPr>
        <w:t>oferta.</w:t>
      </w:r>
    </w:p>
    <w:p w:rsidR="00C066B5" w:rsidRPr="00DF6C52" w:rsidRDefault="00C066B5" w:rsidP="00C066B5">
      <w:pPr>
        <w:spacing w:line="276" w:lineRule="auto"/>
        <w:ind w:left="720"/>
        <w:rPr>
          <w:rFonts w:cs="Tahoma"/>
          <w:szCs w:val="18"/>
        </w:rPr>
      </w:pPr>
    </w:p>
    <w:p w:rsidR="00C066B5" w:rsidRPr="00DF6C52" w:rsidRDefault="00C066B5" w:rsidP="00C066B5">
      <w:pPr>
        <w:pStyle w:val="ListParagraph"/>
        <w:contextualSpacing w:val="0"/>
        <w:rPr>
          <w:rFonts w:ascii="Tahoma" w:hAnsi="Tahoma" w:cs="Tahoma"/>
          <w:sz w:val="18"/>
          <w:szCs w:val="18"/>
        </w:rPr>
      </w:pPr>
      <w:r w:rsidRPr="00DF6C52">
        <w:rPr>
          <w:rFonts w:ascii="Tahoma" w:eastAsia="Calibri"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C066B5" w:rsidRPr="00DF6C52" w:rsidRDefault="00C066B5" w:rsidP="00C066B5">
      <w:pPr>
        <w:pStyle w:val="ListParagraph"/>
        <w:contextualSpacing w:val="0"/>
        <w:rPr>
          <w:rFonts w:ascii="Tahoma" w:hAnsi="Tahoma" w:cs="Tahoma"/>
          <w:sz w:val="18"/>
          <w:szCs w:val="18"/>
        </w:rPr>
      </w:pPr>
    </w:p>
    <w:p w:rsidR="00C066B5" w:rsidRPr="00DF6C52" w:rsidRDefault="00C066B5" w:rsidP="00C066B5">
      <w:pPr>
        <w:pStyle w:val="ListParagraph"/>
        <w:contextualSpacing w:val="0"/>
        <w:rPr>
          <w:rFonts w:ascii="Tahoma" w:hAnsi="Tahoma" w:cs="Tahoma"/>
          <w:sz w:val="18"/>
          <w:szCs w:val="18"/>
        </w:rPr>
      </w:pPr>
      <w:r w:rsidRPr="00DF6C52">
        <w:rPr>
          <w:rFonts w:ascii="Tahoma" w:eastAsia="Calibri" w:hAnsi="Tahoma" w:cs="Tahoma"/>
          <w:sz w:val="18"/>
          <w:szCs w:val="18"/>
        </w:rPr>
        <w:t>Para cada Licença Qualificada adquirida sob Open Value Subscription, um cliente pode comprar uma licença do Complemento do SBS 2011 Premium, conforme cotado ou:</w:t>
      </w:r>
    </w:p>
    <w:p w:rsidR="00C066B5" w:rsidRPr="00DF6C52" w:rsidRDefault="00C066B5" w:rsidP="00C066B5">
      <w:pPr>
        <w:pStyle w:val="ListParagraph"/>
        <w:contextualSpacing w:val="0"/>
        <w:rPr>
          <w:rFonts w:ascii="Tahoma" w:hAnsi="Tahoma" w:cs="Tahoma"/>
          <w:sz w:val="18"/>
          <w:szCs w:val="18"/>
        </w:rPr>
      </w:pPr>
    </w:p>
    <w:p w:rsidR="00C066B5" w:rsidRPr="00DF6C52" w:rsidRDefault="00C066B5" w:rsidP="00A1385C">
      <w:pPr>
        <w:pStyle w:val="ListParagraph"/>
        <w:numPr>
          <w:ilvl w:val="1"/>
          <w:numId w:val="95"/>
        </w:numPr>
        <w:tabs>
          <w:tab w:val="clear" w:pos="1440"/>
        </w:tabs>
        <w:spacing w:after="60"/>
        <w:contextualSpacing w:val="0"/>
        <w:rPr>
          <w:rFonts w:ascii="Tahoma" w:hAnsi="Tahoma" w:cs="Tahoma"/>
          <w:sz w:val="18"/>
          <w:szCs w:val="18"/>
        </w:rPr>
      </w:pPr>
      <w:r w:rsidRPr="00DF6C52">
        <w:rPr>
          <w:rFonts w:ascii="Tahoma" w:eastAsia="Calibri" w:hAnsi="Tahoma" w:cs="Tahoma"/>
          <w:sz w:val="18"/>
          <w:szCs w:val="18"/>
        </w:rPr>
        <w:t>Uma licença para cada Windows Server 2012 Standard e SQL Server 2012 Standard (licenciada sob o modelo de licenciamento Servidor-CAL) para contratos que expiram em ou depois de 1</w:t>
      </w:r>
      <w:r w:rsidRPr="00DF6C52">
        <w:rPr>
          <w:rFonts w:ascii="Tahoma" w:eastAsia="Calibri" w:hAnsi="Tahoma" w:cs="Tahoma"/>
          <w:sz w:val="18"/>
          <w:szCs w:val="18"/>
          <w:vertAlign w:val="superscript"/>
        </w:rPr>
        <w:t>º</w:t>
      </w:r>
      <w:r w:rsidRPr="00DF6C52">
        <w:rPr>
          <w:rFonts w:ascii="Tahoma" w:eastAsia="Calibri" w:hAnsi="Tahoma" w:cs="Tahoma"/>
          <w:sz w:val="18"/>
          <w:szCs w:val="18"/>
        </w:rPr>
        <w:t xml:space="preserve"> de agosto de 2012 ou</w:t>
      </w:r>
    </w:p>
    <w:p w:rsidR="00C066B5" w:rsidRPr="00DF6C52" w:rsidRDefault="00C066B5" w:rsidP="00A1385C">
      <w:pPr>
        <w:pStyle w:val="ListParagraph"/>
        <w:numPr>
          <w:ilvl w:val="1"/>
          <w:numId w:val="95"/>
        </w:numPr>
        <w:tabs>
          <w:tab w:val="clear" w:pos="1440"/>
        </w:tabs>
        <w:spacing w:after="60"/>
        <w:contextualSpacing w:val="0"/>
        <w:rPr>
          <w:rFonts w:ascii="Tahoma" w:hAnsi="Tahoma" w:cs="Tahoma"/>
          <w:sz w:val="18"/>
          <w:szCs w:val="18"/>
        </w:rPr>
      </w:pPr>
      <w:r w:rsidRPr="00DF6C52">
        <w:rPr>
          <w:rFonts w:ascii="Tahoma" w:eastAsia="Calibri" w:hAnsi="Tahoma" w:cs="Tahoma"/>
          <w:sz w:val="18"/>
          <w:szCs w:val="18"/>
        </w:rPr>
        <w:t>Uma licença para cada Windows Server 2008 R2 Standard e SQL Server 2012 Standard (licenciada sob o modelo de licenciamento Servidor-CAL) para contratos que expiram em julho de 2012.</w:t>
      </w:r>
    </w:p>
    <w:p w:rsidR="00C066B5" w:rsidRPr="00DF6C52" w:rsidRDefault="00C066B5" w:rsidP="00C066B5">
      <w:pPr>
        <w:spacing w:line="276" w:lineRule="auto"/>
        <w:ind w:left="720"/>
        <w:rPr>
          <w:rFonts w:cs="Tahoma"/>
          <w:szCs w:val="18"/>
        </w:rPr>
      </w:pPr>
    </w:p>
    <w:p w:rsidR="00C066B5" w:rsidRPr="00DF6C52" w:rsidRDefault="00C066B5" w:rsidP="00C066B5">
      <w:pPr>
        <w:spacing w:line="276" w:lineRule="auto"/>
        <w:ind w:left="720"/>
        <w:rPr>
          <w:rFonts w:cs="Tahoma"/>
          <w:szCs w:val="18"/>
        </w:rPr>
      </w:pPr>
      <w:r w:rsidRPr="00DF6C52">
        <w:rPr>
          <w:rFonts w:eastAsia="Calibri" w:cs="Tahoma"/>
          <w:szCs w:val="18"/>
        </w:rPr>
        <w:t>Na atualização para o Windows Server Standard e SQL Server 2012 Standard sob essa concessão, as Licenças Qualificadas do Complemento do SBS Premium existentes do cliente não serão mais válidas.</w:t>
      </w:r>
    </w:p>
    <w:p w:rsidR="00C066B5" w:rsidRPr="00DF6C52" w:rsidRDefault="00C066B5" w:rsidP="00C066B5">
      <w:pPr>
        <w:spacing w:line="276" w:lineRule="auto"/>
        <w:ind w:left="720"/>
        <w:rPr>
          <w:rFonts w:cs="Tahoma"/>
          <w:szCs w:val="18"/>
        </w:rPr>
      </w:pPr>
    </w:p>
    <w:p w:rsidR="00C066B5" w:rsidRPr="00DF6C52" w:rsidRDefault="00C066B5" w:rsidP="00C066B5">
      <w:pPr>
        <w:spacing w:line="276" w:lineRule="auto"/>
        <w:ind w:left="720"/>
        <w:rPr>
          <w:rFonts w:cs="Tahoma"/>
          <w:szCs w:val="18"/>
        </w:rPr>
      </w:pPr>
      <w:r w:rsidRPr="00DF6C52">
        <w:rPr>
          <w:rFonts w:eastAsia="Calibri" w:cs="Tahoma"/>
          <w:szCs w:val="18"/>
        </w:rPr>
        <w:t>As licenças do Complemento do SBS 2011 Premium adquiridas posteriormente no mesmo prazo de registro, como parte de um processo de adequação (“true-up”) programado do cliente Open Value Subscription ou Enrollment for Education Solutions também são Licenças Qualificadas para os propósitos da concessão supracitada.</w:t>
      </w:r>
    </w:p>
    <w:p w:rsidR="00C066B5" w:rsidRPr="00DF6C52" w:rsidRDefault="00C066B5" w:rsidP="000F0F4D">
      <w:pPr>
        <w:ind w:left="900"/>
        <w:rPr>
          <w:rFonts w:cs="Tahoma"/>
          <w:szCs w:val="18"/>
        </w:rPr>
      </w:pPr>
    </w:p>
    <w:p w:rsidR="00C066B5" w:rsidRPr="004B208C" w:rsidRDefault="00C066B5" w:rsidP="000F0F4D">
      <w:pPr>
        <w:ind w:left="900"/>
        <w:rPr>
          <w:rFonts w:cs="Tahoma"/>
        </w:rPr>
      </w:pPr>
    </w:p>
    <w:p w:rsidR="00E06578" w:rsidRPr="004B208C" w:rsidRDefault="00A560B6" w:rsidP="00DF6C52">
      <w:pPr>
        <w:pStyle w:val="Heading2"/>
        <w:ind w:left="331" w:hanging="331"/>
        <w:rPr>
          <w:rFonts w:ascii="Tahoma" w:hAnsi="Tahoma" w:cs="Tahoma"/>
        </w:rPr>
      </w:pPr>
      <w:bookmarkStart w:id="1639" w:name="_124_Windows_Small"/>
      <w:bookmarkStart w:id="1640" w:name="_112_Windows_Small"/>
      <w:bookmarkStart w:id="1641" w:name="_117_Windows_Small"/>
      <w:bookmarkStart w:id="1642" w:name="_117_Pacote_de"/>
      <w:bookmarkStart w:id="1643" w:name="_Toc336338380"/>
      <w:bookmarkStart w:id="1644" w:name="_Toc370981491"/>
      <w:bookmarkEnd w:id="1639"/>
      <w:bookmarkEnd w:id="1640"/>
      <w:bookmarkEnd w:id="1641"/>
      <w:bookmarkEnd w:id="1642"/>
      <w:r w:rsidRPr="004B208C">
        <w:rPr>
          <w:rFonts w:ascii="Tahoma" w:hAnsi="Tahoma" w:cs="Tahoma"/>
          <w:caps/>
          <w:color w:val="EE6000"/>
          <w:sz w:val="22"/>
          <w:szCs w:val="18"/>
          <w:vertAlign w:val="superscript"/>
        </w:rPr>
        <w:t>117</w:t>
      </w:r>
      <w:r w:rsidRPr="004B208C">
        <w:rPr>
          <w:rFonts w:ascii="Tahoma" w:hAnsi="Tahoma" w:cs="Tahoma"/>
          <w:color w:val="EE6000"/>
          <w:sz w:val="22"/>
          <w:szCs w:val="18"/>
        </w:rPr>
        <w:t xml:space="preserve"> </w:t>
      </w:r>
      <w:r w:rsidRPr="004B208C">
        <w:rPr>
          <w:rFonts w:ascii="Tahoma" w:hAnsi="Tahoma" w:cs="Tahoma"/>
          <w:color w:val="F8701C"/>
          <w:sz w:val="22"/>
          <w:szCs w:val="22"/>
        </w:rPr>
        <w:t>Pacote de CALs de Complemento do Windows Small Business Server (SBS) 2011 Premium</w:t>
      </w:r>
      <w:bookmarkEnd w:id="1643"/>
      <w:bookmarkEnd w:id="1644"/>
    </w:p>
    <w:p w:rsidR="00E06578" w:rsidRPr="004B208C" w:rsidRDefault="00E06578" w:rsidP="00910113">
      <w:pPr>
        <w:ind w:left="720"/>
        <w:rPr>
          <w:rFonts w:cs="Tahoma"/>
        </w:rPr>
      </w:pPr>
    </w:p>
    <w:p w:rsidR="00910113" w:rsidRPr="004B208C" w:rsidRDefault="00836655" w:rsidP="00910113">
      <w:pPr>
        <w:spacing w:after="60"/>
        <w:ind w:left="720"/>
        <w:rPr>
          <w:rFonts w:cs="Tahoma"/>
        </w:rPr>
      </w:pPr>
      <w:r w:rsidRPr="004B208C">
        <w:rPr>
          <w:rFonts w:cs="Tahoma"/>
          <w:b/>
          <w:color w:val="000000"/>
        </w:rPr>
        <w:t>Outorgas de licença associadas ao término da validade do Pacote de CALs do Complemento do</w:t>
      </w:r>
      <w:r w:rsidR="00DF6C52">
        <w:rPr>
          <w:rFonts w:cs="Tahoma"/>
          <w:b/>
          <w:color w:val="000000"/>
        </w:rPr>
        <w:t> </w:t>
      </w:r>
      <w:r w:rsidRPr="004B208C">
        <w:rPr>
          <w:rFonts w:cs="Tahoma"/>
          <w:b/>
          <w:color w:val="000000"/>
        </w:rPr>
        <w:t>SBS 2011 Premium</w:t>
      </w:r>
    </w:p>
    <w:p w:rsidR="002512D3" w:rsidRPr="004B208C" w:rsidRDefault="00836655" w:rsidP="00003601">
      <w:pPr>
        <w:ind w:left="720"/>
        <w:rPr>
          <w:rFonts w:cs="Tahoma"/>
        </w:rPr>
      </w:pPr>
      <w:r w:rsidRPr="004B208C">
        <w:rPr>
          <w:rFonts w:cs="Tahoma"/>
        </w:rPr>
        <w:t>Os clientes com cobertura do Software Assurance ativa para o Pacote de CALs do Complemento do SBS 2011 Premium (“CALs Qualificadas”) estão qualificados para acessar os softwares Windows Server Standard e SQL Server 2012 Standard.</w:t>
      </w:r>
      <w:r w:rsidR="00172F11">
        <w:rPr>
          <w:rFonts w:cs="Tahoma"/>
        </w:rPr>
        <w:t xml:space="preserve"> </w:t>
      </w:r>
      <w:r w:rsidRPr="004B208C">
        <w:rPr>
          <w:rFonts w:cs="Tahoma"/>
        </w:rPr>
        <w:t>A partir de 1</w:t>
      </w:r>
      <w:r w:rsidRPr="004B208C">
        <w:rPr>
          <w:rFonts w:cs="Tahoma"/>
          <w:vertAlign w:val="superscript"/>
        </w:rPr>
        <w:t>º</w:t>
      </w:r>
      <w:r w:rsidRPr="004B208C">
        <w:rPr>
          <w:rFonts w:cs="Tahoma"/>
        </w:rPr>
        <w:t xml:space="preserve"> de agosto de 2012, para cada Pacote de CALs qualificadas do Complemento do SBS 2011 Premium que o cliente possuir, o cliente será considerado possuidor de uma CAL</w:t>
      </w:r>
      <w:r w:rsidR="00DF6C52">
        <w:rPr>
          <w:rFonts w:cs="Tahoma"/>
        </w:rPr>
        <w:t> </w:t>
      </w:r>
      <w:r w:rsidRPr="004B208C">
        <w:rPr>
          <w:rFonts w:cs="Tahoma"/>
        </w:rPr>
        <w:t xml:space="preserve">do Windows Server 2012 e uma CAL do SQL Server 2012 com cobertura de Software Assurance. </w:t>
      </w:r>
      <w:r w:rsidRPr="004B208C">
        <w:rPr>
          <w:rFonts w:eastAsia="Calibri" w:cs="Tahoma"/>
          <w:szCs w:val="18"/>
        </w:rPr>
        <w:t>Para</w:t>
      </w:r>
      <w:r w:rsidR="00DF6C52">
        <w:rPr>
          <w:rFonts w:eastAsia="Calibri" w:cs="Tahoma"/>
          <w:szCs w:val="18"/>
        </w:rPr>
        <w:t> </w:t>
      </w:r>
      <w:r w:rsidRPr="004B208C">
        <w:rPr>
          <w:rFonts w:eastAsia="Calibri" w:cs="Tahoma"/>
          <w:szCs w:val="18"/>
        </w:rPr>
        <w:t>facilitar tal uso, para cada Licença Qualificada que o cliente possui, ele receberá uma CAL para cada Windows Server e SQL Server 2012 (licenciada sob o modelo de Servidor/CAL), como pode ser visto na</w:t>
      </w:r>
      <w:r w:rsidR="00DF6C52">
        <w:rPr>
          <w:rFonts w:eastAsia="Calibri" w:cs="Tahoma"/>
          <w:szCs w:val="18"/>
        </w:rPr>
        <w:t> </w:t>
      </w:r>
      <w:r w:rsidRPr="004B208C">
        <w:rPr>
          <w:rFonts w:eastAsia="Calibri" w:cs="Tahoma"/>
          <w:szCs w:val="18"/>
        </w:rPr>
        <w:t xml:space="preserve">tabela a seguir. </w:t>
      </w:r>
    </w:p>
    <w:p w:rsidR="00836655" w:rsidRPr="004B208C" w:rsidRDefault="00836655" w:rsidP="00910113">
      <w:pPr>
        <w:ind w:left="720"/>
        <w:rPr>
          <w:rFonts w:cs="Tahoma"/>
        </w:rPr>
      </w:pPr>
    </w:p>
    <w:p w:rsidR="00910113" w:rsidRPr="004B208C" w:rsidRDefault="00910113" w:rsidP="00910113">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40"/>
        <w:gridCol w:w="4608"/>
      </w:tblGrid>
      <w:tr w:rsidR="00836655" w:rsidRPr="004B208C" w:rsidTr="00DF6C52">
        <w:tc>
          <w:tcPr>
            <w:tcW w:w="414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B208C" w:rsidRDefault="00836655" w:rsidP="000A5032">
            <w:pPr>
              <w:spacing w:after="200" w:line="276" w:lineRule="auto"/>
              <w:rPr>
                <w:rFonts w:eastAsia="Calibri" w:cs="Tahoma"/>
                <w:szCs w:val="18"/>
              </w:rPr>
            </w:pPr>
            <w:r w:rsidRPr="004B208C">
              <w:rPr>
                <w:rFonts w:cs="Tahoma"/>
                <w:b/>
                <w:color w:val="000000"/>
              </w:rPr>
              <w:t>Licenças Qualificadas</w:t>
            </w:r>
          </w:p>
        </w:tc>
        <w:tc>
          <w:tcPr>
            <w:tcW w:w="460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4B208C" w:rsidRDefault="00836655" w:rsidP="000A5032">
            <w:pPr>
              <w:spacing w:after="200" w:line="276" w:lineRule="auto"/>
              <w:rPr>
                <w:rFonts w:eastAsia="Calibri" w:cs="Tahoma"/>
                <w:szCs w:val="18"/>
              </w:rPr>
            </w:pPr>
            <w:r w:rsidRPr="004B208C">
              <w:rPr>
                <w:rFonts w:cs="Tahoma"/>
                <w:b/>
                <w:color w:val="000000"/>
              </w:rPr>
              <w:t>Outorga de Licença</w:t>
            </w:r>
          </w:p>
        </w:tc>
      </w:tr>
      <w:tr w:rsidR="00836655" w:rsidRPr="004B208C" w:rsidTr="00DF6C52">
        <w:tc>
          <w:tcPr>
            <w:tcW w:w="414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B208C" w:rsidRDefault="00836655" w:rsidP="00CA14C9">
            <w:pPr>
              <w:spacing w:line="276" w:lineRule="auto"/>
              <w:rPr>
                <w:rFonts w:eastAsia="Calibri" w:cs="Tahoma"/>
                <w:szCs w:val="18"/>
              </w:rPr>
            </w:pPr>
            <w:r w:rsidRPr="004B208C">
              <w:rPr>
                <w:rFonts w:eastAsia="Calibri" w:cs="Tahoma"/>
                <w:szCs w:val="18"/>
              </w:rPr>
              <w:t>Pacote de CALs do Complemento do SBS 2011 Premium com cobertura do Software Assurance até 31 de julho de 2012</w:t>
            </w:r>
          </w:p>
        </w:tc>
        <w:tc>
          <w:tcPr>
            <w:tcW w:w="460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B208C" w:rsidRDefault="00836655" w:rsidP="00CA14C9">
            <w:pPr>
              <w:spacing w:line="276" w:lineRule="auto"/>
              <w:rPr>
                <w:rFonts w:cs="Tahoma"/>
              </w:rPr>
            </w:pPr>
            <w:r w:rsidRPr="004B208C">
              <w:rPr>
                <w:rFonts w:eastAsia="Calibri" w:cs="Tahoma"/>
                <w:szCs w:val="18"/>
              </w:rPr>
              <w:t>CAL do Windows Server 2008 R2</w:t>
            </w:r>
          </w:p>
          <w:p w:rsidR="00836655" w:rsidRPr="004B208C" w:rsidRDefault="00836655" w:rsidP="00CA14C9">
            <w:pPr>
              <w:spacing w:line="276" w:lineRule="auto"/>
              <w:rPr>
                <w:rFonts w:eastAsia="Calibri" w:cs="Tahoma"/>
                <w:szCs w:val="18"/>
              </w:rPr>
            </w:pPr>
            <w:r w:rsidRPr="004B208C">
              <w:rPr>
                <w:rFonts w:eastAsia="Calibri" w:cs="Tahoma"/>
                <w:szCs w:val="18"/>
              </w:rPr>
              <w:t>CAL do SQL Server 2012</w:t>
            </w:r>
          </w:p>
        </w:tc>
      </w:tr>
      <w:tr w:rsidR="00836655" w:rsidRPr="004B208C" w:rsidTr="00DF6C52">
        <w:tc>
          <w:tcPr>
            <w:tcW w:w="4140" w:type="dxa"/>
            <w:tcBorders>
              <w:top w:val="single" w:sz="4" w:space="0" w:color="auto"/>
              <w:left w:val="single" w:sz="4" w:space="0" w:color="auto"/>
              <w:bottom w:val="single" w:sz="4" w:space="0" w:color="auto"/>
              <w:right w:val="single" w:sz="4" w:space="0" w:color="auto"/>
            </w:tcBorders>
            <w:shd w:val="clear" w:color="auto" w:fill="auto"/>
            <w:hideMark/>
          </w:tcPr>
          <w:p w:rsidR="00836655" w:rsidRPr="004B208C" w:rsidRDefault="00836655" w:rsidP="00CA14C9">
            <w:pPr>
              <w:spacing w:line="276" w:lineRule="auto"/>
              <w:rPr>
                <w:rFonts w:eastAsia="Calibri" w:cs="Tahoma"/>
                <w:szCs w:val="18"/>
              </w:rPr>
            </w:pPr>
            <w:r w:rsidRPr="004B208C">
              <w:rPr>
                <w:rFonts w:eastAsia="Calibri" w:cs="Tahoma"/>
                <w:szCs w:val="18"/>
              </w:rPr>
              <w:t>Pacote de CALs do Complemento do SBS 2011 Premium com cobertura do Software Assurance em ou depois de 1o. de agosto de 2012</w:t>
            </w:r>
          </w:p>
        </w:tc>
        <w:tc>
          <w:tcPr>
            <w:tcW w:w="4608" w:type="dxa"/>
            <w:tcBorders>
              <w:top w:val="single" w:sz="4" w:space="0" w:color="auto"/>
              <w:left w:val="single" w:sz="4" w:space="0" w:color="auto"/>
              <w:bottom w:val="single" w:sz="4" w:space="0" w:color="auto"/>
              <w:right w:val="single" w:sz="4" w:space="0" w:color="auto"/>
            </w:tcBorders>
            <w:shd w:val="clear" w:color="auto" w:fill="auto"/>
            <w:hideMark/>
          </w:tcPr>
          <w:p w:rsidR="00836655" w:rsidRPr="004B208C" w:rsidRDefault="00836655" w:rsidP="00CA14C9">
            <w:pPr>
              <w:spacing w:line="276" w:lineRule="auto"/>
              <w:rPr>
                <w:rFonts w:cs="Tahoma"/>
              </w:rPr>
            </w:pPr>
            <w:r w:rsidRPr="004B208C">
              <w:rPr>
                <w:rFonts w:eastAsia="Calibri" w:cs="Tahoma"/>
                <w:szCs w:val="18"/>
              </w:rPr>
              <w:t>CAL do Windows Server 2012 com Software Assurance</w:t>
            </w:r>
          </w:p>
          <w:p w:rsidR="00836655" w:rsidRPr="004B208C" w:rsidRDefault="00836655" w:rsidP="00CA14C9">
            <w:pPr>
              <w:spacing w:line="276" w:lineRule="auto"/>
              <w:rPr>
                <w:rFonts w:eastAsia="Calibri" w:cs="Tahoma"/>
                <w:szCs w:val="18"/>
              </w:rPr>
            </w:pPr>
            <w:r w:rsidRPr="004B208C">
              <w:rPr>
                <w:rFonts w:eastAsia="Calibri" w:cs="Tahoma"/>
                <w:szCs w:val="18"/>
              </w:rPr>
              <w:t>CAL do SQL Server 2012 com Software Assurance</w:t>
            </w:r>
          </w:p>
        </w:tc>
      </w:tr>
    </w:tbl>
    <w:p w:rsidR="00836655" w:rsidRPr="004B208C" w:rsidRDefault="00836655" w:rsidP="00910113">
      <w:pPr>
        <w:rPr>
          <w:rFonts w:cs="Tahoma"/>
        </w:rPr>
      </w:pPr>
    </w:p>
    <w:p w:rsidR="00836655" w:rsidRPr="00DF6C52" w:rsidRDefault="00836655" w:rsidP="00910113">
      <w:pPr>
        <w:pStyle w:val="ListParagraph"/>
        <w:contextualSpacing w:val="0"/>
        <w:rPr>
          <w:rFonts w:ascii="Tahoma" w:hAnsi="Tahoma" w:cs="Tahoma"/>
          <w:sz w:val="18"/>
          <w:szCs w:val="18"/>
        </w:rPr>
      </w:pPr>
      <w:r w:rsidRPr="00DF6C52">
        <w:rPr>
          <w:rFonts w:ascii="Tahoma" w:eastAsia="Calibri" w:hAnsi="Tahoma" w:cs="Tahoma"/>
          <w:sz w:val="18"/>
          <w:szCs w:val="18"/>
        </w:rPr>
        <w:lastRenderedPageBreak/>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w:t>
      </w:r>
      <w:r w:rsidR="00172F11" w:rsidRPr="00DF6C52">
        <w:rPr>
          <w:rFonts w:ascii="Tahoma" w:eastAsia="Calibri" w:hAnsi="Tahoma" w:cs="Tahoma"/>
          <w:sz w:val="18"/>
          <w:szCs w:val="18"/>
        </w:rPr>
        <w:t xml:space="preserve"> </w:t>
      </w:r>
      <w:r w:rsidRPr="00DF6C52">
        <w:rPr>
          <w:rFonts w:ascii="Tahoma" w:eastAsia="Calibri" w:hAnsi="Tahoma" w:cs="Tahoma"/>
          <w:sz w:val="18"/>
          <w:szCs w:val="18"/>
        </w:rPr>
        <w:t>Os clientes com Software Assurance em CALs Qualificadas que expiram em julho de 2012 poderão, até 31 de dezembro de 2012, adquirir o Software Assurance nas CALs concedidas sob esta oferta.</w:t>
      </w:r>
    </w:p>
    <w:p w:rsidR="00910113" w:rsidRPr="00DF6C52" w:rsidRDefault="00910113" w:rsidP="00910113">
      <w:pPr>
        <w:pStyle w:val="ListParagraph"/>
        <w:contextualSpacing w:val="0"/>
        <w:rPr>
          <w:rFonts w:ascii="Tahoma" w:hAnsi="Tahoma" w:cs="Tahoma"/>
          <w:sz w:val="18"/>
          <w:szCs w:val="18"/>
        </w:rPr>
      </w:pPr>
    </w:p>
    <w:p w:rsidR="00836655" w:rsidRPr="00DF6C52" w:rsidRDefault="00836655" w:rsidP="00910113">
      <w:pPr>
        <w:pStyle w:val="ListParagraph"/>
        <w:contextualSpacing w:val="0"/>
        <w:rPr>
          <w:rFonts w:ascii="Tahoma" w:hAnsi="Tahoma" w:cs="Tahoma"/>
          <w:sz w:val="18"/>
          <w:szCs w:val="18"/>
        </w:rPr>
      </w:pPr>
      <w:r w:rsidRPr="00DF6C52">
        <w:rPr>
          <w:rFonts w:ascii="Tahoma" w:eastAsia="Calibri" w:hAnsi="Tahoma" w:cs="Tahoma"/>
          <w:sz w:val="18"/>
          <w:szCs w:val="18"/>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910113" w:rsidRPr="00DF6C52" w:rsidRDefault="00910113" w:rsidP="00910113">
      <w:pPr>
        <w:pStyle w:val="ListParagraph"/>
        <w:contextualSpacing w:val="0"/>
        <w:rPr>
          <w:rFonts w:ascii="Tahoma" w:hAnsi="Tahoma" w:cs="Tahoma"/>
          <w:sz w:val="18"/>
          <w:szCs w:val="18"/>
        </w:rPr>
      </w:pPr>
    </w:p>
    <w:p w:rsidR="00836655" w:rsidRPr="00DF6C52" w:rsidRDefault="00836655" w:rsidP="00910113">
      <w:pPr>
        <w:pStyle w:val="ListParagraph"/>
        <w:contextualSpacing w:val="0"/>
        <w:rPr>
          <w:rFonts w:ascii="Tahoma" w:hAnsi="Tahoma" w:cs="Tahoma"/>
          <w:sz w:val="18"/>
          <w:szCs w:val="18"/>
        </w:rPr>
      </w:pPr>
      <w:r w:rsidRPr="00DF6C52">
        <w:rPr>
          <w:rFonts w:ascii="Tahoma" w:eastAsia="Calibri" w:hAnsi="Tahoma" w:cs="Tahoma"/>
          <w:sz w:val="18"/>
          <w:szCs w:val="18"/>
        </w:rPr>
        <w:t>Para cada CAL Qualificada adquirida sob Open Value Subscription, um cliente pode comprar um Pacote de</w:t>
      </w:r>
      <w:r w:rsidR="00DF6C52">
        <w:rPr>
          <w:rFonts w:ascii="Tahoma" w:eastAsia="Calibri" w:hAnsi="Tahoma" w:cs="Tahoma"/>
          <w:sz w:val="18"/>
          <w:szCs w:val="18"/>
        </w:rPr>
        <w:t> </w:t>
      </w:r>
      <w:r w:rsidRPr="00DF6C52">
        <w:rPr>
          <w:rFonts w:ascii="Tahoma" w:eastAsia="Calibri" w:hAnsi="Tahoma" w:cs="Tahoma"/>
          <w:sz w:val="18"/>
          <w:szCs w:val="18"/>
        </w:rPr>
        <w:t>CALs do Complemento do SBS 2011 Premium, conforme cotado ou:</w:t>
      </w:r>
    </w:p>
    <w:p w:rsidR="00910113" w:rsidRPr="00DF6C52" w:rsidRDefault="00910113" w:rsidP="00910113">
      <w:pPr>
        <w:pStyle w:val="ListParagraph"/>
        <w:contextualSpacing w:val="0"/>
        <w:rPr>
          <w:rFonts w:ascii="Tahoma" w:hAnsi="Tahoma" w:cs="Tahoma"/>
          <w:sz w:val="18"/>
          <w:szCs w:val="18"/>
        </w:rPr>
      </w:pPr>
    </w:p>
    <w:p w:rsidR="00836655" w:rsidRPr="00DF6C52" w:rsidRDefault="00836655" w:rsidP="00A1385C">
      <w:pPr>
        <w:pStyle w:val="ListParagraph"/>
        <w:numPr>
          <w:ilvl w:val="1"/>
          <w:numId w:val="95"/>
        </w:numPr>
        <w:tabs>
          <w:tab w:val="clear" w:pos="1440"/>
        </w:tabs>
        <w:spacing w:after="60"/>
        <w:ind w:hanging="274"/>
        <w:contextualSpacing w:val="0"/>
        <w:rPr>
          <w:rFonts w:ascii="Tahoma" w:hAnsi="Tahoma" w:cs="Tahoma"/>
          <w:sz w:val="18"/>
          <w:szCs w:val="18"/>
        </w:rPr>
      </w:pPr>
      <w:r w:rsidRPr="00DF6C52">
        <w:rPr>
          <w:rFonts w:ascii="Tahoma" w:eastAsia="Calibri" w:hAnsi="Tahoma" w:cs="Tahoma"/>
          <w:sz w:val="18"/>
          <w:szCs w:val="18"/>
        </w:rPr>
        <w:t>Uma CAL para cada Windows Server 2012 e SQL Server 2012 para contratos que expiram em ou</w:t>
      </w:r>
      <w:r w:rsidR="00DF6C52">
        <w:rPr>
          <w:rFonts w:ascii="Tahoma" w:eastAsia="Calibri" w:hAnsi="Tahoma" w:cs="Tahoma"/>
          <w:sz w:val="18"/>
          <w:szCs w:val="18"/>
        </w:rPr>
        <w:t> </w:t>
      </w:r>
      <w:r w:rsidRPr="00DF6C52">
        <w:rPr>
          <w:rFonts w:ascii="Tahoma" w:eastAsia="Calibri" w:hAnsi="Tahoma" w:cs="Tahoma"/>
          <w:sz w:val="18"/>
          <w:szCs w:val="18"/>
        </w:rPr>
        <w:t>depois de 1</w:t>
      </w:r>
      <w:r w:rsidRPr="00DF6C52">
        <w:rPr>
          <w:rFonts w:ascii="Tahoma" w:eastAsia="Calibri" w:hAnsi="Tahoma" w:cs="Tahoma"/>
          <w:sz w:val="18"/>
          <w:szCs w:val="18"/>
          <w:vertAlign w:val="superscript"/>
        </w:rPr>
        <w:t>º</w:t>
      </w:r>
      <w:r w:rsidRPr="00DF6C52">
        <w:rPr>
          <w:rFonts w:ascii="Tahoma" w:eastAsia="Calibri" w:hAnsi="Tahoma" w:cs="Tahoma"/>
          <w:sz w:val="18"/>
          <w:szCs w:val="18"/>
        </w:rPr>
        <w:t xml:space="preserve"> de agosto de 2012 ou</w:t>
      </w:r>
    </w:p>
    <w:p w:rsidR="00836655" w:rsidRPr="00DF6C52" w:rsidRDefault="00836655" w:rsidP="00A1385C">
      <w:pPr>
        <w:pStyle w:val="ListParagraph"/>
        <w:numPr>
          <w:ilvl w:val="1"/>
          <w:numId w:val="95"/>
        </w:numPr>
        <w:tabs>
          <w:tab w:val="clear" w:pos="1440"/>
        </w:tabs>
        <w:spacing w:after="60"/>
        <w:ind w:hanging="274"/>
        <w:contextualSpacing w:val="0"/>
        <w:rPr>
          <w:rFonts w:ascii="Tahoma" w:hAnsi="Tahoma" w:cs="Tahoma"/>
          <w:sz w:val="18"/>
          <w:szCs w:val="18"/>
        </w:rPr>
      </w:pPr>
      <w:r w:rsidRPr="00DF6C52">
        <w:rPr>
          <w:rFonts w:ascii="Tahoma" w:eastAsia="Calibri" w:hAnsi="Tahoma" w:cs="Tahoma"/>
          <w:sz w:val="18"/>
          <w:szCs w:val="18"/>
        </w:rPr>
        <w:t>Uma CAL para cada Windows Server 2008 e SQL Server 2012 para contratos que expiram em julho</w:t>
      </w:r>
      <w:r w:rsidR="00DF6C52">
        <w:rPr>
          <w:rFonts w:ascii="Tahoma" w:eastAsia="Calibri" w:hAnsi="Tahoma" w:cs="Tahoma"/>
          <w:sz w:val="18"/>
          <w:szCs w:val="18"/>
        </w:rPr>
        <w:t> </w:t>
      </w:r>
      <w:r w:rsidRPr="00DF6C52">
        <w:rPr>
          <w:rFonts w:ascii="Tahoma" w:eastAsia="Calibri" w:hAnsi="Tahoma" w:cs="Tahoma"/>
          <w:sz w:val="18"/>
          <w:szCs w:val="18"/>
        </w:rPr>
        <w:t>de 2012.</w:t>
      </w:r>
    </w:p>
    <w:p w:rsidR="00910113" w:rsidRPr="00DF6C52" w:rsidRDefault="00910113" w:rsidP="00910113">
      <w:pPr>
        <w:pStyle w:val="ListParagraph"/>
        <w:ind w:left="1800"/>
        <w:contextualSpacing w:val="0"/>
        <w:rPr>
          <w:rFonts w:ascii="Tahoma" w:hAnsi="Tahoma" w:cs="Tahoma"/>
          <w:sz w:val="18"/>
          <w:szCs w:val="18"/>
        </w:rPr>
      </w:pPr>
    </w:p>
    <w:p w:rsidR="00836655" w:rsidRPr="004B208C" w:rsidRDefault="00836655" w:rsidP="00910113">
      <w:pPr>
        <w:ind w:left="720"/>
        <w:rPr>
          <w:rFonts w:cs="Tahoma"/>
        </w:rPr>
      </w:pPr>
      <w:r w:rsidRPr="004B208C">
        <w:rPr>
          <w:rFonts w:eastAsia="Calibri" w:cs="Tahoma"/>
          <w:szCs w:val="18"/>
        </w:rPr>
        <w:t>No uso das CALs do Windows Server 2012 e CALs do SQL Server 2012 sob essa concessão, os Pacotes de</w:t>
      </w:r>
      <w:r w:rsidR="00DF6C52">
        <w:rPr>
          <w:rFonts w:eastAsia="Calibri" w:cs="Tahoma"/>
          <w:szCs w:val="18"/>
        </w:rPr>
        <w:t> </w:t>
      </w:r>
      <w:r w:rsidRPr="004B208C">
        <w:rPr>
          <w:rFonts w:eastAsia="Calibri" w:cs="Tahoma"/>
          <w:szCs w:val="18"/>
        </w:rPr>
        <w:t>CALs Qualificadas do Complemento do SBS Premium existentes do cliente não serão mais válidas.</w:t>
      </w:r>
    </w:p>
    <w:p w:rsidR="00910113" w:rsidRPr="004B208C" w:rsidRDefault="00910113" w:rsidP="00910113">
      <w:pPr>
        <w:ind w:left="720"/>
        <w:rPr>
          <w:rFonts w:cs="Tahoma"/>
        </w:rPr>
      </w:pPr>
    </w:p>
    <w:p w:rsidR="00836655" w:rsidRPr="004B208C" w:rsidRDefault="00836655" w:rsidP="00910113">
      <w:pPr>
        <w:ind w:left="720"/>
        <w:rPr>
          <w:rFonts w:cs="Tahoma"/>
        </w:rPr>
      </w:pPr>
      <w:r w:rsidRPr="004B208C">
        <w:rPr>
          <w:rFonts w:cs="Tahoma"/>
          <w:color w:val="000000"/>
        </w:rPr>
        <w:t>Os Pacotes de CALs do Complemento do SBS 2011 Premium</w:t>
      </w:r>
      <w:r w:rsidRPr="004B208C">
        <w:rPr>
          <w:rFonts w:cs="Tahoma"/>
          <w:bCs/>
          <w:color w:val="000000"/>
          <w:szCs w:val="18"/>
        </w:rPr>
        <w:t xml:space="preserve"> adquiridas posteriormente no mesmo prazo de</w:t>
      </w:r>
      <w:r w:rsidR="00DF6C52">
        <w:rPr>
          <w:rFonts w:cs="Tahoma"/>
          <w:bCs/>
          <w:color w:val="000000"/>
          <w:szCs w:val="18"/>
        </w:rPr>
        <w:t> </w:t>
      </w:r>
      <w:r w:rsidRPr="004B208C">
        <w:rPr>
          <w:rFonts w:cs="Tahoma"/>
          <w:bCs/>
          <w:color w:val="000000"/>
          <w:szCs w:val="18"/>
        </w:rPr>
        <w:t>registro, como parte de um processo de adequação (“true-up”) programado do cliente Open Value Subscription ou Enrollment for Education Solutions também são CALs Qualificadas para os propósitos da</w:t>
      </w:r>
      <w:r w:rsidR="00DF6C52">
        <w:rPr>
          <w:rFonts w:cs="Tahoma"/>
          <w:bCs/>
          <w:color w:val="000000"/>
          <w:szCs w:val="18"/>
        </w:rPr>
        <w:t> </w:t>
      </w:r>
      <w:r w:rsidRPr="004B208C">
        <w:rPr>
          <w:rFonts w:cs="Tahoma"/>
          <w:bCs/>
          <w:color w:val="000000"/>
          <w:szCs w:val="18"/>
        </w:rPr>
        <w:t>concessão supracitada.</w:t>
      </w:r>
      <w:r w:rsidRPr="004B208C">
        <w:rPr>
          <w:rFonts w:eastAsia="Calibri" w:cs="Tahoma"/>
          <w:szCs w:val="18"/>
        </w:rPr>
        <w:t xml:space="preserve"> </w:t>
      </w:r>
    </w:p>
    <w:p w:rsidR="00836655" w:rsidRPr="004B208C" w:rsidRDefault="00836655" w:rsidP="00910113">
      <w:pPr>
        <w:rPr>
          <w:rFonts w:cs="Tahoma"/>
        </w:rPr>
      </w:pPr>
    </w:p>
    <w:p w:rsidR="00836655" w:rsidRPr="004B208C" w:rsidRDefault="00836655" w:rsidP="00910113">
      <w:pPr>
        <w:widowControl w:val="0"/>
        <w:jc w:val="both"/>
        <w:rPr>
          <w:rFonts w:cs="Tahoma"/>
        </w:rPr>
      </w:pPr>
      <w:bookmarkStart w:id="1645" w:name="_123_Windows_Azure"/>
      <w:bookmarkEnd w:id="1645"/>
    </w:p>
    <w:p w:rsidR="00836655" w:rsidRPr="004B208C" w:rsidRDefault="00A560B6" w:rsidP="007B35CE">
      <w:pPr>
        <w:pStyle w:val="Heading2"/>
        <w:keepNext/>
        <w:ind w:left="0"/>
        <w:rPr>
          <w:rFonts w:ascii="Tahoma" w:hAnsi="Tahoma" w:cs="Tahoma"/>
        </w:rPr>
      </w:pPr>
      <w:bookmarkStart w:id="1646" w:name="_124_Windows_Small_1"/>
      <w:bookmarkStart w:id="1647" w:name="_114_Windows_Small"/>
      <w:bookmarkStart w:id="1648" w:name="_118_Windows_Small"/>
      <w:bookmarkStart w:id="1649" w:name="_Toc336338381"/>
      <w:bookmarkStart w:id="1650" w:name="_Toc370981492"/>
      <w:bookmarkEnd w:id="1646"/>
      <w:bookmarkEnd w:id="1647"/>
      <w:bookmarkEnd w:id="1648"/>
      <w:r w:rsidRPr="004B208C">
        <w:rPr>
          <w:rFonts w:ascii="Tahoma" w:hAnsi="Tahoma" w:cs="Tahoma"/>
          <w:color w:val="F8701C"/>
          <w:sz w:val="22"/>
          <w:szCs w:val="22"/>
          <w:vertAlign w:val="superscript"/>
        </w:rPr>
        <w:t xml:space="preserve">118 </w:t>
      </w:r>
      <w:r w:rsidRPr="004B208C">
        <w:rPr>
          <w:rFonts w:ascii="Tahoma" w:hAnsi="Tahoma" w:cs="Tahoma"/>
          <w:color w:val="F8701C"/>
          <w:sz w:val="22"/>
          <w:szCs w:val="22"/>
        </w:rPr>
        <w:t>Windows Small Business Server 2011 Essentials</w:t>
      </w:r>
      <w:bookmarkEnd w:id="1649"/>
      <w:bookmarkEnd w:id="1650"/>
    </w:p>
    <w:p w:rsidR="003C1BA8" w:rsidRPr="004B208C" w:rsidRDefault="003C1BA8" w:rsidP="007B35CE">
      <w:pPr>
        <w:keepNext/>
        <w:rPr>
          <w:rFonts w:cs="Tahoma"/>
        </w:rPr>
      </w:pPr>
    </w:p>
    <w:p w:rsidR="00910113" w:rsidRPr="004B208C" w:rsidRDefault="00836655" w:rsidP="00910113">
      <w:pPr>
        <w:spacing w:after="60"/>
        <w:ind w:left="720"/>
        <w:rPr>
          <w:rFonts w:cs="Tahoma"/>
        </w:rPr>
      </w:pPr>
      <w:r w:rsidRPr="004B208C">
        <w:rPr>
          <w:rFonts w:cs="Tahoma"/>
          <w:b/>
          <w:bCs/>
          <w:color w:val="000000"/>
        </w:rPr>
        <w:t>Outorgas de licença associadas ao término da validade do Windows Small Business Server (SBS) 2011 Essentials</w:t>
      </w:r>
      <w:r w:rsidRPr="004B208C">
        <w:rPr>
          <w:rFonts w:cs="Tahoma"/>
          <w:color w:val="000000"/>
        </w:rPr>
        <w:t xml:space="preserve"> </w:t>
      </w:r>
    </w:p>
    <w:p w:rsidR="00836655" w:rsidRPr="004B208C" w:rsidRDefault="00836655" w:rsidP="00910113">
      <w:pPr>
        <w:ind w:left="720"/>
        <w:rPr>
          <w:rFonts w:cs="Tahoma"/>
        </w:rPr>
      </w:pPr>
      <w:r w:rsidRPr="004B208C">
        <w:rPr>
          <w:rFonts w:cs="Tahoma"/>
        </w:rPr>
        <w:t>O Windows SBS 2011 Essentials será a última versão do Windows SBS Essentials. Os clientes de Licenciamento por Volume com Software Assurance ativo para licenças do Windows SBS 2011 Essentials em 1</w:t>
      </w:r>
      <w:r w:rsidRPr="004B208C">
        <w:rPr>
          <w:rFonts w:cs="Tahoma"/>
          <w:vertAlign w:val="superscript"/>
        </w:rPr>
        <w:t>º</w:t>
      </w:r>
      <w:r w:rsidRPr="004B208C">
        <w:rPr>
          <w:rFonts w:cs="Tahoma"/>
        </w:rPr>
        <w:t xml:space="preserve"> de novembro de 2012 ou a partir da data da primeira disponibilização do Windows Server 2012 Essentials para download no Volume Licensing Service Center (Centro de Atendimento de Licenciamento por Volume), o que ocorrer primeiro, (“Licenças Qualificadas”) poderão </w:t>
      </w:r>
      <w:r w:rsidRPr="004B208C">
        <w:rPr>
          <w:rFonts w:cs="Tahoma"/>
          <w:u w:val="single"/>
        </w:rPr>
        <w:t>atualizar para e</w:t>
      </w:r>
      <w:r w:rsidRPr="004B208C">
        <w:rPr>
          <w:rFonts w:cs="Tahoma"/>
        </w:rPr>
        <w:t xml:space="preserve"> usar o software Windows Server 2012 Essentials </w:t>
      </w:r>
      <w:r w:rsidRPr="004B208C">
        <w:rPr>
          <w:rFonts w:cs="Tahoma"/>
          <w:u w:val="single"/>
        </w:rPr>
        <w:t>em vez do SBS Essentials</w:t>
      </w:r>
      <w:r w:rsidRPr="00DF6C52">
        <w:rPr>
          <w:rFonts w:cs="Tahoma"/>
        </w:rPr>
        <w:t xml:space="preserve">. </w:t>
      </w:r>
      <w:r w:rsidRPr="004B208C">
        <w:rPr>
          <w:rFonts w:cs="Tahoma"/>
        </w:rPr>
        <w:t>Para facilitar tal uso, para cada Licença Qualificada que o cliente possui, ele terá uma licença do processador Windows Server 2012 Essentials mediante a disponibilização do Windows Server Essentials.</w:t>
      </w:r>
      <w:r w:rsidR="00172F11">
        <w:rPr>
          <w:rFonts w:cs="Tahoma"/>
        </w:rPr>
        <w:t xml:space="preserve"> </w:t>
      </w:r>
      <w:r w:rsidRPr="004B208C">
        <w:rPr>
          <w:rFonts w:cs="Tahoma"/>
        </w:rPr>
        <w:t>O uso do Windows Server 2012 Essentials será regido sob os termos de licença deste produto nos Direitos de uso do Produto e nos termos e nas condições dos contratos de Licenciamento por Volume dos clientes.</w:t>
      </w:r>
    </w:p>
    <w:p w:rsidR="00836655" w:rsidRPr="004B208C" w:rsidRDefault="00836655" w:rsidP="00910113">
      <w:pPr>
        <w:ind w:left="720"/>
        <w:rPr>
          <w:rFonts w:cs="Tahoma"/>
        </w:rPr>
      </w:pPr>
    </w:p>
    <w:p w:rsidR="00836655" w:rsidRPr="004B208C" w:rsidRDefault="00836655" w:rsidP="00910113">
      <w:pPr>
        <w:ind w:left="720"/>
        <w:rPr>
          <w:rFonts w:cs="Tahoma"/>
        </w:rPr>
      </w:pPr>
      <w:r w:rsidRPr="004B208C">
        <w:rPr>
          <w:rFonts w:cs="Tahoma"/>
        </w:rPr>
        <w:t>Se os clientes adquiriram direitos perpétuos para usar o software sob as Licenças Qualificadas, as licenças adquiridas sob essa concessão serão também perpétuas; caso contrário, as licenças adquiridas sob essa concessão expirarão quando as Licenças Qualificadas subjacentes expirarem.</w:t>
      </w:r>
    </w:p>
    <w:p w:rsidR="00836655" w:rsidRPr="004B208C" w:rsidRDefault="00836655" w:rsidP="00910113">
      <w:pPr>
        <w:ind w:left="720"/>
        <w:rPr>
          <w:rFonts w:cs="Tahoma"/>
        </w:rPr>
      </w:pPr>
    </w:p>
    <w:p w:rsidR="00836655" w:rsidRPr="004B208C" w:rsidRDefault="00836655" w:rsidP="00910113">
      <w:pPr>
        <w:ind w:left="720"/>
        <w:rPr>
          <w:rFonts w:cs="Tahoma"/>
        </w:rPr>
      </w:pPr>
      <w:r w:rsidRPr="004B208C">
        <w:rPr>
          <w:rFonts w:cs="Tahoma"/>
        </w:rPr>
        <w:t>Na atualização para o Windows Server 2012 Essentials sob essa concessão, as Licenças Qualificadas do SBS Essentials existentes do cliente não serão mais válidas.</w:t>
      </w:r>
    </w:p>
    <w:p w:rsidR="00836655" w:rsidRPr="004B208C" w:rsidRDefault="00836655" w:rsidP="00910113">
      <w:pPr>
        <w:ind w:left="720"/>
        <w:rPr>
          <w:rFonts w:cs="Tahoma"/>
        </w:rPr>
      </w:pPr>
    </w:p>
    <w:p w:rsidR="00836655" w:rsidRPr="004B208C" w:rsidRDefault="00836655" w:rsidP="00D16723">
      <w:pPr>
        <w:ind w:left="720"/>
        <w:rPr>
          <w:rFonts w:cs="Tahoma"/>
        </w:rPr>
      </w:pPr>
      <w:r w:rsidRPr="004B208C">
        <w:rPr>
          <w:rFonts w:cs="Tahoma"/>
        </w:rPr>
        <w:t>As licenças do SBS Essentials adquiridas posteriormente no mesmo prazo de registro, como parte de um processo de adequação (“true-up”) programado do cliente Open Value Subscription ou Enrollment for Education Solutions também são Licenças Qualificadas para os propósitos da concessão supracitada.</w:t>
      </w:r>
    </w:p>
    <w:p w:rsidR="00C066B5" w:rsidRDefault="00C066B5" w:rsidP="00D16723">
      <w:pPr>
        <w:ind w:left="720"/>
        <w:rPr>
          <w:rFonts w:cs="Tahoma"/>
        </w:rPr>
      </w:pPr>
    </w:p>
    <w:p w:rsidR="00DF6C52" w:rsidRDefault="00DF6C52" w:rsidP="00D16723">
      <w:pPr>
        <w:ind w:left="720"/>
        <w:rPr>
          <w:rFonts w:cs="Tahoma"/>
        </w:rPr>
      </w:pPr>
    </w:p>
    <w:p w:rsidR="00DF6C52" w:rsidRDefault="00DF6C52" w:rsidP="00D16723">
      <w:pPr>
        <w:ind w:left="720"/>
        <w:rPr>
          <w:rFonts w:cs="Tahoma"/>
        </w:rPr>
      </w:pPr>
    </w:p>
    <w:p w:rsidR="00DF6C52" w:rsidRPr="004B208C" w:rsidRDefault="00DF6C52" w:rsidP="00D16723">
      <w:pPr>
        <w:ind w:left="720"/>
        <w:rPr>
          <w:rFonts w:cs="Tahoma"/>
        </w:rPr>
      </w:pPr>
    </w:p>
    <w:p w:rsidR="00C066B5" w:rsidRPr="004B208C" w:rsidRDefault="00C066B5" w:rsidP="00D16723">
      <w:pPr>
        <w:ind w:left="720"/>
        <w:rPr>
          <w:rFonts w:cs="Tahoma"/>
        </w:rPr>
      </w:pPr>
    </w:p>
    <w:p w:rsidR="00C066B5" w:rsidRPr="004B208C" w:rsidRDefault="00C066B5" w:rsidP="009A266F">
      <w:pPr>
        <w:pStyle w:val="Heading2"/>
        <w:keepNext/>
        <w:ind w:left="0"/>
        <w:rPr>
          <w:rFonts w:ascii="Tahoma" w:hAnsi="Tahoma" w:cs="Tahoma"/>
        </w:rPr>
      </w:pPr>
      <w:bookmarkStart w:id="1651" w:name="_119_Windows_Web_1"/>
      <w:bookmarkStart w:id="1652" w:name="_Toc370981493"/>
      <w:bookmarkEnd w:id="1651"/>
      <w:r w:rsidRPr="009A266F">
        <w:rPr>
          <w:rFonts w:ascii="Tahoma" w:hAnsi="Tahoma" w:cs="Tahoma"/>
          <w:color w:val="F8701C"/>
          <w:sz w:val="22"/>
          <w:szCs w:val="22"/>
          <w:vertAlign w:val="superscript"/>
        </w:rPr>
        <w:lastRenderedPageBreak/>
        <w:t xml:space="preserve">119 </w:t>
      </w:r>
      <w:r w:rsidRPr="009A266F">
        <w:rPr>
          <w:rFonts w:ascii="Tahoma" w:hAnsi="Tahoma" w:cs="Tahoma"/>
          <w:color w:val="F8701C"/>
          <w:sz w:val="22"/>
          <w:szCs w:val="22"/>
        </w:rPr>
        <w:t>Windows Web Server</w:t>
      </w:r>
      <w:r w:rsidR="00172F11" w:rsidRPr="009A266F">
        <w:rPr>
          <w:rFonts w:ascii="Tahoma" w:hAnsi="Tahoma" w:cs="Tahoma"/>
          <w:color w:val="F8701C"/>
          <w:sz w:val="22"/>
          <w:szCs w:val="22"/>
        </w:rPr>
        <w:t>®</w:t>
      </w:r>
      <w:r w:rsidRPr="009A266F">
        <w:rPr>
          <w:rFonts w:ascii="Tahoma" w:hAnsi="Tahoma" w:cs="Tahoma"/>
          <w:color w:val="F8701C"/>
          <w:sz w:val="22"/>
          <w:szCs w:val="22"/>
        </w:rPr>
        <w:t xml:space="preserve"> 2008 R2</w:t>
      </w:r>
      <w:bookmarkEnd w:id="1652"/>
    </w:p>
    <w:p w:rsidR="00C066B5" w:rsidRPr="004B208C" w:rsidRDefault="00C066B5" w:rsidP="00C066B5">
      <w:pPr>
        <w:rPr>
          <w:rFonts w:cs="Tahoma"/>
        </w:rPr>
      </w:pPr>
    </w:p>
    <w:p w:rsidR="00C066B5" w:rsidRPr="004B208C" w:rsidRDefault="00C066B5" w:rsidP="00C066B5">
      <w:pPr>
        <w:tabs>
          <w:tab w:val="left" w:pos="720"/>
        </w:tabs>
        <w:spacing w:after="60"/>
        <w:ind w:left="720"/>
        <w:rPr>
          <w:rFonts w:cs="Tahoma"/>
        </w:rPr>
      </w:pPr>
      <w:r w:rsidRPr="004B208C">
        <w:rPr>
          <w:rFonts w:cs="Tahoma"/>
          <w:b/>
          <w:color w:val="000000"/>
        </w:rPr>
        <w:t>Outorgas de licença associadas ao término da validade do Windows Web Server</w:t>
      </w:r>
    </w:p>
    <w:p w:rsidR="00C066B5" w:rsidRPr="004B208C" w:rsidRDefault="00C066B5" w:rsidP="00C066B5">
      <w:pPr>
        <w:tabs>
          <w:tab w:val="left" w:pos="720"/>
        </w:tabs>
        <w:ind w:left="720"/>
        <w:rPr>
          <w:rFonts w:cs="Tahoma"/>
        </w:rPr>
      </w:pPr>
      <w:r w:rsidRPr="004B208C">
        <w:rPr>
          <w:rFonts w:cs="Tahoma"/>
          <w:color w:val="000000"/>
        </w:rPr>
        <w:t>O Windows Server 2008 R2 será a última versão da edição do Windows Web Server. Os clientes de Licenciamento por Volume com Software Assurance ativo para licenças do Windows Web Server 2008 R2 em 1</w:t>
      </w:r>
      <w:r w:rsidRPr="004B208C">
        <w:rPr>
          <w:rFonts w:cs="Tahoma"/>
          <w:color w:val="000000"/>
          <w:vertAlign w:val="superscript"/>
        </w:rPr>
        <w:t>º</w:t>
      </w:r>
      <w:r w:rsidRPr="004B208C">
        <w:rPr>
          <w:rFonts w:cs="Tahoma"/>
          <w:color w:val="000000"/>
        </w:rPr>
        <w:t xml:space="preserve"> de setembro de 2012 ou a partir da data da primeira disponibilização do Windows Server 2012 para download no Volume Licensing Service Center (Centro de Atendimento de Licenciamento por Volume), o</w:t>
      </w:r>
      <w:r w:rsidR="00DF6C52">
        <w:rPr>
          <w:rFonts w:cs="Tahoma"/>
          <w:color w:val="000000"/>
        </w:rPr>
        <w:t> </w:t>
      </w:r>
      <w:r w:rsidRPr="004B208C">
        <w:rPr>
          <w:rFonts w:cs="Tahoma"/>
          <w:color w:val="000000"/>
        </w:rPr>
        <w:t xml:space="preserve">que ocorrer primeiro, (“Licenças Qualificadas”) poderão </w:t>
      </w:r>
      <w:r w:rsidRPr="004B208C">
        <w:rPr>
          <w:rFonts w:eastAsia="Calibri" w:cs="Tahoma"/>
          <w:szCs w:val="18"/>
        </w:rPr>
        <w:t xml:space="preserve">usar o software Windows Server 2012 Standard. Para facilitar tal uso, para cada duas Licenças Qualificadas que o cliente possui, ele terá uma licença do processador Windows Server 2012 Standard mediante a disponibilização do Windows Server 2012. </w:t>
      </w:r>
    </w:p>
    <w:p w:rsidR="00C066B5" w:rsidRPr="004B208C" w:rsidRDefault="00C066B5" w:rsidP="00C066B5">
      <w:pPr>
        <w:tabs>
          <w:tab w:val="left" w:pos="720"/>
        </w:tabs>
        <w:ind w:left="720"/>
        <w:rPr>
          <w:rFonts w:cs="Tahoma"/>
        </w:rPr>
      </w:pPr>
    </w:p>
    <w:p w:rsidR="00C066B5" w:rsidRPr="00DF6C52" w:rsidRDefault="00C066B5" w:rsidP="00A1385C">
      <w:pPr>
        <w:numPr>
          <w:ilvl w:val="0"/>
          <w:numId w:val="54"/>
        </w:numPr>
        <w:tabs>
          <w:tab w:val="clear" w:pos="360"/>
          <w:tab w:val="num" w:pos="1440"/>
        </w:tabs>
        <w:spacing w:after="60"/>
        <w:ind w:left="1440"/>
        <w:rPr>
          <w:rFonts w:cs="Tahoma"/>
          <w:szCs w:val="18"/>
        </w:rPr>
      </w:pPr>
      <w:r w:rsidRPr="00DF6C52">
        <w:rPr>
          <w:rFonts w:cs="Tahoma"/>
          <w:color w:val="000000"/>
          <w:szCs w:val="18"/>
        </w:rPr>
        <w:t>Se um cliente tiver um número ímpar de licenças do Web Server, o cliente precisará arredondar para cima para o próximo número par para determinar sua concessão.</w:t>
      </w:r>
      <w:r w:rsidR="00172F11" w:rsidRPr="00DF6C52">
        <w:rPr>
          <w:rFonts w:cs="Tahoma"/>
          <w:color w:val="000000"/>
          <w:szCs w:val="18"/>
        </w:rPr>
        <w:t xml:space="preserve"> </w:t>
      </w:r>
      <w:r w:rsidRPr="00DF6C52">
        <w:rPr>
          <w:rFonts w:cs="Tahoma"/>
          <w:color w:val="000000"/>
          <w:szCs w:val="18"/>
        </w:rPr>
        <w:t>Por exemplo, um cliente que tenha três licenças do Web Server receberá no total duas licenças do Windows Server 2012 Standard.</w:t>
      </w:r>
    </w:p>
    <w:p w:rsidR="00C066B5" w:rsidRPr="00DF6C52" w:rsidRDefault="00C066B5" w:rsidP="00A1385C">
      <w:pPr>
        <w:numPr>
          <w:ilvl w:val="0"/>
          <w:numId w:val="54"/>
        </w:numPr>
        <w:tabs>
          <w:tab w:val="clear" w:pos="360"/>
          <w:tab w:val="num" w:pos="1440"/>
        </w:tabs>
        <w:spacing w:after="60"/>
        <w:ind w:left="1440"/>
        <w:rPr>
          <w:rFonts w:cs="Tahoma"/>
          <w:szCs w:val="18"/>
        </w:rPr>
      </w:pPr>
      <w:r w:rsidRPr="00DF6C52">
        <w:rPr>
          <w:rFonts w:eastAsia="Calibri" w:cs="Tahoma"/>
          <w:szCs w:val="18"/>
        </w:rPr>
        <w:t>Na atualização para o Windows Server 2012 Standard sob essa concessão, as licenças existentes do Windows Web Server 2008 R2 do cliente permanecerão válidas.</w:t>
      </w:r>
    </w:p>
    <w:p w:rsidR="00C066B5" w:rsidRPr="00DF6C52" w:rsidRDefault="00C066B5" w:rsidP="00A1385C">
      <w:pPr>
        <w:pStyle w:val="ListParagraph"/>
        <w:numPr>
          <w:ilvl w:val="0"/>
          <w:numId w:val="54"/>
        </w:numPr>
        <w:tabs>
          <w:tab w:val="clear" w:pos="360"/>
          <w:tab w:val="num" w:pos="1440"/>
        </w:tabs>
        <w:spacing w:after="60"/>
        <w:ind w:left="1440"/>
        <w:contextualSpacing w:val="0"/>
        <w:rPr>
          <w:rFonts w:ascii="Tahoma" w:hAnsi="Tahoma" w:cs="Tahoma"/>
          <w:sz w:val="18"/>
          <w:szCs w:val="18"/>
        </w:rPr>
      </w:pPr>
      <w:r w:rsidRPr="00DF6C52">
        <w:rPr>
          <w:rFonts w:ascii="Tahoma" w:eastAsia="Calibri" w:hAnsi="Tahoma" w:cs="Tahoma"/>
          <w:sz w:val="18"/>
          <w:szCs w:val="18"/>
        </w:rPr>
        <w:t>As licenças adquiridas sob esta concessão incluirão cobertura do Software Assurance.</w:t>
      </w:r>
      <w:r w:rsidR="00172F11" w:rsidRPr="00DF6C52">
        <w:rPr>
          <w:rFonts w:ascii="Tahoma" w:eastAsia="Calibri" w:hAnsi="Tahoma" w:cs="Tahoma"/>
          <w:sz w:val="18"/>
          <w:szCs w:val="18"/>
        </w:rPr>
        <w:t xml:space="preserve"> </w:t>
      </w:r>
      <w:r w:rsidRPr="00DF6C52">
        <w:rPr>
          <w:rFonts w:ascii="Tahoma" w:eastAsia="Calibri" w:hAnsi="Tahoma" w:cs="Tahoma"/>
          <w:sz w:val="18"/>
          <w:szCs w:val="18"/>
        </w:rPr>
        <w:t>Tal cobertura expira quando a cobertura correspondente nas Licenças Qualificadas expirar.</w:t>
      </w:r>
    </w:p>
    <w:p w:rsidR="00C066B5" w:rsidRPr="00DF6C52" w:rsidRDefault="00C066B5" w:rsidP="00A1385C">
      <w:pPr>
        <w:pStyle w:val="ListParagraph"/>
        <w:numPr>
          <w:ilvl w:val="0"/>
          <w:numId w:val="54"/>
        </w:numPr>
        <w:tabs>
          <w:tab w:val="clear" w:pos="360"/>
          <w:tab w:val="num" w:pos="1440"/>
        </w:tabs>
        <w:spacing w:after="60"/>
        <w:ind w:left="1440"/>
        <w:contextualSpacing w:val="0"/>
        <w:rPr>
          <w:rFonts w:ascii="Tahoma" w:hAnsi="Tahoma" w:cs="Tahoma"/>
          <w:sz w:val="18"/>
          <w:szCs w:val="18"/>
        </w:rPr>
      </w:pPr>
      <w:r w:rsidRPr="00DF6C52">
        <w:rPr>
          <w:rFonts w:ascii="Tahoma" w:eastAsia="Calibri" w:hAnsi="Tahoma" w:cs="Tahoma"/>
          <w:sz w:val="18"/>
          <w:szCs w:val="18"/>
        </w:rPr>
        <w:t>Se os clientes adquiriram direitos perpétuos para usar o software sob as Licenças Qualificadas, as</w:t>
      </w:r>
      <w:r w:rsidR="00DF6C52">
        <w:rPr>
          <w:rFonts w:ascii="Tahoma" w:eastAsia="Calibri" w:hAnsi="Tahoma" w:cs="Tahoma"/>
          <w:sz w:val="18"/>
          <w:szCs w:val="18"/>
        </w:rPr>
        <w:t> </w:t>
      </w:r>
      <w:r w:rsidRPr="00DF6C52">
        <w:rPr>
          <w:rFonts w:ascii="Tahoma" w:eastAsia="Calibri" w:hAnsi="Tahoma" w:cs="Tahoma"/>
          <w:sz w:val="18"/>
          <w:szCs w:val="18"/>
        </w:rPr>
        <w:t>licenças adquiridas sob essa concessão serão também perpétuas; caso contrário, as licenças adquiridas sob essa concessão expirarão quando as Licenças Qualificadas subjacentes expirarem.</w:t>
      </w:r>
    </w:p>
    <w:p w:rsidR="00C066B5" w:rsidRPr="00DF6C52" w:rsidRDefault="00C066B5" w:rsidP="00A1385C">
      <w:pPr>
        <w:numPr>
          <w:ilvl w:val="0"/>
          <w:numId w:val="54"/>
        </w:numPr>
        <w:tabs>
          <w:tab w:val="clear" w:pos="360"/>
          <w:tab w:val="num" w:pos="1440"/>
        </w:tabs>
        <w:spacing w:after="60"/>
        <w:ind w:left="1440"/>
        <w:rPr>
          <w:rFonts w:cs="Tahoma"/>
          <w:szCs w:val="18"/>
        </w:rPr>
      </w:pPr>
      <w:r w:rsidRPr="00DF6C52">
        <w:rPr>
          <w:rFonts w:cs="Tahoma"/>
          <w:color w:val="000000"/>
          <w:szCs w:val="18"/>
        </w:rPr>
        <w:t xml:space="preserve">As licenças do Windows Web Server 2008 R2 </w:t>
      </w:r>
      <w:r w:rsidRPr="00DF6C52">
        <w:rPr>
          <w:rFonts w:cs="Tahoma"/>
          <w:bCs/>
          <w:color w:val="000000"/>
          <w:szCs w:val="18"/>
        </w:rPr>
        <w:t xml:space="preserve">adquiridas posteriormente no mesmo prazo de registro, como parte de um processo de adequação (“true-up”) programado do cliente Enterprise, Enterprise Subscription, Open Value Subscription ou Enrollment for Education Solutions também são Licenças Qualificadas para os propósitos da concessão supracitada. </w:t>
      </w:r>
    </w:p>
    <w:p w:rsidR="00C066B5" w:rsidRPr="00DF6C52" w:rsidRDefault="00C066B5" w:rsidP="00A1385C">
      <w:pPr>
        <w:numPr>
          <w:ilvl w:val="0"/>
          <w:numId w:val="54"/>
        </w:numPr>
        <w:tabs>
          <w:tab w:val="clear" w:pos="360"/>
          <w:tab w:val="num" w:pos="1440"/>
        </w:tabs>
        <w:spacing w:after="60"/>
        <w:ind w:left="1440"/>
        <w:rPr>
          <w:rFonts w:cs="Tahoma"/>
          <w:szCs w:val="18"/>
        </w:rPr>
      </w:pPr>
      <w:r w:rsidRPr="00DF6C52">
        <w:rPr>
          <w:rFonts w:cs="Tahoma"/>
          <w:bCs/>
          <w:color w:val="000000"/>
          <w:szCs w:val="18"/>
        </w:rPr>
        <w:t>Não obstante a concessão das licenças do Windows Server 2012 Standard e qualquer atualização para esta versão, as obrigações de pagar montantes devidos e pendentes pelas Licenças Qualificadas e cobertura permanecem em pleno vigor e efeito.</w:t>
      </w:r>
    </w:p>
    <w:p w:rsidR="00C066B5" w:rsidRPr="004B208C" w:rsidRDefault="00C066B5" w:rsidP="00C066B5">
      <w:pPr>
        <w:ind w:left="1440"/>
        <w:rPr>
          <w:rFonts w:cs="Tahoma"/>
        </w:rPr>
      </w:pPr>
    </w:p>
    <w:p w:rsidR="00C066B5" w:rsidRPr="004B208C" w:rsidRDefault="00C066B5" w:rsidP="00C066B5">
      <w:pPr>
        <w:spacing w:after="60"/>
        <w:ind w:left="720"/>
        <w:rPr>
          <w:rFonts w:cs="Tahoma"/>
        </w:rPr>
      </w:pPr>
      <w:r w:rsidRPr="004B208C">
        <w:rPr>
          <w:rFonts w:eastAsia="Calibri" w:cs="Tahoma"/>
          <w:b/>
          <w:szCs w:val="18"/>
        </w:rPr>
        <w:t>Informações adicionais sobre o uso do Windows Server 2012 ou Windows Server 2012 R2 como um Servidor Web</w:t>
      </w:r>
    </w:p>
    <w:p w:rsidR="00C066B5" w:rsidRPr="004B208C" w:rsidRDefault="00C066B5" w:rsidP="00C066B5">
      <w:pPr>
        <w:ind w:left="720"/>
        <w:rPr>
          <w:rFonts w:cs="Tahoma"/>
        </w:rPr>
      </w:pPr>
      <w:r w:rsidRPr="004B208C">
        <w:rPr>
          <w:rFonts w:eastAsia="Calibri" w:cs="Tahoma"/>
          <w:szCs w:val="18"/>
        </w:rPr>
        <w:t xml:space="preserve">Quando o Windows Server 2012 Standard ou Datacenter ou Windows Server 2012 R2 Standard ou Datacenter é usado como um Servidor Web, você não precisa de CALs para acessar o software. Uma </w:t>
      </w:r>
      <w:r w:rsidRPr="004B208C">
        <w:rPr>
          <w:rFonts w:cs="Tahoma"/>
        </w:rPr>
        <w:t>“Carga</w:t>
      </w:r>
      <w:r w:rsidR="00DF6C52">
        <w:rPr>
          <w:rFonts w:cs="Tahoma"/>
        </w:rPr>
        <w:t> </w:t>
      </w:r>
      <w:r w:rsidRPr="004B208C">
        <w:rPr>
          <w:rFonts w:cs="Tahoma"/>
        </w:rPr>
        <w:t>de Trabalho da Web” significa uma carga de trabalho na qual</w:t>
      </w:r>
      <w:r w:rsidRPr="004B208C">
        <w:rPr>
          <w:rFonts w:cs="Tahoma"/>
          <w:bCs/>
        </w:rPr>
        <w:t xml:space="preserve"> </w:t>
      </w:r>
      <w:r w:rsidRPr="004B208C">
        <w:rPr>
          <w:rFonts w:cs="Tahoma"/>
        </w:rPr>
        <w:t>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w:t>
      </w:r>
      <w:r w:rsidRPr="004B208C">
        <w:rPr>
          <w:rFonts w:cs="Tahoma"/>
          <w:u w:val="single"/>
        </w:rPr>
        <w:t xml:space="preserve"> </w:t>
      </w:r>
      <w:r w:rsidRPr="004B208C">
        <w:rPr>
          <w:rFonts w:cs="Tahoma"/>
        </w:rPr>
        <w:t>limitado para seus funcionários.</w:t>
      </w:r>
      <w:r w:rsidR="00172F11">
        <w:rPr>
          <w:rFonts w:cs="Tahoma"/>
        </w:rPr>
        <w:t xml:space="preserve"> </w:t>
      </w:r>
      <w:r w:rsidRPr="004B208C">
        <w:rPr>
          <w:rFonts w:eastAsia="Calibri" w:cs="Tahoma"/>
          <w:szCs w:val="18"/>
        </w:rPr>
        <w:t>Consulte os Direitos de Uso de</w:t>
      </w:r>
      <w:r w:rsidR="004D23F8">
        <w:rPr>
          <w:rFonts w:eastAsia="Calibri" w:cs="Tahoma"/>
          <w:szCs w:val="18"/>
        </w:rPr>
        <w:t> </w:t>
      </w:r>
      <w:r w:rsidRPr="004B208C">
        <w:rPr>
          <w:rFonts w:eastAsia="Calibri" w:cs="Tahoma"/>
          <w:szCs w:val="18"/>
        </w:rPr>
        <w:t>Produto para obter detalhes adicionais.</w:t>
      </w:r>
    </w:p>
    <w:sectPr w:rsidR="00C066B5" w:rsidRPr="004B208C"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0EF2" w:rsidRDefault="00C70EF2">
      <w:r>
        <w:separator/>
      </w:r>
    </w:p>
  </w:endnote>
  <w:endnote w:type="continuationSeparator" w:id="0">
    <w:p w:rsidR="00C70EF2" w:rsidRDefault="00C70EF2">
      <w:r>
        <w:continuationSeparator/>
      </w:r>
    </w:p>
  </w:endnote>
  <w:endnote w:type="continuationNotice" w:id="1">
    <w:p w:rsidR="00C70EF2" w:rsidRDefault="00C70E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algun Gothic">
    <w:panose1 w:val="020B0503020000020004"/>
    <w:charset w:val="81"/>
    <w:family w:val="swiss"/>
    <w:pitch w:val="variable"/>
    <w:sig w:usb0="900002AF" w:usb1="29D77CFB" w:usb2="00000012" w:usb3="00000000" w:csb0="0008008D" w:csb1="00000000"/>
  </w:font>
  <w:font w:name="MS UI 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9FE" w:rsidRDefault="009539FE">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2</w:t>
    </w:r>
    <w:r>
      <w:rPr>
        <w:noProof/>
      </w:rPr>
      <w:fldChar w:fldCharType="end"/>
    </w:r>
    <w:r>
      <w:rPr>
        <w:rFonts w:ascii="Trebuchet MS" w:hAnsi="Trebuchet MS"/>
        <w:color w:val="808080"/>
        <w:sz w:val="14"/>
      </w:rPr>
      <w:t xml:space="preserve"> de </w:t>
    </w:r>
    <w:fldSimple w:instr=" NUMPAGES ">
      <w:r w:rsidR="002D2DBB">
        <w:rPr>
          <w:noProof/>
        </w:rPr>
        <w:t>201</w:t>
      </w:r>
    </w:fldSimple>
    <w:r>
      <w:t xml:space="preserve"> Publicado em abril de 2009</w:t>
    </w:r>
  </w:p>
  <w:p w:rsidR="009539FE" w:rsidRDefault="009539FE">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é marca comercial registrada da Microsoft Corporation nos Estados Unidos e/ou em outros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9FE" w:rsidRDefault="009539FE"/>
  <w:p w:rsidR="009539FE" w:rsidRPr="009D7C8E" w:rsidRDefault="009539FE" w:rsidP="004B208C">
    <w:pPr>
      <w:pStyle w:val="Footer"/>
      <w:pBdr>
        <w:top w:val="single" w:sz="6" w:space="1" w:color="808080"/>
      </w:pBdr>
      <w:tabs>
        <w:tab w:val="clear" w:pos="5155"/>
        <w:tab w:val="clear" w:pos="10325"/>
        <w:tab w:val="right" w:pos="9356"/>
      </w:tabs>
      <w:rPr>
        <w:rFonts w:ascii="Trebuchet MS" w:hAnsi="Trebuchet MS"/>
        <w:color w:val="808080"/>
        <w:sz w:val="14"/>
      </w:rPr>
    </w:pPr>
    <w:r>
      <w:rPr>
        <w:rFonts w:ascii="Trebuchet MS" w:hAnsi="Trebuchet MS"/>
        <w:color w:val="808080"/>
        <w:sz w:val="14"/>
      </w:rPr>
      <w:t>© 2013 Microsoft Corporation. Todos os direitos reservados.</w:t>
    </w:r>
    <w:r>
      <w:rPr>
        <w:rFonts w:ascii="Trebuchet MS" w:hAnsi="Trebuchet MS"/>
        <w:color w:val="808080"/>
        <w:sz w:val="14"/>
      </w:rPr>
      <w:tab/>
      <w:t xml:space="preserve">Página </w:t>
    </w:r>
    <w:r w:rsidRPr="004B208C">
      <w:rPr>
        <w:noProof/>
        <w:szCs w:val="18"/>
      </w:rPr>
      <w:fldChar w:fldCharType="begin"/>
    </w:r>
    <w:r w:rsidRPr="004B208C">
      <w:rPr>
        <w:noProof/>
        <w:szCs w:val="18"/>
      </w:rPr>
      <w:instrText xml:space="preserve"> PAGE </w:instrText>
    </w:r>
    <w:r w:rsidRPr="004B208C">
      <w:rPr>
        <w:noProof/>
        <w:szCs w:val="18"/>
      </w:rPr>
      <w:fldChar w:fldCharType="separate"/>
    </w:r>
    <w:r w:rsidR="00080102">
      <w:rPr>
        <w:noProof/>
        <w:szCs w:val="18"/>
      </w:rPr>
      <w:t>1</w:t>
    </w:r>
    <w:r w:rsidRPr="004B208C">
      <w:rPr>
        <w:noProof/>
        <w:szCs w:val="18"/>
      </w:rPr>
      <w:fldChar w:fldCharType="end"/>
    </w:r>
    <w:r>
      <w:rPr>
        <w:rFonts w:ascii="Trebuchet MS" w:hAnsi="Trebuchet MS"/>
        <w:color w:val="808080"/>
        <w:sz w:val="14"/>
      </w:rPr>
      <w:t xml:space="preserve"> de </w:t>
    </w:r>
    <w:r w:rsidRPr="004B208C">
      <w:rPr>
        <w:noProof/>
        <w:szCs w:val="18"/>
      </w:rPr>
      <w:fldChar w:fldCharType="begin"/>
    </w:r>
    <w:r w:rsidRPr="004B208C">
      <w:rPr>
        <w:noProof/>
        <w:szCs w:val="18"/>
      </w:rPr>
      <w:instrText xml:space="preserve"> NUMPAGES </w:instrText>
    </w:r>
    <w:r w:rsidRPr="004B208C">
      <w:rPr>
        <w:noProof/>
        <w:szCs w:val="18"/>
      </w:rPr>
      <w:fldChar w:fldCharType="separate"/>
    </w:r>
    <w:r w:rsidR="00080102">
      <w:rPr>
        <w:noProof/>
        <w:szCs w:val="18"/>
      </w:rPr>
      <w:t>201</w:t>
    </w:r>
    <w:r w:rsidRPr="004B208C">
      <w:rPr>
        <w:noProof/>
        <w:szCs w:val="18"/>
      </w:rPr>
      <w:fldChar w:fldCharType="end"/>
    </w:r>
    <w:r w:rsidRPr="004B208C">
      <w:rPr>
        <w:rFonts w:ascii="Trebuchet MS" w:hAnsi="Trebuchet MS"/>
        <w:color w:val="808080"/>
        <w:sz w:val="14"/>
      </w:rPr>
      <w:t xml:space="preserve"> Publicado em Novembro de 2013</w:t>
    </w:r>
  </w:p>
  <w:p w:rsidR="009539FE" w:rsidRPr="004B208C" w:rsidRDefault="009539FE" w:rsidP="004B208C">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4B208C">
      <w:rPr>
        <w:rFonts w:ascii="Trebuchet MS" w:hAnsi="Trebuchet MS"/>
        <w:color w:val="808080"/>
        <w:sz w:val="14"/>
        <w:lang w:val="pt-BR"/>
      </w:rPr>
      <w:t>Microsoft é marca comercial registrada da Microsoft Corporation nos Estados Unidos e/ou em outros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9FE" w:rsidRDefault="009539FE" w:rsidP="004B208C"/>
  <w:p w:rsidR="009539FE" w:rsidRPr="009D7C8E" w:rsidRDefault="009539FE" w:rsidP="004B208C">
    <w:pPr>
      <w:pStyle w:val="Footer"/>
      <w:pBdr>
        <w:top w:val="single" w:sz="6" w:space="1" w:color="808080"/>
      </w:pBdr>
      <w:tabs>
        <w:tab w:val="clear" w:pos="5155"/>
        <w:tab w:val="clear" w:pos="10325"/>
        <w:tab w:val="right" w:pos="9356"/>
      </w:tabs>
      <w:rPr>
        <w:rFonts w:ascii="Trebuchet MS" w:hAnsi="Trebuchet MS"/>
        <w:color w:val="808080"/>
        <w:sz w:val="14"/>
      </w:rPr>
    </w:pPr>
    <w:r>
      <w:rPr>
        <w:rFonts w:ascii="Trebuchet MS" w:hAnsi="Trebuchet MS"/>
        <w:color w:val="808080"/>
        <w:sz w:val="14"/>
      </w:rPr>
      <w:t>© 2013 Microsoft Corporation. Todos os direitos reservados.</w:t>
    </w:r>
    <w:r>
      <w:rPr>
        <w:rFonts w:ascii="Trebuchet MS" w:hAnsi="Trebuchet MS"/>
        <w:color w:val="808080"/>
        <w:sz w:val="14"/>
      </w:rPr>
      <w:tab/>
      <w:t xml:space="preserve">Página </w:t>
    </w:r>
    <w:r w:rsidRPr="004B208C">
      <w:rPr>
        <w:noProof/>
        <w:szCs w:val="18"/>
      </w:rPr>
      <w:fldChar w:fldCharType="begin"/>
    </w:r>
    <w:r w:rsidRPr="004B208C">
      <w:rPr>
        <w:noProof/>
        <w:szCs w:val="18"/>
      </w:rPr>
      <w:instrText xml:space="preserve"> PAGE </w:instrText>
    </w:r>
    <w:r w:rsidRPr="004B208C">
      <w:rPr>
        <w:noProof/>
        <w:szCs w:val="18"/>
      </w:rPr>
      <w:fldChar w:fldCharType="separate"/>
    </w:r>
    <w:r w:rsidR="00080102">
      <w:rPr>
        <w:noProof/>
        <w:szCs w:val="18"/>
      </w:rPr>
      <w:t>4</w:t>
    </w:r>
    <w:r w:rsidRPr="004B208C">
      <w:rPr>
        <w:noProof/>
        <w:szCs w:val="18"/>
      </w:rPr>
      <w:fldChar w:fldCharType="end"/>
    </w:r>
    <w:r>
      <w:rPr>
        <w:rFonts w:ascii="Trebuchet MS" w:hAnsi="Trebuchet MS"/>
        <w:color w:val="808080"/>
        <w:sz w:val="14"/>
      </w:rPr>
      <w:t xml:space="preserve"> de </w:t>
    </w:r>
    <w:r w:rsidRPr="004B208C">
      <w:rPr>
        <w:noProof/>
        <w:szCs w:val="18"/>
      </w:rPr>
      <w:fldChar w:fldCharType="begin"/>
    </w:r>
    <w:r w:rsidRPr="004B208C">
      <w:rPr>
        <w:noProof/>
        <w:szCs w:val="18"/>
      </w:rPr>
      <w:instrText xml:space="preserve"> NUMPAGES </w:instrText>
    </w:r>
    <w:r w:rsidRPr="004B208C">
      <w:rPr>
        <w:noProof/>
        <w:szCs w:val="18"/>
      </w:rPr>
      <w:fldChar w:fldCharType="separate"/>
    </w:r>
    <w:r w:rsidR="00080102">
      <w:rPr>
        <w:noProof/>
        <w:szCs w:val="18"/>
      </w:rPr>
      <w:t>201</w:t>
    </w:r>
    <w:r w:rsidRPr="004B208C">
      <w:rPr>
        <w:noProof/>
        <w:szCs w:val="18"/>
      </w:rPr>
      <w:fldChar w:fldCharType="end"/>
    </w:r>
    <w:r w:rsidRPr="004B208C">
      <w:rPr>
        <w:rFonts w:ascii="Trebuchet MS" w:hAnsi="Trebuchet MS"/>
        <w:color w:val="808080"/>
        <w:sz w:val="14"/>
      </w:rPr>
      <w:t xml:space="preserve"> Publicado em Novembro de 2013</w:t>
    </w:r>
  </w:p>
  <w:p w:rsidR="009539FE" w:rsidRPr="004B208C" w:rsidRDefault="009539FE" w:rsidP="004B208C">
    <w:pPr>
      <w:pStyle w:val="Footer"/>
      <w:pBdr>
        <w:top w:val="single" w:sz="6" w:space="1" w:color="808080"/>
      </w:pBdr>
      <w:tabs>
        <w:tab w:val="clear" w:pos="5155"/>
        <w:tab w:val="clear" w:pos="10325"/>
        <w:tab w:val="right" w:pos="9356"/>
      </w:tabs>
      <w:rPr>
        <w:rFonts w:ascii="Trebuchet MS" w:hAnsi="Trebuchet MS"/>
        <w:color w:val="808080"/>
        <w:sz w:val="14"/>
        <w:lang w:val="pt-BR"/>
      </w:rPr>
    </w:pPr>
    <w:r w:rsidRPr="004B208C">
      <w:rPr>
        <w:rFonts w:ascii="Trebuchet MS" w:hAnsi="Trebuchet MS"/>
        <w:color w:val="808080"/>
        <w:sz w:val="14"/>
        <w:lang w:val="pt-BR"/>
      </w:rPr>
      <w:t>Microsoft é marca comercial registrada da Microsoft Corporation nos Estados Unidos e/ou em outros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9FE" w:rsidRDefault="009539FE"/>
  <w:p w:rsidR="009539FE" w:rsidRDefault="009539FE">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Todos os direitos reservados. Página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de </w:t>
    </w:r>
    <w:fldSimple w:instr=" NUMPAGES ">
      <w:r w:rsidR="002D2DBB">
        <w:rPr>
          <w:noProof/>
        </w:rPr>
        <w:t>201</w:t>
      </w:r>
    </w:fldSimple>
    <w:r>
      <w:t xml:space="preserve"> Publicado em maio de 2009</w:t>
    </w:r>
  </w:p>
  <w:p w:rsidR="009539FE" w:rsidRDefault="009539FE">
    <w:pPr>
      <w:pStyle w:val="Footer"/>
      <w:rPr>
        <w:rFonts w:ascii="Verdana" w:hAnsi="Verdana"/>
        <w:color w:val="808080"/>
        <w:sz w:val="16"/>
      </w:rPr>
    </w:pPr>
    <w:r>
      <w:rPr>
        <w:rFonts w:ascii="Trebuchet MS" w:hAnsi="Trebuchet MS"/>
        <w:color w:val="808080"/>
        <w:sz w:val="14"/>
      </w:rPr>
      <w:t>Microsoft é marca comercial registrada da Microsoft Corporation nos Estados Unidos e/ou em outros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0EF2" w:rsidRDefault="00C70EF2">
      <w:r>
        <w:separator/>
      </w:r>
    </w:p>
  </w:footnote>
  <w:footnote w:type="continuationSeparator" w:id="0">
    <w:p w:rsidR="00C70EF2" w:rsidRDefault="00C70EF2">
      <w:r>
        <w:continuationSeparator/>
      </w:r>
    </w:p>
  </w:footnote>
  <w:footnote w:type="continuationNotice" w:id="1">
    <w:p w:rsidR="00C70EF2" w:rsidRDefault="00C70EF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9FE" w:rsidRDefault="00847333">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539FE" w:rsidRDefault="009539FE" w:rsidP="00BC457D">
                          <w:r>
                            <w:rPr>
                              <w:rFonts w:cs="Tahoma"/>
                              <w:noProof/>
                              <w:szCs w:val="18"/>
                            </w:rPr>
                            <w:drawing>
                              <wp:inline distT="0" distB="0" distL="0" distR="0">
                                <wp:extent cx="1911096" cy="512064"/>
                                <wp:effectExtent l="0" t="0" r="0" b="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9539FE" w:rsidRDefault="009539FE" w:rsidP="00BC457D">
                    <w:r>
                      <w:rPr>
                        <w:rFonts w:cs="Tahoma"/>
                        <w:noProof/>
                        <w:szCs w:val="18"/>
                      </w:rPr>
                      <w:drawing>
                        <wp:inline distT="0" distB="0" distL="0" distR="0">
                          <wp:extent cx="1911096" cy="512064"/>
                          <wp:effectExtent l="0" t="0" r="0" b="0"/>
                          <wp:docPr id="2" name="Picture 6" descr="Description: 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Description: logo(PTB)"/>
                                  <pic:cNvPicPr preferRelativeResize="0">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096" cy="512064"/>
                                  </a:xfrm>
                                  <a:prstGeom prst="rect">
                                    <a:avLst/>
                                  </a:prstGeom>
                                  <a:noFill/>
                                  <a:ln>
                                    <a:noFill/>
                                  </a:ln>
                                </pic:spPr>
                              </pic:pic>
                            </a:graphicData>
                          </a:graphic>
                        </wp:inline>
                      </w:drawing>
                    </w:r>
                  </w:p>
                </w:txbxContent>
              </v:textbox>
            </v:shape>
          </w:pict>
        </mc:Fallback>
      </mc:AlternateContent>
    </w:r>
    <w:r w:rsidR="009539FE">
      <w:t xml:space="preserve"> </w:t>
    </w:r>
  </w:p>
  <w:p w:rsidR="009539FE" w:rsidRDefault="00847333">
    <w:r>
      <w:rPr>
        <w:noProof/>
      </w:rPr>
      <mc:AlternateContent>
        <mc:Choice Requires="wps">
          <w:drawing>
            <wp:anchor distT="4294967294" distB="4294967294"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EBC745" id="Line 5" o:spid="_x0000_s1026" style="position:absolute;z-index:25165875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9FE" w:rsidRDefault="009539FE" w:rsidP="00290FC1">
    <w:pPr>
      <w:ind w:rightChars="185" w:right="333"/>
    </w:pPr>
  </w:p>
  <w:p w:rsidR="009539FE" w:rsidRDefault="009539FE" w:rsidP="00290FC1">
    <w:pPr>
      <w:ind w:rightChars="185" w:right="333"/>
    </w:pPr>
  </w:p>
  <w:p w:rsidR="009539FE" w:rsidRDefault="009539FE" w:rsidP="00290FC1">
    <w:pPr>
      <w:ind w:rightChars="185" w:right="333"/>
    </w:pPr>
    <w:r>
      <w:rPr>
        <w:noProof/>
      </w:rPr>
      <w:drawing>
        <wp:anchor distT="0" distB="0" distL="114300" distR="114300" simplePos="0" relativeHeight="251661824" behindDoc="0" locked="0" layoutInCell="1" allowOverlap="1">
          <wp:simplePos x="0" y="0"/>
          <wp:positionH relativeFrom="margin">
            <wp:align>center</wp:align>
          </wp:positionH>
          <wp:positionV relativeFrom="paragraph">
            <wp:posOffset>15240</wp:posOffset>
          </wp:positionV>
          <wp:extent cx="5734050" cy="561975"/>
          <wp:effectExtent l="0" t="0" r="0" b="9525"/>
          <wp:wrapNone/>
          <wp:docPr id="10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9539FE" w:rsidRDefault="009539FE">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39FE" w:rsidRDefault="009539FE" w:rsidP="00F8080D">
    <w:pPr>
      <w:ind w:rightChars="185" w:right="333"/>
    </w:pPr>
  </w:p>
  <w:p w:rsidR="009539FE" w:rsidRDefault="009539FE">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B01149"/>
    <w:multiLevelType w:val="hybridMultilevel"/>
    <w:tmpl w:val="8AB4985E"/>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A4353AF"/>
    <w:multiLevelType w:val="hybridMultilevel"/>
    <w:tmpl w:val="3C82C7EE"/>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5">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9">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EF4521D"/>
    <w:multiLevelType w:val="hybridMultilevel"/>
    <w:tmpl w:val="C754994A"/>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4">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7">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9">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nsid w:val="158000E0"/>
    <w:multiLevelType w:val="hybridMultilevel"/>
    <w:tmpl w:val="8F808358"/>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nsid w:val="15FF1D91"/>
    <w:multiLevelType w:val="hybridMultilevel"/>
    <w:tmpl w:val="65C25318"/>
    <w:lvl w:ilvl="0" w:tplc="58726542">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2">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4">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6">
    <w:nsid w:val="1C4F47D3"/>
    <w:multiLevelType w:val="hybridMultilevel"/>
    <w:tmpl w:val="3996A676"/>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9">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0">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1">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2">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3">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0">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0">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F2C3EEE"/>
    <w:multiLevelType w:val="hybridMultilevel"/>
    <w:tmpl w:val="F4B4581C"/>
    <w:lvl w:ilvl="0" w:tplc="E988C58E">
      <w:start w:val="1"/>
      <w:numFmt w:val="lowerLetter"/>
      <w:lvlText w:val="%1)"/>
      <w:lvlJc w:val="left"/>
      <w:pPr>
        <w:ind w:left="1440" w:hanging="360"/>
      </w:pPr>
      <w:rPr>
        <w:rFonts w:hint="default"/>
      </w:rPr>
    </w:lvl>
    <w:lvl w:ilvl="1" w:tplc="04090017">
      <w:start w:val="1"/>
      <w:numFmt w:val="lowerLetter"/>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5">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6">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EA2CBE"/>
    <w:multiLevelType w:val="hybridMultilevel"/>
    <w:tmpl w:val="2B6C2BBE"/>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1">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9B265B9"/>
    <w:multiLevelType w:val="hybridMultilevel"/>
    <w:tmpl w:val="58261CDA"/>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5">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58FB6F88"/>
    <w:multiLevelType w:val="hybridMultilevel"/>
    <w:tmpl w:val="80A23FDE"/>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7">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9">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0">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4">
    <w:nsid w:val="5FDB11E4"/>
    <w:multiLevelType w:val="hybridMultilevel"/>
    <w:tmpl w:val="15C46BD8"/>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4FA1770"/>
    <w:multiLevelType w:val="hybridMultilevel"/>
    <w:tmpl w:val="C8AC05C2"/>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6EE177C"/>
    <w:multiLevelType w:val="hybridMultilevel"/>
    <w:tmpl w:val="46463D48"/>
    <w:lvl w:ilvl="0" w:tplc="D902DDBC">
      <w:start w:val="1"/>
      <w:numFmt w:val="bullet"/>
      <w:lvlText w:val=""/>
      <w:lvlJc w:val="left"/>
      <w:pPr>
        <w:ind w:left="2160" w:hanging="360"/>
      </w:pPr>
      <w:rPr>
        <w:rFonts w:ascii="Webdings" w:hAnsi="Webdings" w:hint="default"/>
        <w:b w:val="0"/>
        <w:i w:val="0"/>
        <w:color w:val="FF6600"/>
        <w:sz w:val="24"/>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3">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4">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2C4D22"/>
    <w:multiLevelType w:val="hybridMultilevel"/>
    <w:tmpl w:val="6976576C"/>
    <w:lvl w:ilvl="0" w:tplc="D902DDBC">
      <w:start w:val="1"/>
      <w:numFmt w:val="bullet"/>
      <w:lvlText w:val=""/>
      <w:lvlJc w:val="left"/>
      <w:pPr>
        <w:ind w:left="720" w:hanging="360"/>
      </w:pPr>
      <w:rPr>
        <w:rFonts w:ascii="Webdings" w:hAnsi="Webdings" w:hint="default"/>
        <w:b w:val="0"/>
        <w:i w:val="0"/>
        <w:color w:val="FF6600"/>
        <w:sz w:val="24"/>
      </w:rPr>
    </w:lvl>
    <w:lvl w:ilvl="1" w:tplc="43C418AE">
      <w:start w:val="1"/>
      <w:numFmt w:val="decimal"/>
      <w:lvlText w:val="%2."/>
      <w:lvlJc w:val="left"/>
      <w:pPr>
        <w:tabs>
          <w:tab w:val="num" w:pos="1440"/>
        </w:tabs>
        <w:ind w:left="1440" w:hanging="360"/>
      </w:pPr>
      <w:rPr>
        <w:b/>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21F69F1"/>
    <w:multiLevelType w:val="hybridMultilevel"/>
    <w:tmpl w:val="2AD818DA"/>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17">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8">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758B3750"/>
    <w:multiLevelType w:val="hybridMultilevel"/>
    <w:tmpl w:val="850201D8"/>
    <w:lvl w:ilvl="0" w:tplc="04090003">
      <w:start w:val="1"/>
      <w:numFmt w:val="bullet"/>
      <w:lvlText w:val="o"/>
      <w:lvlJc w:val="left"/>
      <w:pPr>
        <w:ind w:left="3240" w:hanging="360"/>
      </w:pPr>
      <w:rPr>
        <w:rFonts w:ascii="Courier New" w:hAnsi="Courier New" w:cs="Courier New"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2E0570"/>
    <w:multiLevelType w:val="hybridMultilevel"/>
    <w:tmpl w:val="17149984"/>
    <w:lvl w:ilvl="0" w:tplc="E83C0674">
      <w:start w:val="1"/>
      <w:numFmt w:val="bullet"/>
      <w:lvlText w:val=""/>
      <w:lvlJc w:val="left"/>
      <w:pPr>
        <w:ind w:left="2160" w:hanging="360"/>
      </w:pPr>
      <w:rPr>
        <w:rFonts w:ascii="Webdings" w:hAnsi="Webdings" w:hint="default"/>
        <w:b w:val="0"/>
        <w:i w:val="0"/>
        <w:color w:val="FF6600"/>
        <w:sz w:val="22"/>
        <w:szCs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5">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7">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8">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0">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2">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4">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7">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1"/>
  </w:num>
  <w:num w:numId="2">
    <w:abstractNumId w:val="38"/>
  </w:num>
  <w:num w:numId="3">
    <w:abstractNumId w:val="117"/>
  </w:num>
  <w:num w:numId="4">
    <w:abstractNumId w:val="1"/>
  </w:num>
  <w:num w:numId="5">
    <w:abstractNumId w:val="12"/>
  </w:num>
  <w:num w:numId="6">
    <w:abstractNumId w:val="130"/>
  </w:num>
  <w:num w:numId="7">
    <w:abstractNumId w:val="0"/>
  </w:num>
  <w:num w:numId="8">
    <w:abstractNumId w:val="122"/>
  </w:num>
  <w:num w:numId="9">
    <w:abstractNumId w:val="62"/>
  </w:num>
  <w:num w:numId="10">
    <w:abstractNumId w:val="137"/>
  </w:num>
  <w:num w:numId="11">
    <w:abstractNumId w:val="128"/>
  </w:num>
  <w:num w:numId="12">
    <w:abstractNumId w:val="10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1"/>
  </w:num>
  <w:num w:numId="14">
    <w:abstractNumId w:val="72"/>
  </w:num>
  <w:num w:numId="15">
    <w:abstractNumId w:val="24"/>
  </w:num>
  <w:num w:numId="16">
    <w:abstractNumId w:val="31"/>
  </w:num>
  <w:num w:numId="17">
    <w:abstractNumId w:val="119"/>
  </w:num>
  <w:num w:numId="18">
    <w:abstractNumId w:val="1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5"/>
  </w:num>
  <w:num w:numId="20">
    <w:abstractNumId w:val="49"/>
  </w:num>
  <w:num w:numId="21">
    <w:abstractNumId w:val="73"/>
  </w:num>
  <w:num w:numId="22">
    <w:abstractNumId w:val="98"/>
  </w:num>
  <w:num w:numId="23">
    <w:abstractNumId w:val="45"/>
  </w:num>
  <w:num w:numId="24">
    <w:abstractNumId w:val="57"/>
  </w:num>
  <w:num w:numId="25">
    <w:abstractNumId w:val="55"/>
  </w:num>
  <w:num w:numId="26">
    <w:abstractNumId w:val="41"/>
  </w:num>
  <w:num w:numId="27">
    <w:abstractNumId w:val="105"/>
  </w:num>
  <w:num w:numId="28">
    <w:abstractNumId w:val="103"/>
  </w:num>
  <w:num w:numId="29">
    <w:abstractNumId w:val="81"/>
  </w:num>
  <w:num w:numId="30">
    <w:abstractNumId w:val="46"/>
  </w:num>
  <w:num w:numId="31">
    <w:abstractNumId w:val="133"/>
  </w:num>
  <w:num w:numId="32">
    <w:abstractNumId w:val="126"/>
  </w:num>
  <w:num w:numId="33">
    <w:abstractNumId w:val="113"/>
  </w:num>
  <w:num w:numId="34">
    <w:abstractNumId w:val="8"/>
  </w:num>
  <w:num w:numId="35">
    <w:abstractNumId w:val="97"/>
  </w:num>
  <w:num w:numId="36">
    <w:abstractNumId w:val="17"/>
  </w:num>
  <w:num w:numId="37">
    <w:abstractNumId w:val="39"/>
  </w:num>
  <w:num w:numId="38">
    <w:abstractNumId w:val="48"/>
  </w:num>
  <w:num w:numId="39">
    <w:abstractNumId w:val="27"/>
  </w:num>
  <w:num w:numId="40">
    <w:abstractNumId w:val="35"/>
  </w:num>
  <w:num w:numId="41">
    <w:abstractNumId w:val="80"/>
  </w:num>
  <w:num w:numId="42">
    <w:abstractNumId w:val="33"/>
  </w:num>
  <w:num w:numId="43">
    <w:abstractNumId w:val="78"/>
  </w:num>
  <w:num w:numId="44">
    <w:abstractNumId w:val="125"/>
  </w:num>
  <w:num w:numId="45">
    <w:abstractNumId w:val="112"/>
  </w:num>
  <w:num w:numId="46">
    <w:abstractNumId w:val="104"/>
  </w:num>
  <w:num w:numId="47">
    <w:abstractNumId w:val="44"/>
  </w:num>
  <w:num w:numId="48">
    <w:abstractNumId w:val="83"/>
  </w:num>
  <w:num w:numId="49">
    <w:abstractNumId w:val="19"/>
  </w:num>
  <w:num w:numId="50">
    <w:abstractNumId w:val="60"/>
  </w:num>
  <w:num w:numId="51">
    <w:abstractNumId w:val="34"/>
  </w:num>
  <w:num w:numId="52">
    <w:abstractNumId w:val="91"/>
  </w:num>
  <w:num w:numId="53">
    <w:abstractNumId w:val="2"/>
  </w:num>
  <w:num w:numId="54">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90"/>
  </w:num>
  <w:num w:numId="56">
    <w:abstractNumId w:val="43"/>
  </w:num>
  <w:num w:numId="57">
    <w:abstractNumId w:val="56"/>
  </w:num>
  <w:num w:numId="58">
    <w:abstractNumId w:val="107"/>
  </w:num>
  <w:num w:numId="59">
    <w:abstractNumId w:val="28"/>
  </w:num>
  <w:num w:numId="60">
    <w:abstractNumId w:val="9"/>
  </w:num>
  <w:num w:numId="61">
    <w:abstractNumId w:val="23"/>
  </w:num>
  <w:num w:numId="62">
    <w:abstractNumId w:val="134"/>
  </w:num>
  <w:num w:numId="63">
    <w:abstractNumId w:val="70"/>
  </w:num>
  <w:num w:numId="64">
    <w:abstractNumId w:val="111"/>
  </w:num>
  <w:num w:numId="65">
    <w:abstractNumId w:val="65"/>
  </w:num>
  <w:num w:numId="66">
    <w:abstractNumId w:val="52"/>
  </w:num>
  <w:num w:numId="67">
    <w:abstractNumId w:val="95"/>
  </w:num>
  <w:num w:numId="68">
    <w:abstractNumId w:val="93"/>
  </w:num>
  <w:num w:numId="69">
    <w:abstractNumId w:val="10"/>
  </w:num>
  <w:num w:numId="70">
    <w:abstractNumId w:val="89"/>
  </w:num>
  <w:num w:numId="71">
    <w:abstractNumId w:val="106"/>
  </w:num>
  <w:num w:numId="72">
    <w:abstractNumId w:val="110"/>
  </w:num>
  <w:num w:numId="73">
    <w:abstractNumId w:val="79"/>
  </w:num>
  <w:num w:numId="74">
    <w:abstractNumId w:val="132"/>
  </w:num>
  <w:num w:numId="75">
    <w:abstractNumId w:val="67"/>
  </w:num>
  <w:num w:numId="76">
    <w:abstractNumId w:val="76"/>
  </w:num>
  <w:num w:numId="77">
    <w:abstractNumId w:val="18"/>
  </w:num>
  <w:num w:numId="78">
    <w:abstractNumId w:val="16"/>
  </w:num>
  <w:num w:numId="79">
    <w:abstractNumId w:val="42"/>
  </w:num>
  <w:num w:numId="80">
    <w:abstractNumId w:val="127"/>
  </w:num>
  <w:num w:numId="81">
    <w:abstractNumId w:val="66"/>
  </w:num>
  <w:num w:numId="82">
    <w:abstractNumId w:val="37"/>
  </w:num>
  <w:num w:numId="83">
    <w:abstractNumId w:val="82"/>
  </w:num>
  <w:num w:numId="84">
    <w:abstractNumId w:val="50"/>
  </w:num>
  <w:num w:numId="85">
    <w:abstractNumId w:val="20"/>
  </w:num>
  <w:num w:numId="86">
    <w:abstractNumId w:val="54"/>
  </w:num>
  <w:num w:numId="87">
    <w:abstractNumId w:val="136"/>
  </w:num>
  <w:num w:numId="88">
    <w:abstractNumId w:val="135"/>
  </w:num>
  <w:num w:numId="89">
    <w:abstractNumId w:val="59"/>
  </w:num>
  <w:num w:numId="90">
    <w:abstractNumId w:val="69"/>
  </w:num>
  <w:num w:numId="91">
    <w:abstractNumId w:val="3"/>
  </w:num>
  <w:num w:numId="92">
    <w:abstractNumId w:val="92"/>
  </w:num>
  <w:num w:numId="93">
    <w:abstractNumId w:val="32"/>
  </w:num>
  <w:num w:numId="94">
    <w:abstractNumId w:val="123"/>
  </w:num>
  <w:num w:numId="95">
    <w:abstractNumId w:val="101"/>
  </w:num>
  <w:num w:numId="96">
    <w:abstractNumId w:val="5"/>
  </w:num>
  <w:num w:numId="97">
    <w:abstractNumId w:val="133"/>
  </w:num>
  <w:num w:numId="98">
    <w:abstractNumId w:val="86"/>
  </w:num>
  <w:num w:numId="99">
    <w:abstractNumId w:val="64"/>
  </w:num>
  <w:num w:numId="100">
    <w:abstractNumId w:val="4"/>
  </w:num>
  <w:num w:numId="101">
    <w:abstractNumId w:val="53"/>
  </w:num>
  <w:num w:numId="102">
    <w:abstractNumId w:val="68"/>
  </w:num>
  <w:num w:numId="103">
    <w:abstractNumId w:val="85"/>
  </w:num>
  <w:num w:numId="104">
    <w:abstractNumId w:val="108"/>
  </w:num>
  <w:num w:numId="105">
    <w:abstractNumId w:val="21"/>
  </w:num>
  <w:num w:numId="106">
    <w:abstractNumId w:val="100"/>
  </w:num>
  <w:num w:numId="107">
    <w:abstractNumId w:val="114"/>
  </w:num>
  <w:num w:numId="108">
    <w:abstractNumId w:val="15"/>
  </w:num>
  <w:num w:numId="109">
    <w:abstractNumId w:val="109"/>
  </w:num>
  <w:num w:numId="110">
    <w:abstractNumId w:val="40"/>
  </w:num>
  <w:num w:numId="111">
    <w:abstractNumId w:val="129"/>
  </w:num>
  <w:num w:numId="112">
    <w:abstractNumId w:val="88"/>
  </w:num>
  <w:num w:numId="113">
    <w:abstractNumId w:val="6"/>
  </w:num>
  <w:num w:numId="114">
    <w:abstractNumId w:val="14"/>
  </w:num>
  <w:num w:numId="115">
    <w:abstractNumId w:val="96"/>
  </w:num>
  <w:num w:numId="116">
    <w:abstractNumId w:val="26"/>
  </w:num>
  <w:num w:numId="117">
    <w:abstractNumId w:val="77"/>
  </w:num>
  <w:num w:numId="118">
    <w:abstractNumId w:val="58"/>
  </w:num>
  <w:num w:numId="11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36"/>
    <w:lvlOverride w:ilvl="0"/>
    <w:lvlOverride w:ilvl="1">
      <w:startOverride w:val="1"/>
    </w:lvlOverride>
    <w:lvlOverride w:ilvl="2"/>
    <w:lvlOverride w:ilvl="3"/>
    <w:lvlOverride w:ilvl="4"/>
    <w:lvlOverride w:ilvl="5"/>
    <w:lvlOverride w:ilvl="6"/>
    <w:lvlOverride w:ilvl="7"/>
    <w:lvlOverride w:ilvl="8"/>
  </w:num>
  <w:num w:numId="122">
    <w:abstractNumId w:val="74"/>
  </w:num>
  <w:num w:numId="123">
    <w:abstractNumId w:val="51"/>
  </w:num>
  <w:num w:numId="124">
    <w:abstractNumId w:val="84"/>
  </w:num>
  <w:num w:numId="125">
    <w:abstractNumId w:val="121"/>
  </w:num>
  <w:num w:numId="126">
    <w:abstractNumId w:val="87"/>
  </w:num>
  <w:num w:numId="127">
    <w:abstractNumId w:val="118"/>
  </w:num>
  <w:num w:numId="128">
    <w:abstractNumId w:val="25"/>
  </w:num>
  <w:num w:numId="129">
    <w:abstractNumId w:val="71"/>
  </w:num>
  <w:num w:numId="130">
    <w:abstractNumId w:val="11"/>
  </w:num>
  <w:num w:numId="131">
    <w:abstractNumId w:val="63"/>
  </w:num>
  <w:num w:numId="132">
    <w:abstractNumId w:val="116"/>
  </w:num>
  <w:num w:numId="133">
    <w:abstractNumId w:val="7"/>
  </w:num>
  <w:num w:numId="134">
    <w:abstractNumId w:val="102"/>
  </w:num>
  <w:num w:numId="135">
    <w:abstractNumId w:val="120"/>
  </w:num>
  <w:num w:numId="136">
    <w:abstractNumId w:val="94"/>
  </w:num>
  <w:num w:numId="137">
    <w:abstractNumId w:val="13"/>
  </w:num>
  <w:num w:numId="138">
    <w:abstractNumId w:val="124"/>
  </w:num>
  <w:num w:numId="139">
    <w:abstractNumId w:val="30"/>
  </w:num>
  <w:num w:numId="140">
    <w:abstractNumId w:val="99"/>
  </w:num>
  <w:num w:numId="141">
    <w:abstractNumId w:val="75"/>
  </w:num>
  <w:num w:numId="142">
    <w:abstractNumId w:val="22"/>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2/DYLDdn86IJQeBtoKGE4CclP4PJQqov4QUHkNMP6JNlwjRh++w0hBhS9hqvjy6AjAsP75VofwIa91gsfB6v9g==" w:salt="FeGEFKyDys7s7roCvjjPNQ=="/>
  <w:defaultTabStop w:val="720"/>
  <w:drawingGridHorizontalSpacing w:val="110"/>
  <w:displayHorizontalDrawingGridEvery w:val="2"/>
  <w:characterSpacingControl w:val="doNotCompress"/>
  <w:hdrShapeDefaults>
    <o:shapedefaults v:ext="edit" spidmax="2049" fill="f" fillcolor="white" strokecolor="red">
      <v:fill color="white" on="f"/>
      <v:stroke color="red"/>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341"/>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2786F"/>
    <w:rsid w:val="0003011A"/>
    <w:rsid w:val="0003031D"/>
    <w:rsid w:val="000306B4"/>
    <w:rsid w:val="00031547"/>
    <w:rsid w:val="00031ABF"/>
    <w:rsid w:val="00032193"/>
    <w:rsid w:val="00032263"/>
    <w:rsid w:val="000334F1"/>
    <w:rsid w:val="0003388B"/>
    <w:rsid w:val="000339B1"/>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4D3B"/>
    <w:rsid w:val="000553EE"/>
    <w:rsid w:val="0005574D"/>
    <w:rsid w:val="00055EFD"/>
    <w:rsid w:val="00056DDF"/>
    <w:rsid w:val="00056E58"/>
    <w:rsid w:val="00060238"/>
    <w:rsid w:val="00060959"/>
    <w:rsid w:val="00061A45"/>
    <w:rsid w:val="00061A6E"/>
    <w:rsid w:val="00061DA5"/>
    <w:rsid w:val="000626C8"/>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102"/>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909"/>
    <w:rsid w:val="000B0A08"/>
    <w:rsid w:val="000B0A66"/>
    <w:rsid w:val="000B0B0D"/>
    <w:rsid w:val="000B0C6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5087"/>
    <w:rsid w:val="000C5B49"/>
    <w:rsid w:val="000C622E"/>
    <w:rsid w:val="000C676D"/>
    <w:rsid w:val="000C6865"/>
    <w:rsid w:val="000C6A47"/>
    <w:rsid w:val="000C6C0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2A9"/>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748"/>
    <w:rsid w:val="00160A4A"/>
    <w:rsid w:val="00160C27"/>
    <w:rsid w:val="00162A93"/>
    <w:rsid w:val="00162ADA"/>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160"/>
    <w:rsid w:val="001712B4"/>
    <w:rsid w:val="00171817"/>
    <w:rsid w:val="00171927"/>
    <w:rsid w:val="00172CBA"/>
    <w:rsid w:val="00172F11"/>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017"/>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5C65"/>
    <w:rsid w:val="001F63D6"/>
    <w:rsid w:val="001F67F9"/>
    <w:rsid w:val="001F71F2"/>
    <w:rsid w:val="0020051A"/>
    <w:rsid w:val="00200E1A"/>
    <w:rsid w:val="00201361"/>
    <w:rsid w:val="002015BC"/>
    <w:rsid w:val="00202A44"/>
    <w:rsid w:val="002030E1"/>
    <w:rsid w:val="002048D6"/>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835"/>
    <w:rsid w:val="00232DA9"/>
    <w:rsid w:val="002333B5"/>
    <w:rsid w:val="00233A1E"/>
    <w:rsid w:val="00233B9E"/>
    <w:rsid w:val="0023411E"/>
    <w:rsid w:val="002347F5"/>
    <w:rsid w:val="002367D3"/>
    <w:rsid w:val="00237686"/>
    <w:rsid w:val="002378E5"/>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3EB"/>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39C"/>
    <w:rsid w:val="002854D4"/>
    <w:rsid w:val="00285547"/>
    <w:rsid w:val="0028591B"/>
    <w:rsid w:val="00285E3D"/>
    <w:rsid w:val="00285EE8"/>
    <w:rsid w:val="002868EB"/>
    <w:rsid w:val="00287571"/>
    <w:rsid w:val="0028767F"/>
    <w:rsid w:val="00287725"/>
    <w:rsid w:val="00287758"/>
    <w:rsid w:val="00287C64"/>
    <w:rsid w:val="00290203"/>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DBB"/>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166B"/>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2DBB"/>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297"/>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2D9"/>
    <w:rsid w:val="00341566"/>
    <w:rsid w:val="003418C5"/>
    <w:rsid w:val="0034219A"/>
    <w:rsid w:val="00342491"/>
    <w:rsid w:val="00342DA2"/>
    <w:rsid w:val="0034327C"/>
    <w:rsid w:val="003434E6"/>
    <w:rsid w:val="003435FB"/>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11"/>
    <w:rsid w:val="003623C3"/>
    <w:rsid w:val="00362445"/>
    <w:rsid w:val="0036280B"/>
    <w:rsid w:val="00363AFF"/>
    <w:rsid w:val="003649D6"/>
    <w:rsid w:val="00365312"/>
    <w:rsid w:val="0036588D"/>
    <w:rsid w:val="00365BAB"/>
    <w:rsid w:val="00365DF7"/>
    <w:rsid w:val="00366502"/>
    <w:rsid w:val="0036654E"/>
    <w:rsid w:val="00366B48"/>
    <w:rsid w:val="00366BB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3F"/>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5D0"/>
    <w:rsid w:val="003A6F89"/>
    <w:rsid w:val="003A70F2"/>
    <w:rsid w:val="003B0C77"/>
    <w:rsid w:val="003B0EE7"/>
    <w:rsid w:val="003B262F"/>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A93"/>
    <w:rsid w:val="003D6FBE"/>
    <w:rsid w:val="003D78E6"/>
    <w:rsid w:val="003D7C23"/>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3F7778"/>
    <w:rsid w:val="004000C7"/>
    <w:rsid w:val="004001C8"/>
    <w:rsid w:val="00402C7A"/>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27F"/>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778"/>
    <w:rsid w:val="00472D3F"/>
    <w:rsid w:val="00472DFD"/>
    <w:rsid w:val="00473147"/>
    <w:rsid w:val="004743D2"/>
    <w:rsid w:val="00475147"/>
    <w:rsid w:val="004759C6"/>
    <w:rsid w:val="00475BDD"/>
    <w:rsid w:val="004768FA"/>
    <w:rsid w:val="00477088"/>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5268"/>
    <w:rsid w:val="004A7161"/>
    <w:rsid w:val="004A7475"/>
    <w:rsid w:val="004B1508"/>
    <w:rsid w:val="004B18A8"/>
    <w:rsid w:val="004B1F7C"/>
    <w:rsid w:val="004B208C"/>
    <w:rsid w:val="004B24A1"/>
    <w:rsid w:val="004B26A3"/>
    <w:rsid w:val="004B2B65"/>
    <w:rsid w:val="004B2EFF"/>
    <w:rsid w:val="004B345D"/>
    <w:rsid w:val="004B3534"/>
    <w:rsid w:val="004B45C9"/>
    <w:rsid w:val="004B480F"/>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861"/>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3F8"/>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496"/>
    <w:rsid w:val="004E1FF6"/>
    <w:rsid w:val="004E203F"/>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5DFA"/>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201"/>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4B49"/>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4B5"/>
    <w:rsid w:val="005D5C95"/>
    <w:rsid w:val="005D6039"/>
    <w:rsid w:val="005D6C1F"/>
    <w:rsid w:val="005D6E25"/>
    <w:rsid w:val="005D753D"/>
    <w:rsid w:val="005D7571"/>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761E"/>
    <w:rsid w:val="005F7C38"/>
    <w:rsid w:val="00600678"/>
    <w:rsid w:val="00600C32"/>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0E52"/>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37B"/>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6DC8"/>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47B4"/>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5FED"/>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47F"/>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4670"/>
    <w:rsid w:val="006F4D54"/>
    <w:rsid w:val="006F50DD"/>
    <w:rsid w:val="006F59C1"/>
    <w:rsid w:val="006F5C81"/>
    <w:rsid w:val="006F5F2A"/>
    <w:rsid w:val="006F60D9"/>
    <w:rsid w:val="006F693F"/>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7F4"/>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1EEF"/>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06F8"/>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5C3B"/>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CBE"/>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3B3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41A"/>
    <w:rsid w:val="007F36E5"/>
    <w:rsid w:val="007F430D"/>
    <w:rsid w:val="007F447D"/>
    <w:rsid w:val="007F52A9"/>
    <w:rsid w:val="007F53EA"/>
    <w:rsid w:val="007F54B6"/>
    <w:rsid w:val="007F574F"/>
    <w:rsid w:val="007F58DB"/>
    <w:rsid w:val="007F5C20"/>
    <w:rsid w:val="007F6051"/>
    <w:rsid w:val="007F620E"/>
    <w:rsid w:val="007F6648"/>
    <w:rsid w:val="007F6692"/>
    <w:rsid w:val="007F769C"/>
    <w:rsid w:val="00803203"/>
    <w:rsid w:val="0080323A"/>
    <w:rsid w:val="0080380B"/>
    <w:rsid w:val="0080395F"/>
    <w:rsid w:val="008045B0"/>
    <w:rsid w:val="0080475F"/>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6B1B"/>
    <w:rsid w:val="00827D38"/>
    <w:rsid w:val="00827F06"/>
    <w:rsid w:val="00827F71"/>
    <w:rsid w:val="00830B1E"/>
    <w:rsid w:val="00831791"/>
    <w:rsid w:val="00832066"/>
    <w:rsid w:val="00832805"/>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261"/>
    <w:rsid w:val="0084072C"/>
    <w:rsid w:val="00840B13"/>
    <w:rsid w:val="00842F32"/>
    <w:rsid w:val="008432CC"/>
    <w:rsid w:val="008434B8"/>
    <w:rsid w:val="00843C48"/>
    <w:rsid w:val="008446D1"/>
    <w:rsid w:val="00844BAF"/>
    <w:rsid w:val="00845771"/>
    <w:rsid w:val="00846611"/>
    <w:rsid w:val="00847333"/>
    <w:rsid w:val="00847624"/>
    <w:rsid w:val="008477AF"/>
    <w:rsid w:val="0085061F"/>
    <w:rsid w:val="00850837"/>
    <w:rsid w:val="00851B29"/>
    <w:rsid w:val="00851DBA"/>
    <w:rsid w:val="00853231"/>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48F"/>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870A3"/>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3D5F"/>
    <w:rsid w:val="008A4B74"/>
    <w:rsid w:val="008A5D64"/>
    <w:rsid w:val="008A6812"/>
    <w:rsid w:val="008A7529"/>
    <w:rsid w:val="008A7860"/>
    <w:rsid w:val="008A7B14"/>
    <w:rsid w:val="008B0B3C"/>
    <w:rsid w:val="008B1045"/>
    <w:rsid w:val="008B15B4"/>
    <w:rsid w:val="008B1D08"/>
    <w:rsid w:val="008B2755"/>
    <w:rsid w:val="008B2AA7"/>
    <w:rsid w:val="008B2CEB"/>
    <w:rsid w:val="008B4397"/>
    <w:rsid w:val="008B4B94"/>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D6C3F"/>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0FF7"/>
    <w:rsid w:val="009011FD"/>
    <w:rsid w:val="00901E0D"/>
    <w:rsid w:val="00902862"/>
    <w:rsid w:val="00902C48"/>
    <w:rsid w:val="00902ECB"/>
    <w:rsid w:val="00904239"/>
    <w:rsid w:val="00904467"/>
    <w:rsid w:val="00904A23"/>
    <w:rsid w:val="00904B8D"/>
    <w:rsid w:val="009055B7"/>
    <w:rsid w:val="00905AE0"/>
    <w:rsid w:val="0090699E"/>
    <w:rsid w:val="00907139"/>
    <w:rsid w:val="009075F6"/>
    <w:rsid w:val="009078BB"/>
    <w:rsid w:val="00910113"/>
    <w:rsid w:val="0091016D"/>
    <w:rsid w:val="009103C7"/>
    <w:rsid w:val="009107CB"/>
    <w:rsid w:val="00910A3F"/>
    <w:rsid w:val="009114A1"/>
    <w:rsid w:val="009115D6"/>
    <w:rsid w:val="0091160C"/>
    <w:rsid w:val="0091195E"/>
    <w:rsid w:val="00912205"/>
    <w:rsid w:val="009124DC"/>
    <w:rsid w:val="00912C18"/>
    <w:rsid w:val="00913A0A"/>
    <w:rsid w:val="00913B84"/>
    <w:rsid w:val="00913F3F"/>
    <w:rsid w:val="009141A3"/>
    <w:rsid w:val="009144B6"/>
    <w:rsid w:val="00915C5F"/>
    <w:rsid w:val="00916499"/>
    <w:rsid w:val="00916AA6"/>
    <w:rsid w:val="00916E81"/>
    <w:rsid w:val="0091793D"/>
    <w:rsid w:val="00920340"/>
    <w:rsid w:val="00920402"/>
    <w:rsid w:val="00920499"/>
    <w:rsid w:val="0092069E"/>
    <w:rsid w:val="009207CD"/>
    <w:rsid w:val="00920939"/>
    <w:rsid w:val="009210DE"/>
    <w:rsid w:val="00922683"/>
    <w:rsid w:val="009233CA"/>
    <w:rsid w:val="00924690"/>
    <w:rsid w:val="0092471B"/>
    <w:rsid w:val="00924D0F"/>
    <w:rsid w:val="009252D9"/>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9FE"/>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4A88"/>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80240"/>
    <w:rsid w:val="009803C5"/>
    <w:rsid w:val="0098068F"/>
    <w:rsid w:val="00982A40"/>
    <w:rsid w:val="009832D3"/>
    <w:rsid w:val="0098395B"/>
    <w:rsid w:val="0098415A"/>
    <w:rsid w:val="009843D2"/>
    <w:rsid w:val="00984919"/>
    <w:rsid w:val="00984B9C"/>
    <w:rsid w:val="009856AD"/>
    <w:rsid w:val="009869F4"/>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66F"/>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0F"/>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4B7"/>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85C"/>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90C"/>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AF"/>
    <w:rsid w:val="00A578E0"/>
    <w:rsid w:val="00A57A73"/>
    <w:rsid w:val="00A60432"/>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2B7"/>
    <w:rsid w:val="00A745BC"/>
    <w:rsid w:val="00A75AEC"/>
    <w:rsid w:val="00A76038"/>
    <w:rsid w:val="00A768BD"/>
    <w:rsid w:val="00A76A85"/>
    <w:rsid w:val="00A76BC6"/>
    <w:rsid w:val="00A77957"/>
    <w:rsid w:val="00A8084C"/>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873"/>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5D9"/>
    <w:rsid w:val="00AE66FF"/>
    <w:rsid w:val="00AE68C0"/>
    <w:rsid w:val="00AE73AB"/>
    <w:rsid w:val="00AE7BC2"/>
    <w:rsid w:val="00AF0689"/>
    <w:rsid w:val="00AF0B14"/>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4A80"/>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77658"/>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78A"/>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2F2C"/>
    <w:rsid w:val="00BC3A25"/>
    <w:rsid w:val="00BC457D"/>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CA"/>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327"/>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4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3C79"/>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4D0C"/>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EBE"/>
    <w:rsid w:val="00C70EF2"/>
    <w:rsid w:val="00C71A7F"/>
    <w:rsid w:val="00C71AA8"/>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31EC"/>
    <w:rsid w:val="00C834BB"/>
    <w:rsid w:val="00C845CA"/>
    <w:rsid w:val="00C8471C"/>
    <w:rsid w:val="00C84F74"/>
    <w:rsid w:val="00C85243"/>
    <w:rsid w:val="00C85BA5"/>
    <w:rsid w:val="00C85BE8"/>
    <w:rsid w:val="00C85F7C"/>
    <w:rsid w:val="00C8648B"/>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1C95"/>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25F"/>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D87"/>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5A3E"/>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5E8"/>
    <w:rsid w:val="00D6362A"/>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9C1"/>
    <w:rsid w:val="00D84BD0"/>
    <w:rsid w:val="00D84F2C"/>
    <w:rsid w:val="00D8521B"/>
    <w:rsid w:val="00D85FDD"/>
    <w:rsid w:val="00D905EA"/>
    <w:rsid w:val="00D90B00"/>
    <w:rsid w:val="00D912E8"/>
    <w:rsid w:val="00D91350"/>
    <w:rsid w:val="00D9188C"/>
    <w:rsid w:val="00D9192F"/>
    <w:rsid w:val="00D9212F"/>
    <w:rsid w:val="00D922C3"/>
    <w:rsid w:val="00D93080"/>
    <w:rsid w:val="00D93CA3"/>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188"/>
    <w:rsid w:val="00DD7A56"/>
    <w:rsid w:val="00DD7F8E"/>
    <w:rsid w:val="00DE02E2"/>
    <w:rsid w:val="00DE051B"/>
    <w:rsid w:val="00DE0856"/>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C52"/>
    <w:rsid w:val="00DF6F3F"/>
    <w:rsid w:val="00DF7888"/>
    <w:rsid w:val="00E0310E"/>
    <w:rsid w:val="00E031A2"/>
    <w:rsid w:val="00E035D3"/>
    <w:rsid w:val="00E03856"/>
    <w:rsid w:val="00E03D87"/>
    <w:rsid w:val="00E03E2C"/>
    <w:rsid w:val="00E0507D"/>
    <w:rsid w:val="00E053A0"/>
    <w:rsid w:val="00E06050"/>
    <w:rsid w:val="00E06578"/>
    <w:rsid w:val="00E06B68"/>
    <w:rsid w:val="00E06FE8"/>
    <w:rsid w:val="00E0729E"/>
    <w:rsid w:val="00E072E8"/>
    <w:rsid w:val="00E07532"/>
    <w:rsid w:val="00E07BB2"/>
    <w:rsid w:val="00E106AF"/>
    <w:rsid w:val="00E10A4B"/>
    <w:rsid w:val="00E10FED"/>
    <w:rsid w:val="00E134AB"/>
    <w:rsid w:val="00E13599"/>
    <w:rsid w:val="00E14562"/>
    <w:rsid w:val="00E14927"/>
    <w:rsid w:val="00E14FF2"/>
    <w:rsid w:val="00E154DF"/>
    <w:rsid w:val="00E156E8"/>
    <w:rsid w:val="00E161AF"/>
    <w:rsid w:val="00E16F91"/>
    <w:rsid w:val="00E17556"/>
    <w:rsid w:val="00E20102"/>
    <w:rsid w:val="00E20DB7"/>
    <w:rsid w:val="00E20EAD"/>
    <w:rsid w:val="00E229C6"/>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5EBB"/>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13C6"/>
    <w:rsid w:val="00E51ABE"/>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14E"/>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8F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2FDE"/>
    <w:rsid w:val="00EB3514"/>
    <w:rsid w:val="00EB3A5F"/>
    <w:rsid w:val="00EB3E62"/>
    <w:rsid w:val="00EB4202"/>
    <w:rsid w:val="00EB42F3"/>
    <w:rsid w:val="00EB4DA8"/>
    <w:rsid w:val="00EB5877"/>
    <w:rsid w:val="00EB5B79"/>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66"/>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4BC5"/>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0D9"/>
    <w:rsid w:val="00F244D7"/>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85F"/>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D02"/>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1A"/>
    <w:rsid w:val="00F64A35"/>
    <w:rsid w:val="00F64A8C"/>
    <w:rsid w:val="00F64C27"/>
    <w:rsid w:val="00F64DEA"/>
    <w:rsid w:val="00F6565C"/>
    <w:rsid w:val="00F65CCC"/>
    <w:rsid w:val="00F65D05"/>
    <w:rsid w:val="00F66FB0"/>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15F"/>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3E64"/>
    <w:rsid w:val="00FD4148"/>
    <w:rsid w:val="00FD4210"/>
    <w:rsid w:val="00FD4919"/>
    <w:rsid w:val="00FD4ADE"/>
    <w:rsid w:val="00FD4E7E"/>
    <w:rsid w:val="00FD50C7"/>
    <w:rsid w:val="00FD553B"/>
    <w:rsid w:val="00FD57CC"/>
    <w:rsid w:val="00FD5D32"/>
    <w:rsid w:val="00FD5E20"/>
    <w:rsid w:val="00FD5FBA"/>
    <w:rsid w:val="00FD7344"/>
    <w:rsid w:val="00FD79B0"/>
    <w:rsid w:val="00FD7A75"/>
    <w:rsid w:val="00FE0EAB"/>
    <w:rsid w:val="00FE1A01"/>
    <w:rsid w:val="00FE20C3"/>
    <w:rsid w:val="00FE2419"/>
    <w:rsid w:val="00FE3510"/>
    <w:rsid w:val="00FE352F"/>
    <w:rsid w:val="00FE370D"/>
    <w:rsid w:val="00FE38E6"/>
    <w:rsid w:val="00FE3BE2"/>
    <w:rsid w:val="00FE43DA"/>
    <w:rsid w:val="00FE592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fill="f" fillcolor="white" strokecolor="red">
      <v:fill color="white" on="f"/>
      <v:stroke color="red"/>
      <v:textbox inset="5.85pt,.7pt,5.85pt,.7pt"/>
    </o:shapedefaults>
    <o:shapelayout v:ext="edit">
      <o:idmap v:ext="edit" data="1"/>
    </o:shapelayout>
  </w:shapeDefaults>
  <w:decimalSymbol w:val="."/>
  <w:listSeparator w:val=","/>
  <w15:docId w15:val="{147129E2-BD15-4C7F-BFC4-99C2993F3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314E"/>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8A3D5F"/>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8A3D5F"/>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07252067">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mailto:bmesupp@microsoft.com" TargetMode="External"/><Relationship Id="rId47" Type="http://schemas.openxmlformats.org/officeDocument/2006/relationships/hyperlink" Target="http://www.microsoft.com/online/faq.aspx" TargetMode="External"/><Relationship Id="rId50" Type="http://schemas.openxmlformats.org/officeDocument/2006/relationships/image" Target="media/image5.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support.microsoft.com/oas/default.aspx?prid=13766&amp;st=1"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653EA85F-1C25-4AF2-A92C-67C8EF94184F}">
  <ds:schemaRefs>
    <ds:schemaRef ds:uri="http://schemas.openxmlformats.org/officeDocument/2006/bibliography"/>
  </ds:schemaRefs>
</ds:datastoreItem>
</file>

<file path=customXml/itemProps5.xml><?xml version="1.0" encoding="utf-8"?>
<ds:datastoreItem xmlns:ds="http://schemas.openxmlformats.org/officeDocument/2006/customXml" ds:itemID="{747AAC58-1306-4788-B0A7-1D4ED16950AE}">
  <ds:schemaRefs>
    <ds:schemaRef ds:uri="http://schemas.openxmlformats.org/officeDocument/2006/bibliography"/>
  </ds:schemaRefs>
</ds:datastoreItem>
</file>

<file path=customXml/itemProps6.xml><?xml version="1.0" encoding="utf-8"?>
<ds:datastoreItem xmlns:ds="http://schemas.openxmlformats.org/officeDocument/2006/customXml" ds:itemID="{4C92C1D0-92BF-4CB4-BA7D-76AF5AE74A9D}">
  <ds:schemaRefs>
    <ds:schemaRef ds:uri="http://schemas.openxmlformats.org/officeDocument/2006/bibliography"/>
  </ds:schemaRefs>
</ds:datastoreItem>
</file>

<file path=customXml/itemProps7.xml><?xml version="1.0" encoding="utf-8"?>
<ds:datastoreItem xmlns:ds="http://schemas.openxmlformats.org/officeDocument/2006/customXml" ds:itemID="{06AECE4D-AE08-4DF3-AA3B-9FAD48017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201</Pages>
  <Words>96111</Words>
  <Characters>547836</Characters>
  <Application>Microsoft Office Word</Application>
  <DocSecurity>8</DocSecurity>
  <Lines>4565</Lines>
  <Paragraphs>1285</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642662</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2013-10-15T14:13:00Z</cp:lastPrinted>
  <dcterms:created xsi:type="dcterms:W3CDTF">2013-10-31T18:05:00Z</dcterms:created>
  <dcterms:modified xsi:type="dcterms:W3CDTF">2013-10-31T18:05:00Z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